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9A7E" w14:textId="617C7CF7" w:rsidR="00AA71B2" w:rsidRPr="00AA71B2" w:rsidRDefault="00D50679" w:rsidP="00514E8F">
      <w:pPr>
        <w:spacing w:line="240" w:lineRule="auto"/>
        <w:jc w:val="center"/>
        <w:rPr>
          <w:b/>
          <w:bCs/>
          <w:sz w:val="20"/>
          <w:szCs w:val="20"/>
        </w:rPr>
      </w:pPr>
      <w:r w:rsidRPr="00D50679">
        <w:rPr>
          <w:b/>
          <w:bCs/>
          <w:sz w:val="20"/>
          <w:szCs w:val="20"/>
        </w:rPr>
        <w:t xml:space="preserve">NAJWIĘKSZA </w:t>
      </w:r>
      <w:r w:rsidR="000B4641" w:rsidRPr="00D50679">
        <w:rPr>
          <w:b/>
          <w:bCs/>
          <w:sz w:val="20"/>
          <w:szCs w:val="20"/>
        </w:rPr>
        <w:t>W HISTORII</w:t>
      </w:r>
      <w:r w:rsidR="000B4641" w:rsidRPr="00D50679">
        <w:rPr>
          <w:b/>
          <w:bCs/>
          <w:sz w:val="20"/>
          <w:szCs w:val="20"/>
        </w:rPr>
        <w:t xml:space="preserve"> </w:t>
      </w:r>
      <w:r w:rsidRPr="00D50679">
        <w:rPr>
          <w:b/>
          <w:bCs/>
          <w:sz w:val="20"/>
          <w:szCs w:val="20"/>
        </w:rPr>
        <w:t xml:space="preserve">POWIERZCHNIA PARKÓW HANDLOWYCH W BUDOWIE </w:t>
      </w:r>
    </w:p>
    <w:p w14:paraId="58907D6F" w14:textId="5B255FE0" w:rsidR="00AA71B2" w:rsidRPr="00AA71B2" w:rsidRDefault="00AA71B2" w:rsidP="00AA71B2">
      <w:pPr>
        <w:spacing w:line="240" w:lineRule="auto"/>
        <w:jc w:val="both"/>
        <w:rPr>
          <w:b/>
          <w:bCs/>
          <w:sz w:val="20"/>
          <w:szCs w:val="20"/>
        </w:rPr>
      </w:pPr>
      <w:r w:rsidRPr="00AA71B2">
        <w:rPr>
          <w:b/>
          <w:bCs/>
          <w:sz w:val="20"/>
          <w:szCs w:val="20"/>
        </w:rPr>
        <w:t xml:space="preserve">Międzynarodowa agencja doradcza Cushman &amp; Wakefield podsumowała sytuację w sektorze nieruchomości handlowych w Polsce. </w:t>
      </w:r>
      <w:r w:rsidR="00D50679" w:rsidRPr="00D50679">
        <w:rPr>
          <w:b/>
          <w:bCs/>
          <w:sz w:val="20"/>
          <w:szCs w:val="20"/>
        </w:rPr>
        <w:t xml:space="preserve">W odróżnieniu od rynku biurowego i magazynowego, aktywność deweloperów w sektorze handlowym jest bardzo wysoka. </w:t>
      </w:r>
      <w:r w:rsidR="001A3142">
        <w:rPr>
          <w:b/>
          <w:bCs/>
          <w:sz w:val="20"/>
          <w:szCs w:val="20"/>
        </w:rPr>
        <w:t>Co więcej, p</w:t>
      </w:r>
      <w:r w:rsidR="00D50679" w:rsidRPr="00D50679">
        <w:rPr>
          <w:b/>
          <w:bCs/>
          <w:sz w:val="20"/>
          <w:szCs w:val="20"/>
        </w:rPr>
        <w:t>owierzchnia parków handlowych w budowie jest najwyższa w historii</w:t>
      </w:r>
      <w:r w:rsidR="001A3142">
        <w:rPr>
          <w:b/>
          <w:bCs/>
          <w:sz w:val="20"/>
          <w:szCs w:val="20"/>
        </w:rPr>
        <w:t xml:space="preserve">, a </w:t>
      </w:r>
      <w:r w:rsidRPr="00AA71B2">
        <w:rPr>
          <w:b/>
          <w:bCs/>
          <w:sz w:val="20"/>
          <w:szCs w:val="20"/>
        </w:rPr>
        <w:t xml:space="preserve">deweloperzy prowadzą intensywną ekspansję w mniejszych miejscowościach. Oznacza to, że rynek powoli wysyca się formatem parków. </w:t>
      </w:r>
      <w:r w:rsidR="001A3142">
        <w:rPr>
          <w:b/>
          <w:bCs/>
          <w:sz w:val="20"/>
          <w:szCs w:val="20"/>
        </w:rPr>
        <w:t xml:space="preserve">Ponadto </w:t>
      </w:r>
      <w:r w:rsidRPr="00AA71B2">
        <w:rPr>
          <w:b/>
          <w:bCs/>
          <w:sz w:val="20"/>
          <w:szCs w:val="20"/>
        </w:rPr>
        <w:t xml:space="preserve">miesiące letnie przyniosły dalsze wzrosty sprzedaży detalicznej. </w:t>
      </w:r>
      <w:r w:rsidR="001A3142">
        <w:rPr>
          <w:b/>
          <w:bCs/>
          <w:sz w:val="20"/>
          <w:szCs w:val="20"/>
        </w:rPr>
        <w:t>W</w:t>
      </w:r>
      <w:r w:rsidRPr="00AA71B2">
        <w:rPr>
          <w:b/>
          <w:bCs/>
          <w:sz w:val="20"/>
          <w:szCs w:val="20"/>
        </w:rPr>
        <w:t xml:space="preserve"> tym czasie </w:t>
      </w:r>
      <w:r w:rsidR="001A3142">
        <w:rPr>
          <w:b/>
          <w:bCs/>
          <w:sz w:val="20"/>
          <w:szCs w:val="20"/>
        </w:rPr>
        <w:t xml:space="preserve">rosły też </w:t>
      </w:r>
      <w:r w:rsidRPr="00AA71B2">
        <w:rPr>
          <w:b/>
          <w:bCs/>
          <w:sz w:val="20"/>
          <w:szCs w:val="20"/>
        </w:rPr>
        <w:t xml:space="preserve">obroty najemców centrów handlowych. </w:t>
      </w:r>
    </w:p>
    <w:p w14:paraId="379A2BC8" w14:textId="77777777" w:rsidR="003809D7" w:rsidRDefault="003809D7" w:rsidP="00E8250A">
      <w:pPr>
        <w:spacing w:line="240" w:lineRule="auto"/>
        <w:jc w:val="both"/>
        <w:rPr>
          <w:b/>
          <w:bCs/>
          <w:sz w:val="20"/>
          <w:szCs w:val="20"/>
        </w:rPr>
      </w:pPr>
    </w:p>
    <w:p w14:paraId="7C9D38FC" w14:textId="3F46DEB0" w:rsidR="00521C36" w:rsidRPr="00521C36" w:rsidRDefault="00521C36" w:rsidP="00521C36">
      <w:pPr>
        <w:spacing w:line="240" w:lineRule="auto"/>
        <w:jc w:val="both"/>
        <w:rPr>
          <w:b/>
          <w:bCs/>
          <w:sz w:val="20"/>
          <w:szCs w:val="20"/>
        </w:rPr>
      </w:pPr>
      <w:r w:rsidRPr="00521C36">
        <w:rPr>
          <w:b/>
          <w:bCs/>
          <w:sz w:val="20"/>
          <w:szCs w:val="20"/>
        </w:rPr>
        <w:t>PODAŻ</w:t>
      </w:r>
      <w:r>
        <w:rPr>
          <w:rStyle w:val="Odwoanieprzypisudolnego"/>
          <w:b/>
          <w:bCs/>
          <w:sz w:val="20"/>
          <w:szCs w:val="20"/>
        </w:rPr>
        <w:footnoteReference w:id="2"/>
      </w:r>
      <w:r w:rsidRPr="00521C36">
        <w:rPr>
          <w:b/>
          <w:bCs/>
          <w:sz w:val="20"/>
          <w:szCs w:val="20"/>
        </w:rPr>
        <w:t xml:space="preserve">: </w:t>
      </w:r>
      <w:r w:rsidR="00380072">
        <w:rPr>
          <w:b/>
          <w:bCs/>
          <w:sz w:val="20"/>
          <w:szCs w:val="20"/>
        </w:rPr>
        <w:t xml:space="preserve">PARKI HANDLOWE </w:t>
      </w:r>
      <w:r w:rsidR="00E65024">
        <w:rPr>
          <w:b/>
          <w:bCs/>
          <w:sz w:val="20"/>
          <w:szCs w:val="20"/>
        </w:rPr>
        <w:t>LIDEREM NOWEJ PODAŻY</w:t>
      </w:r>
    </w:p>
    <w:p w14:paraId="3DB01108" w14:textId="703E1F53" w:rsidR="00521C36" w:rsidRPr="00521C36" w:rsidRDefault="00521C36" w:rsidP="00521C36">
      <w:pPr>
        <w:spacing w:line="240" w:lineRule="auto"/>
        <w:jc w:val="both"/>
        <w:rPr>
          <w:sz w:val="20"/>
          <w:szCs w:val="20"/>
        </w:rPr>
      </w:pPr>
      <w:r>
        <w:rPr>
          <w:sz w:val="20"/>
          <w:szCs w:val="20"/>
        </w:rPr>
        <w:t xml:space="preserve">– </w:t>
      </w:r>
      <w:r w:rsidRPr="00521C36">
        <w:rPr>
          <w:i/>
          <w:iCs/>
          <w:sz w:val="20"/>
          <w:szCs w:val="20"/>
        </w:rPr>
        <w:t>Wyniki za trzeci kwartał wskazują na</w:t>
      </w:r>
      <w:r>
        <w:rPr>
          <w:i/>
          <w:iCs/>
          <w:sz w:val="20"/>
          <w:szCs w:val="20"/>
        </w:rPr>
        <w:t xml:space="preserve"> dość</w:t>
      </w:r>
      <w:r w:rsidRPr="00521C36">
        <w:rPr>
          <w:i/>
          <w:iCs/>
          <w:sz w:val="20"/>
          <w:szCs w:val="20"/>
        </w:rPr>
        <w:t xml:space="preserve"> stabilną sytuację po stronie</w:t>
      </w:r>
      <w:r>
        <w:rPr>
          <w:i/>
          <w:iCs/>
          <w:sz w:val="20"/>
          <w:szCs w:val="20"/>
        </w:rPr>
        <w:t xml:space="preserve"> nowej</w:t>
      </w:r>
      <w:r w:rsidRPr="00521C36">
        <w:rPr>
          <w:i/>
          <w:iCs/>
          <w:sz w:val="20"/>
          <w:szCs w:val="20"/>
        </w:rPr>
        <w:t xml:space="preserve"> podaży rynku handlowego – w</w:t>
      </w:r>
      <w:r>
        <w:rPr>
          <w:i/>
          <w:iCs/>
          <w:sz w:val="20"/>
          <w:szCs w:val="20"/>
        </w:rPr>
        <w:t xml:space="preserve"> tym</w:t>
      </w:r>
      <w:r w:rsidRPr="00521C36">
        <w:rPr>
          <w:i/>
          <w:iCs/>
          <w:sz w:val="20"/>
          <w:szCs w:val="20"/>
        </w:rPr>
        <w:t xml:space="preserve"> czasie wprowadzono bowiem ok. 90 tys. mkw. nowej powierzchni, co jest niemal identycznym wynikiem jak w drugim kwartale, a nowe otwarcia obejmowały głównie parki handlowe.</w:t>
      </w:r>
      <w:r>
        <w:rPr>
          <w:sz w:val="20"/>
          <w:szCs w:val="20"/>
        </w:rPr>
        <w:t xml:space="preserve"> </w:t>
      </w:r>
      <w:r w:rsidRPr="00521C36">
        <w:rPr>
          <w:i/>
          <w:iCs/>
          <w:sz w:val="20"/>
          <w:szCs w:val="20"/>
        </w:rPr>
        <w:t xml:space="preserve">Tym samym całkowita nowoczesna powierzchnia handlowa w Polsce sięga obecnie </w:t>
      </w:r>
      <w:r w:rsidR="00E65024">
        <w:rPr>
          <w:i/>
          <w:iCs/>
          <w:sz w:val="20"/>
          <w:szCs w:val="20"/>
        </w:rPr>
        <w:t>nieco</w:t>
      </w:r>
      <w:r w:rsidR="00E65024" w:rsidRPr="00521C36">
        <w:rPr>
          <w:i/>
          <w:iCs/>
          <w:sz w:val="20"/>
          <w:szCs w:val="20"/>
        </w:rPr>
        <w:t xml:space="preserve"> </w:t>
      </w:r>
      <w:r w:rsidRPr="00521C36">
        <w:rPr>
          <w:i/>
          <w:iCs/>
          <w:sz w:val="20"/>
          <w:szCs w:val="20"/>
        </w:rPr>
        <w:t xml:space="preserve">ponad 17 mln mkw. </w:t>
      </w:r>
      <w:r>
        <w:rPr>
          <w:sz w:val="20"/>
          <w:szCs w:val="20"/>
        </w:rPr>
        <w:t xml:space="preserve">– komentuje </w:t>
      </w:r>
      <w:r w:rsidRPr="00A77239">
        <w:rPr>
          <w:b/>
          <w:bCs/>
          <w:sz w:val="20"/>
          <w:szCs w:val="20"/>
        </w:rPr>
        <w:t xml:space="preserve">Ewa Derlatka-Chilewicz, </w:t>
      </w:r>
      <w:proofErr w:type="spellStart"/>
      <w:r w:rsidRPr="00A77239">
        <w:rPr>
          <w:b/>
          <w:bCs/>
          <w:sz w:val="20"/>
          <w:szCs w:val="20"/>
        </w:rPr>
        <w:t>Head</w:t>
      </w:r>
      <w:proofErr w:type="spellEnd"/>
      <w:r w:rsidRPr="00A77239">
        <w:rPr>
          <w:b/>
          <w:bCs/>
          <w:sz w:val="20"/>
          <w:szCs w:val="20"/>
        </w:rPr>
        <w:t xml:space="preserve"> of </w:t>
      </w:r>
      <w:proofErr w:type="spellStart"/>
      <w:r w:rsidRPr="00A77239">
        <w:rPr>
          <w:b/>
          <w:bCs/>
          <w:sz w:val="20"/>
          <w:szCs w:val="20"/>
        </w:rPr>
        <w:t>Research</w:t>
      </w:r>
      <w:proofErr w:type="spellEnd"/>
      <w:r w:rsidRPr="00A77239">
        <w:rPr>
          <w:b/>
          <w:bCs/>
          <w:sz w:val="20"/>
          <w:szCs w:val="20"/>
        </w:rPr>
        <w:t xml:space="preserve"> Poland</w:t>
      </w:r>
      <w:r w:rsidRPr="00A77239">
        <w:rPr>
          <w:sz w:val="20"/>
          <w:szCs w:val="20"/>
        </w:rPr>
        <w:t xml:space="preserve">, </w:t>
      </w:r>
      <w:r w:rsidRPr="00A77239">
        <w:rPr>
          <w:b/>
          <w:bCs/>
          <w:sz w:val="20"/>
          <w:szCs w:val="20"/>
        </w:rPr>
        <w:t>Cushman &amp; Wakefield.</w:t>
      </w:r>
    </w:p>
    <w:p w14:paraId="38BCB642" w14:textId="1041D88C" w:rsidR="00521C36" w:rsidRPr="00521C36" w:rsidRDefault="00521C36" w:rsidP="00521C36">
      <w:pPr>
        <w:spacing w:line="240" w:lineRule="auto"/>
        <w:jc w:val="both"/>
        <w:rPr>
          <w:sz w:val="20"/>
          <w:szCs w:val="20"/>
        </w:rPr>
      </w:pPr>
      <w:r w:rsidRPr="00521C36">
        <w:rPr>
          <w:sz w:val="20"/>
          <w:szCs w:val="20"/>
        </w:rPr>
        <w:t>Największy</w:t>
      </w:r>
      <w:r>
        <w:rPr>
          <w:sz w:val="20"/>
          <w:szCs w:val="20"/>
        </w:rPr>
        <w:t xml:space="preserve">m otwartym </w:t>
      </w:r>
      <w:r w:rsidR="00E65024">
        <w:rPr>
          <w:sz w:val="20"/>
          <w:szCs w:val="20"/>
        </w:rPr>
        <w:t xml:space="preserve">obiektem </w:t>
      </w:r>
      <w:r>
        <w:rPr>
          <w:sz w:val="20"/>
          <w:szCs w:val="20"/>
        </w:rPr>
        <w:t xml:space="preserve">handlowym był </w:t>
      </w:r>
      <w:r w:rsidRPr="00521C36">
        <w:rPr>
          <w:sz w:val="20"/>
          <w:szCs w:val="20"/>
        </w:rPr>
        <w:t xml:space="preserve">S1 Włocławek dewelopera </w:t>
      </w:r>
      <w:proofErr w:type="spellStart"/>
      <w:r w:rsidRPr="00521C36">
        <w:rPr>
          <w:sz w:val="20"/>
          <w:szCs w:val="20"/>
        </w:rPr>
        <w:t>Saller</w:t>
      </w:r>
      <w:proofErr w:type="spellEnd"/>
      <w:r w:rsidRPr="00521C36">
        <w:rPr>
          <w:sz w:val="20"/>
          <w:szCs w:val="20"/>
        </w:rPr>
        <w:t xml:space="preserve"> o powierzchni 17 000 mkw., który powstał na terenie wyburzonego centrum z dawnym najemcą Tesco. Do obiektów powyżej 10</w:t>
      </w:r>
      <w:r>
        <w:rPr>
          <w:sz w:val="20"/>
          <w:szCs w:val="20"/>
        </w:rPr>
        <w:t xml:space="preserve"> 000 </w:t>
      </w:r>
      <w:r w:rsidRPr="00521C36">
        <w:rPr>
          <w:sz w:val="20"/>
          <w:szCs w:val="20"/>
        </w:rPr>
        <w:t xml:space="preserve">mkw. otwartych </w:t>
      </w:r>
      <w:r>
        <w:rPr>
          <w:sz w:val="20"/>
          <w:szCs w:val="20"/>
        </w:rPr>
        <w:t>pomiędzy lipcem a wrześniem</w:t>
      </w:r>
      <w:r w:rsidRPr="00521C36">
        <w:rPr>
          <w:sz w:val="20"/>
          <w:szCs w:val="20"/>
        </w:rPr>
        <w:t xml:space="preserve"> zaliczają się także M Park Ciechanów oraz Przystanek Karkonosze (zlokalizowany we wsi Miłków ok. 3 km od Karpacza). W sumie w trzecim kwartale rynek powiększył się o siedem nowych parków handlowych. Dodatkowo dwa istniejące obiekty w Iławie i Wrocławiu zostały rozbudowane. Ponadto klienci mogą już robić zakupy w dwóch nowo wybudowanych wolnostojących marketach budowlanych Leroy Merlin znajdujących się w Chojnicach i Dzierżoniowie. W trzecim kwartale nie odnotowano żadnego otwarcia ani zamknięcia centrum handlowego.</w:t>
      </w:r>
    </w:p>
    <w:p w14:paraId="198CECE0" w14:textId="14612CD2" w:rsidR="00521C36" w:rsidRDefault="00BB70F9" w:rsidP="00E8250A">
      <w:pPr>
        <w:spacing w:line="240" w:lineRule="auto"/>
        <w:jc w:val="both"/>
        <w:rPr>
          <w:b/>
          <w:bCs/>
          <w:sz w:val="20"/>
          <w:szCs w:val="20"/>
        </w:rPr>
      </w:pPr>
      <w:r>
        <w:rPr>
          <w:sz w:val="20"/>
          <w:szCs w:val="20"/>
        </w:rPr>
        <w:t>–</w:t>
      </w:r>
      <w:r w:rsidR="00380072">
        <w:rPr>
          <w:sz w:val="20"/>
          <w:szCs w:val="20"/>
        </w:rPr>
        <w:t xml:space="preserve"> </w:t>
      </w:r>
      <w:r w:rsidR="00521C36" w:rsidRPr="00521C36">
        <w:rPr>
          <w:i/>
          <w:iCs/>
          <w:sz w:val="20"/>
          <w:szCs w:val="20"/>
        </w:rPr>
        <w:t xml:space="preserve">Wolumen realizowanych projektów stale rośnie, a z każdym kwartałem notowane są kolejne rekordy. </w:t>
      </w:r>
      <w:r w:rsidR="00380072" w:rsidRPr="00380072">
        <w:rPr>
          <w:i/>
          <w:iCs/>
          <w:sz w:val="20"/>
          <w:szCs w:val="20"/>
        </w:rPr>
        <w:t xml:space="preserve">Na koniec września </w:t>
      </w:r>
      <w:r w:rsidR="00380072" w:rsidRPr="00521C36">
        <w:rPr>
          <w:i/>
          <w:iCs/>
          <w:sz w:val="20"/>
          <w:szCs w:val="20"/>
        </w:rPr>
        <w:t>w budowie znajd</w:t>
      </w:r>
      <w:r w:rsidR="00380072" w:rsidRPr="00380072">
        <w:rPr>
          <w:i/>
          <w:iCs/>
          <w:sz w:val="20"/>
          <w:szCs w:val="20"/>
        </w:rPr>
        <w:t>owało</w:t>
      </w:r>
      <w:r w:rsidR="00380072" w:rsidRPr="00521C36">
        <w:rPr>
          <w:i/>
          <w:iCs/>
          <w:sz w:val="20"/>
          <w:szCs w:val="20"/>
        </w:rPr>
        <w:t xml:space="preserve"> się aż 618 </w:t>
      </w:r>
      <w:r w:rsidR="00380072" w:rsidRPr="00380072">
        <w:rPr>
          <w:i/>
          <w:iCs/>
          <w:sz w:val="20"/>
          <w:szCs w:val="20"/>
        </w:rPr>
        <w:t>000</w:t>
      </w:r>
      <w:r w:rsidR="00380072" w:rsidRPr="00521C36">
        <w:rPr>
          <w:i/>
          <w:iCs/>
          <w:sz w:val="20"/>
          <w:szCs w:val="20"/>
        </w:rPr>
        <w:t xml:space="preserve"> mkw.</w:t>
      </w:r>
      <w:r w:rsidR="00380072" w:rsidRPr="00380072">
        <w:rPr>
          <w:i/>
          <w:iCs/>
          <w:sz w:val="20"/>
          <w:szCs w:val="20"/>
        </w:rPr>
        <w:t xml:space="preserve"> </w:t>
      </w:r>
      <w:r w:rsidR="00380072" w:rsidRPr="00521C36">
        <w:rPr>
          <w:i/>
          <w:iCs/>
          <w:sz w:val="20"/>
          <w:szCs w:val="20"/>
        </w:rPr>
        <w:t>powierzchni handlowej</w:t>
      </w:r>
      <w:r w:rsidR="00380072" w:rsidRPr="00380072">
        <w:rPr>
          <w:i/>
          <w:iCs/>
          <w:sz w:val="20"/>
          <w:szCs w:val="20"/>
        </w:rPr>
        <w:t xml:space="preserve"> i tym samym a</w:t>
      </w:r>
      <w:r w:rsidR="00380072" w:rsidRPr="00521C36">
        <w:rPr>
          <w:i/>
          <w:iCs/>
          <w:sz w:val="20"/>
          <w:szCs w:val="20"/>
        </w:rPr>
        <w:t xml:space="preserve">ktywność deweloperska </w:t>
      </w:r>
      <w:r w:rsidR="00380072" w:rsidRPr="00380072">
        <w:rPr>
          <w:i/>
          <w:iCs/>
          <w:sz w:val="20"/>
          <w:szCs w:val="20"/>
        </w:rPr>
        <w:t>była</w:t>
      </w:r>
      <w:r w:rsidR="00380072" w:rsidRPr="00521C36">
        <w:rPr>
          <w:i/>
          <w:iCs/>
          <w:sz w:val="20"/>
          <w:szCs w:val="20"/>
        </w:rPr>
        <w:t xml:space="preserve"> najwyższa od 2018 rok</w:t>
      </w:r>
      <w:r w:rsidR="00380072" w:rsidRPr="00380072">
        <w:rPr>
          <w:i/>
          <w:iCs/>
          <w:sz w:val="20"/>
          <w:szCs w:val="20"/>
        </w:rPr>
        <w:t xml:space="preserve">u. </w:t>
      </w:r>
      <w:r w:rsidR="00521C36" w:rsidRPr="00521C36">
        <w:rPr>
          <w:i/>
          <w:iCs/>
          <w:sz w:val="20"/>
          <w:szCs w:val="20"/>
        </w:rPr>
        <w:t xml:space="preserve">Na rynku </w:t>
      </w:r>
      <w:r w:rsidR="00380072" w:rsidRPr="00380072">
        <w:rPr>
          <w:i/>
          <w:iCs/>
          <w:sz w:val="20"/>
          <w:szCs w:val="20"/>
        </w:rPr>
        <w:t>niezmiennie</w:t>
      </w:r>
      <w:r w:rsidR="00521C36" w:rsidRPr="00521C36">
        <w:rPr>
          <w:i/>
          <w:iCs/>
          <w:sz w:val="20"/>
          <w:szCs w:val="20"/>
        </w:rPr>
        <w:t xml:space="preserve"> dominują parki handlowe – obecnie powstaje aż 480 </w:t>
      </w:r>
      <w:r w:rsidR="00380072" w:rsidRPr="00380072">
        <w:rPr>
          <w:i/>
          <w:iCs/>
          <w:sz w:val="20"/>
          <w:szCs w:val="20"/>
        </w:rPr>
        <w:t>000</w:t>
      </w:r>
      <w:r w:rsidR="00521C36" w:rsidRPr="00521C36">
        <w:rPr>
          <w:i/>
          <w:iCs/>
          <w:sz w:val="20"/>
          <w:szCs w:val="20"/>
        </w:rPr>
        <w:t xml:space="preserve"> mkw. tego typu powierzchni, najwięcej w historii. Około 50% </w:t>
      </w:r>
      <w:r w:rsidR="00380072" w:rsidRPr="00380072">
        <w:rPr>
          <w:i/>
          <w:iCs/>
          <w:sz w:val="20"/>
          <w:szCs w:val="20"/>
        </w:rPr>
        <w:t xml:space="preserve">z tej </w:t>
      </w:r>
      <w:r w:rsidR="00521C36" w:rsidRPr="00521C36">
        <w:rPr>
          <w:i/>
          <w:iCs/>
          <w:sz w:val="20"/>
          <w:szCs w:val="20"/>
        </w:rPr>
        <w:t>powierzchni znajduje się w miastach i miejscowościach o liczbie mieszkańców nieprzekraczającej 50 tys. osób</w:t>
      </w:r>
      <w:r>
        <w:rPr>
          <w:i/>
          <w:iCs/>
          <w:sz w:val="20"/>
          <w:szCs w:val="20"/>
        </w:rPr>
        <w:t>,</w:t>
      </w:r>
      <w:r w:rsidR="00521C36" w:rsidRPr="00521C36">
        <w:rPr>
          <w:i/>
          <w:iCs/>
          <w:sz w:val="20"/>
          <w:szCs w:val="20"/>
        </w:rPr>
        <w:t xml:space="preserve"> zlokalizowanych poza głównymi 30 aglomeracjami</w:t>
      </w:r>
      <w:r w:rsidR="00380072" w:rsidRPr="00380072">
        <w:rPr>
          <w:i/>
          <w:iCs/>
          <w:sz w:val="20"/>
          <w:szCs w:val="20"/>
        </w:rPr>
        <w:t>, co wskazuje na rosnącą rolę mniejszych rynków handlowych</w:t>
      </w:r>
      <w:r w:rsidR="00380072">
        <w:rPr>
          <w:sz w:val="20"/>
          <w:szCs w:val="20"/>
        </w:rPr>
        <w:t xml:space="preserve"> – dodaje </w:t>
      </w:r>
      <w:r w:rsidR="00380072" w:rsidRPr="00A77239">
        <w:rPr>
          <w:b/>
          <w:bCs/>
          <w:sz w:val="20"/>
          <w:szCs w:val="20"/>
        </w:rPr>
        <w:t>Ewa Derlatka-Chilewicz.</w:t>
      </w:r>
    </w:p>
    <w:p w14:paraId="1336C95A" w14:textId="0C8FE04D" w:rsidR="000B32B0" w:rsidRPr="000B32B0" w:rsidRDefault="000B32B0" w:rsidP="000B32B0">
      <w:pPr>
        <w:spacing w:line="240" w:lineRule="auto"/>
        <w:jc w:val="both"/>
        <w:rPr>
          <w:b/>
          <w:bCs/>
          <w:sz w:val="20"/>
          <w:szCs w:val="20"/>
        </w:rPr>
      </w:pPr>
      <w:r w:rsidRPr="000B32B0">
        <w:rPr>
          <w:b/>
          <w:bCs/>
          <w:sz w:val="20"/>
          <w:szCs w:val="20"/>
        </w:rPr>
        <w:t>POPYT:</w:t>
      </w:r>
      <w:r w:rsidR="002426EB" w:rsidRPr="00B919D3">
        <w:rPr>
          <w:b/>
          <w:bCs/>
          <w:sz w:val="20"/>
          <w:szCs w:val="20"/>
        </w:rPr>
        <w:t xml:space="preserve"> </w:t>
      </w:r>
      <w:r w:rsidRPr="00B919D3">
        <w:rPr>
          <w:b/>
          <w:bCs/>
          <w:sz w:val="20"/>
          <w:szCs w:val="20"/>
        </w:rPr>
        <w:t>SIEDEM</w:t>
      </w:r>
      <w:r w:rsidRPr="000B32B0">
        <w:rPr>
          <w:b/>
          <w:bCs/>
          <w:sz w:val="20"/>
          <w:szCs w:val="20"/>
        </w:rPr>
        <w:t xml:space="preserve"> DEBIUTÓW NOWYCH MAREK HANDLOWYCH, W TYM </w:t>
      </w:r>
      <w:r w:rsidRPr="00B919D3">
        <w:rPr>
          <w:b/>
          <w:bCs/>
          <w:sz w:val="20"/>
          <w:szCs w:val="20"/>
        </w:rPr>
        <w:t>TRZY</w:t>
      </w:r>
      <w:r w:rsidRPr="000B32B0">
        <w:rPr>
          <w:b/>
          <w:bCs/>
          <w:sz w:val="20"/>
          <w:szCs w:val="20"/>
        </w:rPr>
        <w:t xml:space="preserve"> W ZŁOTYCH TARASACH</w:t>
      </w:r>
    </w:p>
    <w:p w14:paraId="37D7341F" w14:textId="6F011EB2" w:rsidR="000B32B0" w:rsidRPr="000B32B0" w:rsidRDefault="000B32B0" w:rsidP="000B32B0">
      <w:pPr>
        <w:spacing w:line="240" w:lineRule="auto"/>
        <w:jc w:val="both"/>
        <w:rPr>
          <w:sz w:val="20"/>
          <w:szCs w:val="20"/>
        </w:rPr>
      </w:pPr>
      <w:r w:rsidRPr="000B32B0">
        <w:rPr>
          <w:sz w:val="20"/>
          <w:szCs w:val="20"/>
        </w:rPr>
        <w:t xml:space="preserve">Nowe sieci handlowe, do tej pory niedostępne na polskim rynku w formacie stacjonarnych sklepów, otwierają swoje pierwsze placówki i planują dalszą ekspansję. W trzecim kwartale </w:t>
      </w:r>
      <w:r>
        <w:rPr>
          <w:sz w:val="20"/>
          <w:szCs w:val="20"/>
        </w:rPr>
        <w:t xml:space="preserve">odnotowano siedem </w:t>
      </w:r>
      <w:r w:rsidRPr="000B32B0">
        <w:rPr>
          <w:sz w:val="20"/>
          <w:szCs w:val="20"/>
        </w:rPr>
        <w:t>debiu</w:t>
      </w:r>
      <w:r>
        <w:rPr>
          <w:sz w:val="20"/>
          <w:szCs w:val="20"/>
        </w:rPr>
        <w:t>tów</w:t>
      </w:r>
      <w:r w:rsidRPr="000B32B0">
        <w:rPr>
          <w:sz w:val="20"/>
          <w:szCs w:val="20"/>
        </w:rPr>
        <w:t xml:space="preserve">: </w:t>
      </w:r>
      <w:proofErr w:type="spellStart"/>
      <w:r w:rsidRPr="000B32B0">
        <w:rPr>
          <w:sz w:val="20"/>
          <w:szCs w:val="20"/>
        </w:rPr>
        <w:t>Carhartt</w:t>
      </w:r>
      <w:proofErr w:type="spellEnd"/>
      <w:r w:rsidRPr="000B32B0">
        <w:rPr>
          <w:sz w:val="20"/>
          <w:szCs w:val="20"/>
        </w:rPr>
        <w:t xml:space="preserve"> WIP (amerykański brand modowy, pierwsza lokalizacja na Placu Zbawiciela w Warszawie), </w:t>
      </w:r>
      <w:proofErr w:type="spellStart"/>
      <w:r w:rsidRPr="000B32B0">
        <w:rPr>
          <w:sz w:val="20"/>
          <w:szCs w:val="20"/>
        </w:rPr>
        <w:t>MiniSo</w:t>
      </w:r>
      <w:proofErr w:type="spellEnd"/>
      <w:r w:rsidRPr="000B32B0">
        <w:rPr>
          <w:sz w:val="20"/>
          <w:szCs w:val="20"/>
        </w:rPr>
        <w:t xml:space="preserve"> </w:t>
      </w:r>
      <w:r w:rsidRPr="000B32B0">
        <w:rPr>
          <w:sz w:val="20"/>
          <w:szCs w:val="20"/>
        </w:rPr>
        <w:lastRenderedPageBreak/>
        <w:t xml:space="preserve">(sklep z akcesoriami i zabawkami w Złotych Tarasach), DRM-LND (personalizowane dodatki i akcesoria w Złotych Tarasach), ZAG </w:t>
      </w:r>
      <w:proofErr w:type="spellStart"/>
      <w:r w:rsidRPr="000B32B0">
        <w:rPr>
          <w:sz w:val="20"/>
          <w:szCs w:val="20"/>
        </w:rPr>
        <w:t>Bijoux</w:t>
      </w:r>
      <w:proofErr w:type="spellEnd"/>
      <w:r w:rsidRPr="000B32B0">
        <w:rPr>
          <w:sz w:val="20"/>
          <w:szCs w:val="20"/>
        </w:rPr>
        <w:t xml:space="preserve"> (biżuteria, Złote Tarasy), dwie ukraińskie marki modowe Ocean (Marszałkowska w Warszawie) i One By One (</w:t>
      </w:r>
      <w:proofErr w:type="spellStart"/>
      <w:r w:rsidRPr="000B32B0">
        <w:rPr>
          <w:sz w:val="20"/>
          <w:szCs w:val="20"/>
        </w:rPr>
        <w:t>Posnania</w:t>
      </w:r>
      <w:proofErr w:type="spellEnd"/>
      <w:r w:rsidRPr="000B32B0">
        <w:rPr>
          <w:sz w:val="20"/>
          <w:szCs w:val="20"/>
        </w:rPr>
        <w:t xml:space="preserve">) oraz zapachy </w:t>
      </w:r>
      <w:proofErr w:type="spellStart"/>
      <w:r w:rsidRPr="000B32B0">
        <w:rPr>
          <w:sz w:val="20"/>
          <w:szCs w:val="20"/>
        </w:rPr>
        <w:t>Almarah</w:t>
      </w:r>
      <w:proofErr w:type="spellEnd"/>
      <w:r w:rsidRPr="000B32B0">
        <w:rPr>
          <w:sz w:val="20"/>
          <w:szCs w:val="20"/>
        </w:rPr>
        <w:t xml:space="preserve"> </w:t>
      </w:r>
      <w:proofErr w:type="spellStart"/>
      <w:r w:rsidRPr="000B32B0">
        <w:rPr>
          <w:sz w:val="20"/>
          <w:szCs w:val="20"/>
        </w:rPr>
        <w:t>Perfumes</w:t>
      </w:r>
      <w:proofErr w:type="spellEnd"/>
      <w:r w:rsidRPr="000B32B0">
        <w:rPr>
          <w:sz w:val="20"/>
          <w:szCs w:val="20"/>
        </w:rPr>
        <w:t xml:space="preserve"> w Galerii Młociny.</w:t>
      </w:r>
    </w:p>
    <w:p w14:paraId="55F76C77" w14:textId="19038B87" w:rsidR="000B32B0" w:rsidRPr="000B32B0" w:rsidRDefault="000B32B0" w:rsidP="000B32B0">
      <w:pPr>
        <w:spacing w:line="240" w:lineRule="auto"/>
        <w:jc w:val="both"/>
        <w:rPr>
          <w:b/>
          <w:bCs/>
          <w:sz w:val="20"/>
          <w:szCs w:val="20"/>
        </w:rPr>
      </w:pPr>
      <w:r w:rsidRPr="000B32B0">
        <w:rPr>
          <w:b/>
          <w:bCs/>
          <w:sz w:val="20"/>
          <w:szCs w:val="20"/>
        </w:rPr>
        <w:t>SPRZEDAŻ DETALICZNA: KONSUMENCI KONCENTRUJĄ SIĘ NA ZAKUPIE DÓBR TRWAŁYCH, OGRANICZAJĄC WYDATKI PODSTAWOWE</w:t>
      </w:r>
    </w:p>
    <w:p w14:paraId="00CA3F91" w14:textId="77777777" w:rsidR="000B32B0" w:rsidRDefault="000B32B0" w:rsidP="000B32B0">
      <w:pPr>
        <w:spacing w:line="240" w:lineRule="auto"/>
        <w:jc w:val="both"/>
        <w:rPr>
          <w:sz w:val="20"/>
          <w:szCs w:val="20"/>
        </w:rPr>
      </w:pPr>
      <w:r w:rsidRPr="000B32B0">
        <w:rPr>
          <w:sz w:val="20"/>
          <w:szCs w:val="20"/>
        </w:rPr>
        <w:t xml:space="preserve">Po bardzo mocnym drugim kwartale, trzeci kwartał przyniósł dalszy wzrost sprzedaży detalicznej, choć dynamika była niższa niż w szczytowym kwietniu. </w:t>
      </w:r>
    </w:p>
    <w:p w14:paraId="1008FDF4" w14:textId="16AF9A75" w:rsidR="000B32B0" w:rsidRPr="000B32B0" w:rsidRDefault="002426EB" w:rsidP="000B32B0">
      <w:pPr>
        <w:spacing w:line="240" w:lineRule="auto"/>
        <w:jc w:val="both"/>
        <w:rPr>
          <w:sz w:val="20"/>
          <w:szCs w:val="20"/>
        </w:rPr>
      </w:pPr>
      <w:r w:rsidRPr="002426EB">
        <w:rPr>
          <w:i/>
          <w:iCs/>
          <w:sz w:val="20"/>
          <w:szCs w:val="20"/>
        </w:rPr>
        <w:t xml:space="preserve">– </w:t>
      </w:r>
      <w:r w:rsidR="000B32B0" w:rsidRPr="000B32B0">
        <w:rPr>
          <w:i/>
          <w:iCs/>
          <w:sz w:val="20"/>
          <w:szCs w:val="20"/>
        </w:rPr>
        <w:t xml:space="preserve">W lipcu sprzedaż detaliczna w cenach stałych wzrosła o 4,8% r/r, a w sierpniu o 3,1% r/r. </w:t>
      </w:r>
      <w:r w:rsidR="000B32B0" w:rsidRPr="002426EB">
        <w:rPr>
          <w:i/>
          <w:iCs/>
          <w:sz w:val="20"/>
          <w:szCs w:val="20"/>
        </w:rPr>
        <w:t>W sierpniu p</w:t>
      </w:r>
      <w:r w:rsidR="000B32B0" w:rsidRPr="000B32B0">
        <w:rPr>
          <w:i/>
          <w:iCs/>
          <w:sz w:val="20"/>
          <w:szCs w:val="20"/>
        </w:rPr>
        <w:t>ozytywnie wyróżniły się kategorie szczególnie ważne dla centrów handlowych, takie jak „Tekstylia, odzież i obuwie” oraz „Meble, RTV, AGD”</w:t>
      </w:r>
      <w:r w:rsidR="000B32B0" w:rsidRPr="002426EB">
        <w:rPr>
          <w:i/>
          <w:iCs/>
          <w:sz w:val="20"/>
          <w:szCs w:val="20"/>
        </w:rPr>
        <w:t xml:space="preserve">, które zanotowały </w:t>
      </w:r>
      <w:r w:rsidR="00920861" w:rsidRPr="002426EB">
        <w:rPr>
          <w:i/>
          <w:iCs/>
          <w:sz w:val="20"/>
          <w:szCs w:val="20"/>
        </w:rPr>
        <w:t>wzrost</w:t>
      </w:r>
      <w:r w:rsidR="000B32B0" w:rsidRPr="002426EB">
        <w:rPr>
          <w:i/>
          <w:iCs/>
          <w:sz w:val="20"/>
          <w:szCs w:val="20"/>
        </w:rPr>
        <w:t xml:space="preserve"> o odpowiednio 1</w:t>
      </w:r>
      <w:r w:rsidR="00920861" w:rsidRPr="002426EB">
        <w:rPr>
          <w:i/>
          <w:iCs/>
          <w:sz w:val="20"/>
          <w:szCs w:val="20"/>
        </w:rPr>
        <w:t>8</w:t>
      </w:r>
      <w:r w:rsidR="000B32B0" w:rsidRPr="002426EB">
        <w:rPr>
          <w:i/>
          <w:iCs/>
          <w:sz w:val="20"/>
          <w:szCs w:val="20"/>
        </w:rPr>
        <w:t>,</w:t>
      </w:r>
      <w:r w:rsidR="00920861" w:rsidRPr="002426EB">
        <w:rPr>
          <w:i/>
          <w:iCs/>
          <w:sz w:val="20"/>
          <w:szCs w:val="20"/>
        </w:rPr>
        <w:t>9</w:t>
      </w:r>
      <w:r w:rsidR="000B32B0" w:rsidRPr="002426EB">
        <w:rPr>
          <w:i/>
          <w:iCs/>
          <w:sz w:val="20"/>
          <w:szCs w:val="20"/>
        </w:rPr>
        <w:t xml:space="preserve">% r/r i </w:t>
      </w:r>
      <w:r w:rsidR="00920861" w:rsidRPr="002426EB">
        <w:rPr>
          <w:i/>
          <w:iCs/>
          <w:sz w:val="20"/>
          <w:szCs w:val="20"/>
        </w:rPr>
        <w:t>13,9% r/r</w:t>
      </w:r>
      <w:r w:rsidR="009D29D3">
        <w:rPr>
          <w:i/>
          <w:iCs/>
          <w:sz w:val="20"/>
          <w:szCs w:val="20"/>
        </w:rPr>
        <w:t>.</w:t>
      </w:r>
      <w:r w:rsidR="000B32B0" w:rsidRPr="000B32B0">
        <w:rPr>
          <w:i/>
          <w:iCs/>
          <w:sz w:val="20"/>
          <w:szCs w:val="20"/>
        </w:rPr>
        <w:t xml:space="preserve"> W segmencie mebli, RTV i AGD, po okresie spadków w latach 2023–2024, w ostatnich miesiącach </w:t>
      </w:r>
      <w:r w:rsidR="00920861" w:rsidRPr="002426EB">
        <w:rPr>
          <w:i/>
          <w:iCs/>
          <w:sz w:val="20"/>
          <w:szCs w:val="20"/>
        </w:rPr>
        <w:t xml:space="preserve">również </w:t>
      </w:r>
      <w:r w:rsidR="000B32B0" w:rsidRPr="000B32B0">
        <w:rPr>
          <w:i/>
          <w:iCs/>
          <w:sz w:val="20"/>
          <w:szCs w:val="20"/>
        </w:rPr>
        <w:t>obserwujemy wyraźne odbicie sprzedaży detalicznej.</w:t>
      </w:r>
      <w:r w:rsidR="00920861" w:rsidRPr="002426EB">
        <w:rPr>
          <w:i/>
          <w:iCs/>
          <w:sz w:val="20"/>
          <w:szCs w:val="20"/>
        </w:rPr>
        <w:t xml:space="preserve"> Taka sytuacja może być rezultatem wyższego aniżeli w innych państwach Europy wskaźnika ufności konsumenckiej. </w:t>
      </w:r>
      <w:r w:rsidRPr="002426EB">
        <w:rPr>
          <w:i/>
          <w:iCs/>
          <w:sz w:val="20"/>
          <w:szCs w:val="20"/>
        </w:rPr>
        <w:t>Według</w:t>
      </w:r>
      <w:r w:rsidR="00920861" w:rsidRPr="000B32B0">
        <w:rPr>
          <w:i/>
          <w:iCs/>
          <w:sz w:val="20"/>
          <w:szCs w:val="20"/>
        </w:rPr>
        <w:t xml:space="preserve"> </w:t>
      </w:r>
      <w:r w:rsidR="00D46217" w:rsidRPr="002426EB">
        <w:rPr>
          <w:i/>
          <w:iCs/>
          <w:sz w:val="20"/>
          <w:szCs w:val="20"/>
        </w:rPr>
        <w:t>badani</w:t>
      </w:r>
      <w:r w:rsidRPr="002426EB">
        <w:rPr>
          <w:i/>
          <w:iCs/>
          <w:sz w:val="20"/>
          <w:szCs w:val="20"/>
        </w:rPr>
        <w:t>a</w:t>
      </w:r>
      <w:r w:rsidR="00D46217" w:rsidRPr="002426EB">
        <w:rPr>
          <w:i/>
          <w:iCs/>
          <w:sz w:val="20"/>
          <w:szCs w:val="20"/>
        </w:rPr>
        <w:t xml:space="preserve"> Eurostat</w:t>
      </w:r>
      <w:r w:rsidRPr="002426EB">
        <w:rPr>
          <w:i/>
          <w:iCs/>
          <w:sz w:val="20"/>
          <w:szCs w:val="20"/>
        </w:rPr>
        <w:t xml:space="preserve"> </w:t>
      </w:r>
      <w:r w:rsidR="00920861" w:rsidRPr="000B32B0">
        <w:rPr>
          <w:i/>
          <w:iCs/>
          <w:sz w:val="20"/>
          <w:szCs w:val="20"/>
        </w:rPr>
        <w:t xml:space="preserve">Polska wciąż pozostaje </w:t>
      </w:r>
      <w:r w:rsidRPr="002426EB">
        <w:rPr>
          <w:i/>
          <w:iCs/>
          <w:sz w:val="20"/>
          <w:szCs w:val="20"/>
        </w:rPr>
        <w:t xml:space="preserve">pod tym względem </w:t>
      </w:r>
      <w:r w:rsidR="00920861" w:rsidRPr="000B32B0">
        <w:rPr>
          <w:i/>
          <w:iCs/>
          <w:sz w:val="20"/>
          <w:szCs w:val="20"/>
        </w:rPr>
        <w:t xml:space="preserve">w czołówce na tle innych państw europejskich. Po tegorocznych przeskokach z czerwca (+2,8) oraz lipca (-2,5), we wrześniu wskaźnik ufności polskich konsumentów ustabilizował się wynosząc -1,0. Średnia w Unii Europejskiej wyniosła </w:t>
      </w:r>
      <w:r w:rsidRPr="002426EB">
        <w:rPr>
          <w:i/>
          <w:iCs/>
          <w:sz w:val="20"/>
          <w:szCs w:val="20"/>
        </w:rPr>
        <w:t>z kolei w tym czasie</w:t>
      </w:r>
      <w:r w:rsidR="00920861" w:rsidRPr="000B32B0">
        <w:rPr>
          <w:i/>
          <w:iCs/>
          <w:sz w:val="20"/>
          <w:szCs w:val="20"/>
        </w:rPr>
        <w:t xml:space="preserve"> -14,3</w:t>
      </w:r>
      <w:r w:rsidRPr="002426EB">
        <w:rPr>
          <w:i/>
          <w:iCs/>
          <w:sz w:val="20"/>
          <w:szCs w:val="20"/>
        </w:rPr>
        <w:t xml:space="preserve"> – </w:t>
      </w:r>
      <w:r>
        <w:rPr>
          <w:sz w:val="20"/>
          <w:szCs w:val="20"/>
        </w:rPr>
        <w:t xml:space="preserve">komentuje </w:t>
      </w:r>
      <w:r w:rsidRPr="00A1678D">
        <w:rPr>
          <w:b/>
          <w:bCs/>
          <w:sz w:val="20"/>
          <w:szCs w:val="20"/>
        </w:rPr>
        <w:t xml:space="preserve">Ewelina Staruch, Senior </w:t>
      </w:r>
      <w:proofErr w:type="spellStart"/>
      <w:r w:rsidRPr="00A1678D">
        <w:rPr>
          <w:b/>
          <w:bCs/>
          <w:sz w:val="20"/>
          <w:szCs w:val="20"/>
        </w:rPr>
        <w:t>Analyst</w:t>
      </w:r>
      <w:proofErr w:type="spellEnd"/>
      <w:r w:rsidRPr="00A1678D">
        <w:rPr>
          <w:b/>
          <w:bCs/>
          <w:sz w:val="20"/>
          <w:szCs w:val="20"/>
        </w:rPr>
        <w:t>, Cushman &amp; Wakefield.</w:t>
      </w:r>
    </w:p>
    <w:p w14:paraId="4403429F" w14:textId="132994D0" w:rsidR="000B32B0" w:rsidRPr="000B32B0" w:rsidRDefault="000B32B0" w:rsidP="000B32B0">
      <w:pPr>
        <w:spacing w:line="240" w:lineRule="auto"/>
        <w:jc w:val="both"/>
        <w:rPr>
          <w:sz w:val="20"/>
          <w:szCs w:val="20"/>
        </w:rPr>
      </w:pPr>
      <w:r w:rsidRPr="000B32B0">
        <w:rPr>
          <w:sz w:val="20"/>
          <w:szCs w:val="20"/>
        </w:rPr>
        <w:t xml:space="preserve">Spadki sprzedaży detalicznej w sierpniu dotyczyły trzech kategorii: </w:t>
      </w:r>
      <w:r w:rsidR="00FF79D0" w:rsidRPr="000B32B0">
        <w:rPr>
          <w:i/>
          <w:iCs/>
          <w:sz w:val="20"/>
          <w:szCs w:val="20"/>
        </w:rPr>
        <w:t>„</w:t>
      </w:r>
      <w:r w:rsidRPr="000B32B0">
        <w:rPr>
          <w:sz w:val="20"/>
          <w:szCs w:val="20"/>
        </w:rPr>
        <w:t xml:space="preserve">Pozostałe”, </w:t>
      </w:r>
      <w:r w:rsidR="00FF79D0" w:rsidRPr="000B32B0">
        <w:rPr>
          <w:i/>
          <w:iCs/>
          <w:sz w:val="20"/>
          <w:szCs w:val="20"/>
        </w:rPr>
        <w:t>„</w:t>
      </w:r>
      <w:r w:rsidRPr="000B32B0">
        <w:rPr>
          <w:sz w:val="20"/>
          <w:szCs w:val="20"/>
        </w:rPr>
        <w:t xml:space="preserve">Żywność, napoje i wyroby tytoniowe” oraz </w:t>
      </w:r>
      <w:r w:rsidR="00FF79D0" w:rsidRPr="000B32B0">
        <w:rPr>
          <w:i/>
          <w:iCs/>
          <w:sz w:val="20"/>
          <w:szCs w:val="20"/>
        </w:rPr>
        <w:t>„</w:t>
      </w:r>
      <w:r w:rsidRPr="000B32B0">
        <w:rPr>
          <w:sz w:val="20"/>
          <w:szCs w:val="20"/>
        </w:rPr>
        <w:t>Prasa, książki, sprzedaż w wyspecjalizowanych sklepach”. W grupie o najwyższym udziale w sprzedaży detalicznej „ogółem” – „Żywność, napoje i wyroby tytoniowe” zaobserwowano spadek sprzedaży o 3,4% r/r. Utrzymanie korzystnych warunków makroekonomicznych, w tym stabilne</w:t>
      </w:r>
      <w:r w:rsidR="00593403">
        <w:rPr>
          <w:sz w:val="20"/>
          <w:szCs w:val="20"/>
        </w:rPr>
        <w:t>go</w:t>
      </w:r>
      <w:r w:rsidRPr="000B32B0">
        <w:rPr>
          <w:sz w:val="20"/>
          <w:szCs w:val="20"/>
        </w:rPr>
        <w:t xml:space="preserve"> zatrudnieni</w:t>
      </w:r>
      <w:r w:rsidR="0050494D">
        <w:rPr>
          <w:sz w:val="20"/>
          <w:szCs w:val="20"/>
        </w:rPr>
        <w:t>a</w:t>
      </w:r>
      <w:r w:rsidRPr="000B32B0">
        <w:rPr>
          <w:sz w:val="20"/>
          <w:szCs w:val="20"/>
        </w:rPr>
        <w:t xml:space="preserve"> </w:t>
      </w:r>
      <w:r w:rsidR="002426EB">
        <w:rPr>
          <w:sz w:val="20"/>
          <w:szCs w:val="20"/>
        </w:rPr>
        <w:t xml:space="preserve">i </w:t>
      </w:r>
      <w:r w:rsidRPr="000B32B0">
        <w:rPr>
          <w:sz w:val="20"/>
          <w:szCs w:val="20"/>
        </w:rPr>
        <w:t>wyhamowani</w:t>
      </w:r>
      <w:r w:rsidR="00A951D1">
        <w:rPr>
          <w:sz w:val="20"/>
          <w:szCs w:val="20"/>
        </w:rPr>
        <w:t>a</w:t>
      </w:r>
      <w:r w:rsidRPr="000B32B0">
        <w:rPr>
          <w:sz w:val="20"/>
          <w:szCs w:val="20"/>
        </w:rPr>
        <w:t xml:space="preserve"> inflacji, może sprzyjać dalszym wzrostom konsumpcji prywatnej w czwartym kwartale.</w:t>
      </w:r>
    </w:p>
    <w:p w14:paraId="2074F157" w14:textId="3E063FF5" w:rsidR="002426EB" w:rsidRPr="002426EB" w:rsidRDefault="002426EB" w:rsidP="002426EB">
      <w:pPr>
        <w:spacing w:line="240" w:lineRule="auto"/>
        <w:jc w:val="both"/>
        <w:rPr>
          <w:b/>
          <w:bCs/>
          <w:sz w:val="20"/>
          <w:szCs w:val="20"/>
        </w:rPr>
      </w:pPr>
      <w:r w:rsidRPr="002426EB">
        <w:rPr>
          <w:b/>
          <w:bCs/>
          <w:sz w:val="20"/>
          <w:szCs w:val="20"/>
        </w:rPr>
        <w:t>ODWIEDZALNOŚĆ I OBROTY: WZROST TYLKO WE WRZEŚNIU, OBROTY PONAD 3% W GÓRĘ</w:t>
      </w:r>
    </w:p>
    <w:p w14:paraId="7053A2F6" w14:textId="391AEAEA" w:rsidR="002426EB" w:rsidRPr="002426EB" w:rsidRDefault="002426EB" w:rsidP="002426EB">
      <w:pPr>
        <w:spacing w:line="240" w:lineRule="auto"/>
        <w:jc w:val="both"/>
        <w:rPr>
          <w:b/>
          <w:bCs/>
          <w:sz w:val="20"/>
          <w:szCs w:val="20"/>
        </w:rPr>
      </w:pPr>
      <w:r w:rsidRPr="002426EB">
        <w:rPr>
          <w:i/>
          <w:iCs/>
          <w:sz w:val="20"/>
          <w:szCs w:val="20"/>
        </w:rPr>
        <w:t>– Średnia odwiedzalność centrów handlowych w trzecim kwartale sięgnęła ok. 425 tys. klientów w przeliczeniu na jeden obiekt. Najlepszym miesiącem pod względem liczby odwiedzających okazał się sierpień, kiedy centra odwiedziło średnio ok. 440 tys. per jeden obiekt. Natomiast rok do roku koniec wakacji odnotował spadek o 1,4% –</w:t>
      </w:r>
      <w:r>
        <w:rPr>
          <w:sz w:val="20"/>
          <w:szCs w:val="20"/>
        </w:rPr>
        <w:t xml:space="preserve"> dodaje </w:t>
      </w:r>
      <w:r w:rsidRPr="00A77239">
        <w:rPr>
          <w:b/>
          <w:bCs/>
          <w:sz w:val="20"/>
          <w:szCs w:val="20"/>
        </w:rPr>
        <w:t>Ewa Derlatka-Chilewicz.</w:t>
      </w:r>
    </w:p>
    <w:p w14:paraId="415B5A0B" w14:textId="10D065FC" w:rsidR="002426EB" w:rsidRPr="002426EB" w:rsidRDefault="002426EB" w:rsidP="002426EB">
      <w:pPr>
        <w:spacing w:line="240" w:lineRule="auto"/>
        <w:jc w:val="both"/>
        <w:rPr>
          <w:sz w:val="20"/>
          <w:szCs w:val="20"/>
        </w:rPr>
      </w:pPr>
      <w:r w:rsidRPr="002426EB">
        <w:rPr>
          <w:sz w:val="20"/>
          <w:szCs w:val="20"/>
        </w:rPr>
        <w:t>W lipcu zarejestrowano wynik ok. 435 tys. klientów, co stanowi wielkość niemal identyczną jak w lipcu 2024 roku. Z kolei wrzesień był jedynym miesiącem ze wzrostem 3,3% r/r, ale liczba klientów była mniejsza niż w lipcu i sierpniu, gdyż wyniosła ok. 400 tys. odwiedzających.</w:t>
      </w:r>
    </w:p>
    <w:p w14:paraId="689A1DC1" w14:textId="6DD5A7AD" w:rsidR="002426EB" w:rsidRPr="002426EB" w:rsidRDefault="002426EB" w:rsidP="002426EB">
      <w:pPr>
        <w:spacing w:line="240" w:lineRule="auto"/>
        <w:jc w:val="both"/>
        <w:rPr>
          <w:sz w:val="20"/>
          <w:szCs w:val="20"/>
        </w:rPr>
      </w:pPr>
      <w:r w:rsidRPr="002426EB">
        <w:rPr>
          <w:i/>
          <w:iCs/>
          <w:sz w:val="20"/>
          <w:szCs w:val="20"/>
        </w:rPr>
        <w:t xml:space="preserve">– Analizując wpływy finansowe najemców centrów handlowych w trzecim kwartale można zauważyć, że po uśrednieniu wzrosły one o nieco ponad 3%. W lipcu średnie obroty sięgnęły ok. 1130 zł netto na mkw., co wskazuje na wzrost o 3,4% r/r. W sierpniu zarejestrowano obroty na poziomie 1145 zł/ mkw. – wzrost o 3,2% r/r – </w:t>
      </w:r>
      <w:r>
        <w:rPr>
          <w:sz w:val="20"/>
          <w:szCs w:val="20"/>
        </w:rPr>
        <w:t xml:space="preserve">tłumaczy </w:t>
      </w:r>
      <w:r w:rsidRPr="00A1678D">
        <w:rPr>
          <w:b/>
          <w:bCs/>
          <w:sz w:val="20"/>
          <w:szCs w:val="20"/>
        </w:rPr>
        <w:t>Ewelina Staruch</w:t>
      </w:r>
      <w:r>
        <w:rPr>
          <w:b/>
          <w:bCs/>
          <w:sz w:val="20"/>
          <w:szCs w:val="20"/>
        </w:rPr>
        <w:t>.</w:t>
      </w:r>
    </w:p>
    <w:p w14:paraId="7B745312" w14:textId="388E9966" w:rsidR="002426EB" w:rsidRPr="002426EB" w:rsidRDefault="002426EB" w:rsidP="002426EB">
      <w:pPr>
        <w:spacing w:line="240" w:lineRule="auto"/>
        <w:jc w:val="both"/>
        <w:rPr>
          <w:sz w:val="20"/>
          <w:szCs w:val="20"/>
        </w:rPr>
      </w:pPr>
      <w:r w:rsidRPr="002426EB">
        <w:rPr>
          <w:sz w:val="20"/>
          <w:szCs w:val="20"/>
        </w:rPr>
        <w:t xml:space="preserve">Analizując poszczególne kategorie najemców można zaobserwować, że obroty w miesiącach styczeń-sierpień 2025 </w:t>
      </w:r>
      <w:r w:rsidR="00B919D3">
        <w:rPr>
          <w:sz w:val="20"/>
          <w:szCs w:val="20"/>
        </w:rPr>
        <w:t xml:space="preserve">roku </w:t>
      </w:r>
      <w:r w:rsidRPr="002426EB">
        <w:rPr>
          <w:sz w:val="20"/>
          <w:szCs w:val="20"/>
        </w:rPr>
        <w:t xml:space="preserve">najbardziej wzrosły w usługach (&gt;8%) oraz gastronomii i rozrywce (&gt;6%). Należy jednak zaznaczyć, </w:t>
      </w:r>
      <w:r w:rsidRPr="002426EB">
        <w:rPr>
          <w:sz w:val="20"/>
          <w:szCs w:val="20"/>
        </w:rPr>
        <w:lastRenderedPageBreak/>
        <w:t>że branża gastronomiczna boryka się z dużym wzrostem kosztów działalności i dobre wyniki obrotowe nie przekładają się bezpośrednio na ich zyski.</w:t>
      </w:r>
    </w:p>
    <w:p w14:paraId="38A3D133" w14:textId="77777777" w:rsidR="002426EB" w:rsidRPr="002426EB" w:rsidRDefault="002426EB" w:rsidP="002426EB">
      <w:pPr>
        <w:spacing w:line="240" w:lineRule="auto"/>
        <w:jc w:val="both"/>
        <w:rPr>
          <w:b/>
          <w:bCs/>
          <w:sz w:val="20"/>
          <w:szCs w:val="20"/>
        </w:rPr>
      </w:pPr>
      <w:r w:rsidRPr="002426EB">
        <w:rPr>
          <w:b/>
          <w:bCs/>
          <w:sz w:val="20"/>
          <w:szCs w:val="20"/>
        </w:rPr>
        <w:t>CZYNSZE: OBIEKTY TYPU PRIME Z DALSZYM POTENCJAŁEM DO WZROSTÓW​</w:t>
      </w:r>
    </w:p>
    <w:p w14:paraId="7F9D6E83" w14:textId="62B24FD6" w:rsidR="002426EB" w:rsidRPr="006D24A4" w:rsidRDefault="00B919D3" w:rsidP="002426EB">
      <w:pPr>
        <w:spacing w:line="240" w:lineRule="auto"/>
        <w:jc w:val="both"/>
        <w:rPr>
          <w:b/>
          <w:bCs/>
          <w:sz w:val="20"/>
          <w:szCs w:val="20"/>
        </w:rPr>
      </w:pPr>
      <w:r w:rsidRPr="00B919D3">
        <w:rPr>
          <w:i/>
          <w:iCs/>
          <w:sz w:val="20"/>
          <w:szCs w:val="20"/>
        </w:rPr>
        <w:t xml:space="preserve">– </w:t>
      </w:r>
      <w:r w:rsidR="002426EB" w:rsidRPr="002426EB">
        <w:rPr>
          <w:i/>
          <w:iCs/>
          <w:sz w:val="20"/>
          <w:szCs w:val="20"/>
        </w:rPr>
        <w:t>Średnie czynsze w najlepszych obiektach tzw. “</w:t>
      </w:r>
      <w:proofErr w:type="spellStart"/>
      <w:r w:rsidR="002426EB" w:rsidRPr="002426EB">
        <w:rPr>
          <w:i/>
          <w:iCs/>
          <w:sz w:val="20"/>
          <w:szCs w:val="20"/>
        </w:rPr>
        <w:t>prime</w:t>
      </w:r>
      <w:proofErr w:type="spellEnd"/>
      <w:r w:rsidR="002426EB" w:rsidRPr="002426EB">
        <w:rPr>
          <w:i/>
          <w:iCs/>
          <w:sz w:val="20"/>
          <w:szCs w:val="20"/>
        </w:rPr>
        <w:t>” wzrosły rokrocznie we wszystkich trzech formatach</w:t>
      </w:r>
      <w:r w:rsidRPr="00B919D3">
        <w:rPr>
          <w:i/>
          <w:iCs/>
          <w:sz w:val="20"/>
          <w:szCs w:val="20"/>
        </w:rPr>
        <w:t xml:space="preserve">, czyli </w:t>
      </w:r>
      <w:r w:rsidR="002426EB" w:rsidRPr="002426EB">
        <w:rPr>
          <w:i/>
          <w:iCs/>
          <w:sz w:val="20"/>
          <w:szCs w:val="20"/>
        </w:rPr>
        <w:t>centrach, parkach i na ulicach handlowych. Wzrosty przewyższają wartości corocznej indeksacji o wskaźnik inflacji, co oznacza, że popyt na flagowe lokale jest wysoki, a dostępność najbardziej atrakcyjnych powierzchni ograniczona. Obiekty pozycjonowane na rynku średnio lub nisko mają zdecydowanie słabszy potencjał wzrostu czynszu, a najemcy lepszą pozycję negocjacyjną</w:t>
      </w:r>
      <w:r w:rsidRPr="00B919D3">
        <w:rPr>
          <w:i/>
          <w:iCs/>
          <w:sz w:val="20"/>
          <w:szCs w:val="20"/>
        </w:rPr>
        <w:t xml:space="preserve"> –</w:t>
      </w:r>
      <w:r>
        <w:rPr>
          <w:sz w:val="20"/>
          <w:szCs w:val="20"/>
        </w:rPr>
        <w:t xml:space="preserve"> mówi </w:t>
      </w:r>
      <w:r w:rsidR="006D24A4" w:rsidRPr="006D24A4">
        <w:rPr>
          <w:b/>
          <w:bCs/>
          <w:sz w:val="20"/>
          <w:szCs w:val="20"/>
        </w:rPr>
        <w:t xml:space="preserve">Paulina Bauer, </w:t>
      </w:r>
      <w:proofErr w:type="spellStart"/>
      <w:r w:rsidR="006D24A4" w:rsidRPr="006D24A4">
        <w:rPr>
          <w:b/>
          <w:bCs/>
          <w:sz w:val="20"/>
          <w:szCs w:val="20"/>
        </w:rPr>
        <w:t>Head</w:t>
      </w:r>
      <w:proofErr w:type="spellEnd"/>
      <w:r w:rsidR="006D24A4" w:rsidRPr="006D24A4">
        <w:rPr>
          <w:b/>
          <w:bCs/>
          <w:sz w:val="20"/>
          <w:szCs w:val="20"/>
        </w:rPr>
        <w:t xml:space="preserve"> of Retail </w:t>
      </w:r>
      <w:proofErr w:type="spellStart"/>
      <w:r w:rsidR="006D24A4" w:rsidRPr="006D24A4">
        <w:rPr>
          <w:b/>
          <w:bCs/>
          <w:sz w:val="20"/>
          <w:szCs w:val="20"/>
        </w:rPr>
        <w:t>Asset</w:t>
      </w:r>
      <w:proofErr w:type="spellEnd"/>
      <w:r w:rsidR="006D24A4" w:rsidRPr="006D24A4">
        <w:rPr>
          <w:b/>
          <w:bCs/>
          <w:sz w:val="20"/>
          <w:szCs w:val="20"/>
        </w:rPr>
        <w:t xml:space="preserve"> Services Poland, Cushman &amp; Wakefield.</w:t>
      </w:r>
    </w:p>
    <w:p w14:paraId="55A58163" w14:textId="519FBA24" w:rsidR="002426EB" w:rsidRPr="002426EB" w:rsidRDefault="002426EB" w:rsidP="002426EB">
      <w:pPr>
        <w:spacing w:line="240" w:lineRule="auto"/>
        <w:jc w:val="both"/>
        <w:rPr>
          <w:sz w:val="20"/>
          <w:szCs w:val="20"/>
        </w:rPr>
      </w:pPr>
      <w:r w:rsidRPr="002426EB">
        <w:rPr>
          <w:sz w:val="20"/>
          <w:szCs w:val="20"/>
        </w:rPr>
        <w:t>Czynsze w parkach handlowych odnotowały najwyższy wzrost rok do roku (12,5%), a także dalszy wzrost w ujęciu kwartalnym. W centrach i przy ulicach handlowych dynamika roczna utrzymała się na poziomie ok. 7–10%, przy stabilnych stawkach względem poprzedniego kwartału.</w:t>
      </w:r>
    </w:p>
    <w:p w14:paraId="6C7874CE" w14:textId="77777777" w:rsidR="00AC62A5" w:rsidRPr="00AF11EE" w:rsidRDefault="00AC62A5" w:rsidP="00AC62A5">
      <w:pPr>
        <w:jc w:val="center"/>
        <w:rPr>
          <w:sz w:val="16"/>
          <w:szCs w:val="16"/>
        </w:rPr>
      </w:pPr>
      <w:r>
        <w:rPr>
          <w:rFonts w:eastAsia="Times New Roman"/>
          <w:sz w:val="16"/>
          <w:szCs w:val="16"/>
          <w:lang w:eastAsia="en-US"/>
        </w:rPr>
        <w:t xml:space="preserve">- </w:t>
      </w:r>
      <w:r w:rsidRPr="004E5A7E">
        <w:rPr>
          <w:rFonts w:eastAsia="Times New Roman"/>
          <w:b/>
          <w:bCs/>
          <w:sz w:val="16"/>
          <w:szCs w:val="16"/>
          <w:lang w:eastAsia="en-US"/>
        </w:rPr>
        <w:t xml:space="preserve">KONIEC </w:t>
      </w:r>
      <w:r>
        <w:rPr>
          <w:rFonts w:eastAsia="Times New Roman"/>
          <w:b/>
          <w:bCs/>
          <w:sz w:val="16"/>
          <w:szCs w:val="16"/>
          <w:lang w:eastAsia="en-US"/>
        </w:rPr>
        <w:t>-</w:t>
      </w:r>
    </w:p>
    <w:p w14:paraId="330F4936" w14:textId="77777777" w:rsidR="00AC62A5" w:rsidRPr="00CE1EF8" w:rsidRDefault="00AC62A5" w:rsidP="008C6651">
      <w:pPr>
        <w:spacing w:line="240" w:lineRule="auto"/>
        <w:jc w:val="both"/>
        <w:rPr>
          <w:rFonts w:eastAsia="Times New Roman"/>
          <w:b/>
          <w:bCs/>
          <w:sz w:val="20"/>
          <w:szCs w:val="20"/>
          <w:lang w:eastAsia="en-US"/>
        </w:rPr>
      </w:pPr>
    </w:p>
    <w:p w14:paraId="482909FA" w14:textId="239325B7" w:rsidR="004B3D1A" w:rsidRPr="00AC62A5" w:rsidRDefault="004B3D1A" w:rsidP="00AC62A5">
      <w:pPr>
        <w:spacing w:line="240" w:lineRule="auto"/>
        <w:jc w:val="both"/>
        <w:rPr>
          <w:rFonts w:eastAsia="Times New Roman"/>
          <w:b/>
          <w:bCs/>
          <w:sz w:val="20"/>
          <w:szCs w:val="20"/>
          <w:lang w:eastAsia="en-US"/>
        </w:rPr>
      </w:pPr>
      <w:r w:rsidRPr="007E6CDD">
        <w:rPr>
          <w:b/>
          <w:sz w:val="16"/>
          <w:szCs w:val="16"/>
        </w:rPr>
        <w:t>O Cushman &amp; Wakefiel</w:t>
      </w:r>
      <w:r w:rsidR="00AC6DF8" w:rsidRPr="007E6CDD">
        <w:rPr>
          <w:b/>
          <w:sz w:val="16"/>
          <w:szCs w:val="16"/>
        </w:rPr>
        <w:t>d</w:t>
      </w:r>
    </w:p>
    <w:p w14:paraId="720766D1" w14:textId="77777777" w:rsidR="00AC62A5" w:rsidRPr="004170C0" w:rsidRDefault="00AC62A5" w:rsidP="00AC62A5">
      <w:pPr>
        <w:jc w:val="both"/>
        <w:rPr>
          <w:bCs/>
          <w:sz w:val="16"/>
          <w:szCs w:val="16"/>
        </w:rPr>
      </w:pPr>
      <w:r w:rsidRPr="004170C0">
        <w:rPr>
          <w:bCs/>
          <w:sz w:val="16"/>
          <w:szCs w:val="16"/>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4170C0">
        <w:rPr>
          <w:bCs/>
          <w:i/>
          <w:iCs/>
          <w:sz w:val="16"/>
          <w:szCs w:val="16"/>
        </w:rPr>
        <w:t>Better</w:t>
      </w:r>
      <w:proofErr w:type="spellEnd"/>
      <w:r w:rsidRPr="004170C0">
        <w:rPr>
          <w:bCs/>
          <w:i/>
          <w:iCs/>
          <w:sz w:val="16"/>
          <w:szCs w:val="16"/>
        </w:rPr>
        <w:t xml:space="preserve"> </w:t>
      </w:r>
      <w:proofErr w:type="spellStart"/>
      <w:r w:rsidRPr="004170C0">
        <w:rPr>
          <w:bCs/>
          <w:i/>
          <w:iCs/>
          <w:sz w:val="16"/>
          <w:szCs w:val="16"/>
        </w:rPr>
        <w:t>never</w:t>
      </w:r>
      <w:proofErr w:type="spellEnd"/>
      <w:r w:rsidRPr="004170C0">
        <w:rPr>
          <w:bCs/>
          <w:i/>
          <w:iCs/>
          <w:sz w:val="16"/>
          <w:szCs w:val="16"/>
        </w:rPr>
        <w:t xml:space="preserve"> </w:t>
      </w:r>
      <w:proofErr w:type="spellStart"/>
      <w:r w:rsidRPr="004170C0">
        <w:rPr>
          <w:bCs/>
          <w:i/>
          <w:iCs/>
          <w:sz w:val="16"/>
          <w:szCs w:val="16"/>
        </w:rPr>
        <w:t>settles</w:t>
      </w:r>
      <w:proofErr w:type="spellEnd"/>
      <w:r w:rsidRPr="004170C0">
        <w:rPr>
          <w:bCs/>
          <w:sz w:val="16"/>
          <w:szCs w:val="16"/>
        </w:rPr>
        <w:t> Cushman &amp; Wakefield otrzymuje wiele wyróżnień oraz nagród w konkursach branżowych i biznesowych. Dodatkowe informacje na stronie </w:t>
      </w:r>
      <w:hyperlink r:id="rId11" w:tgtFrame="_blank" w:tooltip="http://www.cushmanwakefield.com" w:history="1">
        <w:r w:rsidRPr="004170C0">
          <w:rPr>
            <w:rStyle w:val="Hipercze"/>
            <w:bCs/>
            <w:sz w:val="16"/>
            <w:szCs w:val="16"/>
          </w:rPr>
          <w:t>www.cushmanwakefield.com</w:t>
        </w:r>
      </w:hyperlink>
      <w:r w:rsidRPr="004170C0">
        <w:rPr>
          <w:bCs/>
          <w:sz w:val="16"/>
          <w:szCs w:val="16"/>
        </w:rPr>
        <w:t>.</w:t>
      </w:r>
    </w:p>
    <w:p w14:paraId="64A83442" w14:textId="5CD6CB13" w:rsidR="00BC2537" w:rsidRPr="00AF11EE" w:rsidRDefault="00BC2537" w:rsidP="0017521E">
      <w:pPr>
        <w:jc w:val="center"/>
        <w:rPr>
          <w:sz w:val="16"/>
          <w:szCs w:val="16"/>
        </w:rPr>
      </w:pPr>
    </w:p>
    <w:sectPr w:rsidR="00BC2537" w:rsidRPr="00AF11EE">
      <w:headerReference w:type="default" r:id="rId12"/>
      <w:footerReference w:type="default" r:id="rId13"/>
      <w:headerReference w:type="first" r:id="rId14"/>
      <w:footerReference w:type="first" r:id="rId15"/>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AAD1" w14:textId="77777777" w:rsidR="00BE7EEF" w:rsidRDefault="00BE7EEF">
      <w:pPr>
        <w:spacing w:after="0" w:line="240" w:lineRule="auto"/>
      </w:pPr>
      <w:r>
        <w:separator/>
      </w:r>
    </w:p>
  </w:endnote>
  <w:endnote w:type="continuationSeparator" w:id="0">
    <w:p w14:paraId="56B6FD16" w14:textId="77777777" w:rsidR="00BE7EEF" w:rsidRDefault="00BE7EEF">
      <w:pPr>
        <w:spacing w:after="0" w:line="240" w:lineRule="auto"/>
      </w:pPr>
      <w:r>
        <w:continuationSeparator/>
      </w:r>
    </w:p>
  </w:endnote>
  <w:endnote w:type="continuationNotice" w:id="1">
    <w:p w14:paraId="4A0BAFE0" w14:textId="77777777" w:rsidR="00BE7EEF" w:rsidRDefault="00BE7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ayout w:type="fixed"/>
      <w:tblCellMar>
        <w:left w:w="0" w:type="dxa"/>
        <w:right w:w="0" w:type="dxa"/>
      </w:tblCellMar>
      <w:tblLook w:val="04A0" w:firstRow="1" w:lastRow="0" w:firstColumn="1" w:lastColumn="0" w:noHBand="0" w:noVBand="1"/>
    </w:tblPr>
    <w:tblGrid>
      <w:gridCol w:w="9000"/>
    </w:tblGrid>
    <w:tr w:rsidR="00DA114C" w:rsidRPr="005B2397" w14:paraId="2AD926AD" w14:textId="77777777">
      <w:trPr>
        <w:trHeight w:val="630"/>
      </w:trPr>
      <w:tc>
        <w:tcPr>
          <w:tcW w:w="8931" w:type="dxa"/>
          <w:vAlign w:val="bottom"/>
        </w:tcPr>
        <w:p w14:paraId="46F11C58" w14:textId="77777777" w:rsidR="00025C81" w:rsidRPr="00C8277A" w:rsidRDefault="001A4929">
          <w:pPr>
            <w:pStyle w:val="Nagwek2"/>
            <w:rPr>
              <w:rFonts w:ascii="Arial" w:hAnsi="Arial" w:cs="Arial"/>
              <w:color w:val="000000" w:themeColor="text1"/>
            </w:rPr>
          </w:pPr>
          <w:r w:rsidRPr="00C8277A">
            <w:rPr>
              <w:rFonts w:ascii="Arial" w:hAnsi="Arial" w:cs="Arial"/>
              <w:color w:val="000000" w:themeColor="text1"/>
            </w:rPr>
            <w:t>Dodatkowe informacje:</w:t>
          </w:r>
        </w:p>
      </w:tc>
    </w:tr>
    <w:tr w:rsidR="00DA114C" w:rsidRPr="00514E8F" w14:paraId="2F690183" w14:textId="77777777">
      <w:trPr>
        <w:trHeight w:val="1260"/>
      </w:trPr>
      <w:tc>
        <w:tcPr>
          <w:tcW w:w="8931" w:type="dxa"/>
        </w:tcPr>
        <w:tbl>
          <w:tblPr>
            <w:tblStyle w:val="PlainTable41"/>
            <w:tblW w:w="10095" w:type="dxa"/>
            <w:tblLayout w:type="fixed"/>
            <w:tblLook w:val="04A0" w:firstRow="1" w:lastRow="0" w:firstColumn="1" w:lastColumn="0" w:noHBand="0" w:noVBand="1"/>
          </w:tblPr>
          <w:tblGrid>
            <w:gridCol w:w="3467"/>
            <w:gridCol w:w="3763"/>
            <w:gridCol w:w="2865"/>
          </w:tblGrid>
          <w:tr w:rsidR="00DA114C" w:rsidRPr="00514E8F" w14:paraId="73319B5E" w14:textId="77777777" w:rsidTr="00DA114C">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3467" w:type="dxa"/>
              </w:tcPr>
              <w:tbl>
                <w:tblPr>
                  <w:tblStyle w:val="Tabela-Siatka"/>
                  <w:tblW w:w="24344"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gridCol w:w="6086"/>
                  <w:gridCol w:w="6086"/>
                </w:tblGrid>
                <w:tr w:rsidR="00DA114C" w:rsidRPr="00514E8F" w14:paraId="32B5F073" w14:textId="77777777" w:rsidTr="00B77D91">
                  <w:trPr>
                    <w:trHeight w:val="738"/>
                  </w:trPr>
                  <w:tc>
                    <w:tcPr>
                      <w:tcW w:w="6086" w:type="dxa"/>
                    </w:tcPr>
                    <w:p w14:paraId="67AD71FE" w14:textId="02F68497" w:rsidR="00025C81" w:rsidRPr="009D1ABC" w:rsidRDefault="00AF11EE">
                      <w:pPr>
                        <w:pStyle w:val="ContactName"/>
                        <w:spacing w:line="240" w:lineRule="auto"/>
                        <w:rPr>
                          <w:color w:val="696B6B"/>
                          <w:szCs w:val="18"/>
                          <w:u w:color="696B6B"/>
                          <w:lang w:val="en-US"/>
                        </w:rPr>
                      </w:pPr>
                      <w:r>
                        <w:rPr>
                          <w:color w:val="696B6B"/>
                          <w:szCs w:val="18"/>
                          <w:u w:color="696B6B"/>
                          <w:lang w:val="en-US"/>
                        </w:rPr>
                        <w:t>Karolina Samczyńska-</w:t>
                      </w:r>
                      <w:proofErr w:type="spellStart"/>
                      <w:r>
                        <w:rPr>
                          <w:color w:val="696B6B"/>
                          <w:szCs w:val="18"/>
                          <w:u w:color="696B6B"/>
                          <w:lang w:val="en-US"/>
                        </w:rPr>
                        <w:t>Fiślak</w:t>
                      </w:r>
                      <w:proofErr w:type="spellEnd"/>
                    </w:p>
                    <w:p w14:paraId="03FB117E" w14:textId="77777777" w:rsidR="00025C81" w:rsidRPr="009D1ABC" w:rsidRDefault="001A4929">
                      <w:pPr>
                        <w:pStyle w:val="ContactName"/>
                        <w:spacing w:line="240" w:lineRule="auto"/>
                        <w:rPr>
                          <w:b w:val="0"/>
                          <w:bCs w:val="0"/>
                          <w:color w:val="696B6B"/>
                          <w:szCs w:val="18"/>
                          <w:u w:color="696B6B"/>
                          <w:lang w:val="en-US"/>
                        </w:rPr>
                      </w:pPr>
                      <w:r w:rsidRPr="009D1ABC">
                        <w:rPr>
                          <w:b w:val="0"/>
                          <w:bCs w:val="0"/>
                          <w:color w:val="696B6B"/>
                          <w:szCs w:val="18"/>
                          <w:u w:color="696B6B"/>
                          <w:lang w:val="en-US"/>
                        </w:rPr>
                        <w:t xml:space="preserve">Cushman &amp; Wakefield </w:t>
                      </w:r>
                    </w:p>
                    <w:p w14:paraId="51DAB7AF" w14:textId="799868C8" w:rsidR="00025C81" w:rsidRPr="009D1ABC" w:rsidRDefault="001A4929">
                      <w:pPr>
                        <w:rPr>
                          <w:rFonts w:ascii="Calibri" w:eastAsia="Times New Roman" w:hAnsi="Calibri"/>
                          <w:sz w:val="18"/>
                          <w:szCs w:val="18"/>
                        </w:rPr>
                      </w:pPr>
                      <w:r w:rsidRPr="009D1ABC">
                        <w:rPr>
                          <w:rFonts w:ascii="Calibri" w:hAnsi="Calibri"/>
                          <w:color w:val="696B6B"/>
                          <w:sz w:val="18"/>
                          <w:szCs w:val="18"/>
                          <w:u w:color="696B6B"/>
                        </w:rPr>
                        <w:t xml:space="preserve">Tel: + 48 22 820 20 20; </w:t>
                      </w:r>
                      <w:r w:rsidR="00AF11EE" w:rsidRPr="00AF11EE">
                        <w:rPr>
                          <w:rFonts w:ascii="Calibri" w:hAnsi="Calibri"/>
                          <w:color w:val="696B6B"/>
                          <w:sz w:val="18"/>
                          <w:szCs w:val="18"/>
                          <w:u w:color="696B6B"/>
                        </w:rPr>
                        <w:t>691</w:t>
                      </w:r>
                      <w:r w:rsidR="00AF11EE">
                        <w:rPr>
                          <w:rFonts w:ascii="Calibri" w:hAnsi="Calibri"/>
                          <w:color w:val="696B6B"/>
                          <w:sz w:val="18"/>
                          <w:szCs w:val="18"/>
                          <w:u w:color="696B6B"/>
                        </w:rPr>
                        <w:t> </w:t>
                      </w:r>
                      <w:r w:rsidR="00AF11EE" w:rsidRPr="00AF11EE">
                        <w:rPr>
                          <w:rFonts w:ascii="Calibri" w:hAnsi="Calibri"/>
                          <w:color w:val="696B6B"/>
                          <w:sz w:val="18"/>
                          <w:szCs w:val="18"/>
                          <w:u w:color="696B6B"/>
                        </w:rPr>
                        <w:t>060</w:t>
                      </w:r>
                      <w:r w:rsidR="00AF11EE">
                        <w:rPr>
                          <w:rFonts w:ascii="Calibri" w:hAnsi="Calibri"/>
                          <w:color w:val="696B6B"/>
                          <w:sz w:val="18"/>
                          <w:szCs w:val="18"/>
                          <w:u w:color="696B6B"/>
                        </w:rPr>
                        <w:t xml:space="preserve"> </w:t>
                      </w:r>
                      <w:r w:rsidR="00AF11EE" w:rsidRPr="00AF11EE">
                        <w:rPr>
                          <w:rFonts w:ascii="Calibri" w:hAnsi="Calibri"/>
                          <w:color w:val="696B6B"/>
                          <w:sz w:val="18"/>
                          <w:szCs w:val="18"/>
                          <w:u w:color="696B6B"/>
                        </w:rPr>
                        <w:t>202</w:t>
                      </w:r>
                    </w:p>
                    <w:p w14:paraId="4EC59528" w14:textId="77777777" w:rsidR="00025C81" w:rsidRPr="009D1ABC" w:rsidRDefault="001A4929">
                      <w:pPr>
                        <w:pStyle w:val="ContactName"/>
                        <w:tabs>
                          <w:tab w:val="right" w:pos="4688"/>
                        </w:tabs>
                        <w:spacing w:line="240" w:lineRule="auto"/>
                        <w:rPr>
                          <w:color w:val="696B6B"/>
                          <w:u w:color="696B6B"/>
                          <w:lang w:val="de-DE"/>
                        </w:rPr>
                      </w:pPr>
                      <w:proofErr w:type="spellStart"/>
                      <w:r w:rsidRPr="009D1ABC">
                        <w:rPr>
                          <w:color w:val="696B6B"/>
                          <w:u w:color="696B6B"/>
                          <w:lang w:val="de-DE"/>
                        </w:rPr>
                        <w:t>e-mail</w:t>
                      </w:r>
                      <w:proofErr w:type="spellEnd"/>
                      <w:r w:rsidRPr="009D1ABC">
                        <w:rPr>
                          <w:color w:val="696B6B"/>
                          <w:u w:color="696B6B"/>
                          <w:lang w:val="de-DE"/>
                        </w:rPr>
                        <w:t xml:space="preserve">: </w:t>
                      </w:r>
                      <w:hyperlink r:id="rId1" w:history="1">
                        <w:r w:rsidRPr="009D1ABC">
                          <w:rPr>
                            <w:rStyle w:val="Hyperlink0"/>
                            <w:lang w:val="de-AT"/>
                          </w:rPr>
                          <w:t>media.poland@cushwake.pl</w:t>
                        </w:r>
                      </w:hyperlink>
                    </w:p>
                  </w:tc>
                  <w:tc>
                    <w:tcPr>
                      <w:tcW w:w="6086" w:type="dxa"/>
                    </w:tcPr>
                    <w:p w14:paraId="0CF7FE8B" w14:textId="77777777" w:rsidR="00025C81" w:rsidRPr="009D1ABC" w:rsidRDefault="00025C81">
                      <w:pPr>
                        <w:pStyle w:val="ContactDetail"/>
                        <w:spacing w:line="240" w:lineRule="auto"/>
                        <w:rPr>
                          <w:color w:val="696B6B"/>
                          <w:u w:color="696B6B"/>
                          <w:lang w:val="de-DE"/>
                        </w:rPr>
                      </w:pPr>
                    </w:p>
                  </w:tc>
                  <w:tc>
                    <w:tcPr>
                      <w:tcW w:w="6086" w:type="dxa"/>
                    </w:tcPr>
                    <w:p w14:paraId="20ECDA43" w14:textId="77777777" w:rsidR="00025C81" w:rsidRPr="00167436" w:rsidRDefault="00025C81">
                      <w:pPr>
                        <w:pStyle w:val="ContactName"/>
                        <w:spacing w:line="240" w:lineRule="auto"/>
                        <w:rPr>
                          <w:rStyle w:val="Brak"/>
                          <w:color w:val="696B6B"/>
                          <w:u w:color="696B6B"/>
                          <w:lang w:val="de-DE"/>
                        </w:rPr>
                      </w:pPr>
                    </w:p>
                  </w:tc>
                  <w:tc>
                    <w:tcPr>
                      <w:tcW w:w="6086" w:type="dxa"/>
                    </w:tcPr>
                    <w:p w14:paraId="397E05EC" w14:textId="77777777" w:rsidR="00025C81" w:rsidRPr="00167436" w:rsidRDefault="00025C81">
                      <w:pPr>
                        <w:pStyle w:val="ContactName"/>
                        <w:spacing w:line="240" w:lineRule="auto"/>
                        <w:rPr>
                          <w:rStyle w:val="Brak"/>
                          <w:color w:val="696B6B"/>
                          <w:u w:color="696B6B"/>
                          <w:lang w:val="de-DE"/>
                        </w:rPr>
                      </w:pPr>
                    </w:p>
                  </w:tc>
                </w:tr>
              </w:tbl>
              <w:p w14:paraId="08D62AB9" w14:textId="77777777" w:rsidR="00025C81" w:rsidRPr="009D1ABC" w:rsidRDefault="00025C81">
                <w:pPr>
                  <w:pStyle w:val="ContactDetail"/>
                  <w:rPr>
                    <w:rFonts w:asciiTheme="minorHAnsi" w:hAnsiTheme="minorHAnsi" w:cstheme="minorHAnsi"/>
                    <w:color w:val="000000" w:themeColor="text1"/>
                    <w:lang w:val="es-ES_tradnl"/>
                  </w:rPr>
                </w:pPr>
              </w:p>
            </w:tc>
            <w:tc>
              <w:tcPr>
                <w:tcW w:w="3763" w:type="dxa"/>
              </w:tcPr>
              <w:p w14:paraId="4ED69CDE" w14:textId="77777777" w:rsidR="00025C81" w:rsidRPr="007B2741" w:rsidRDefault="00025C81" w:rsidP="00580984">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en-US"/>
                  </w:rPr>
                </w:pPr>
              </w:p>
            </w:tc>
            <w:tc>
              <w:tcPr>
                <w:tcW w:w="2865" w:type="dxa"/>
              </w:tcPr>
              <w:p w14:paraId="1A4CBD3A" w14:textId="77777777" w:rsidR="00025C81" w:rsidRPr="007B2741" w:rsidRDefault="00025C81">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en-US"/>
                  </w:rPr>
                </w:pPr>
              </w:p>
              <w:p w14:paraId="0D0425FA" w14:textId="77777777" w:rsidR="00025C81" w:rsidRPr="007B2741" w:rsidRDefault="00025C81">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US"/>
                  </w:rPr>
                </w:pPr>
              </w:p>
            </w:tc>
          </w:tr>
        </w:tbl>
        <w:p w14:paraId="51226427" w14:textId="794B06BC" w:rsidR="00025C81" w:rsidRPr="007B2741" w:rsidRDefault="00025C81">
          <w:pPr>
            <w:pStyle w:val="ContactDetail"/>
            <w:rPr>
              <w:rFonts w:asciiTheme="minorHAnsi" w:hAnsiTheme="minorHAnsi" w:cstheme="minorHAnsi"/>
              <w:color w:val="000000" w:themeColor="text1"/>
              <w:lang w:val="en-US"/>
            </w:rPr>
          </w:pPr>
        </w:p>
      </w:tc>
    </w:tr>
  </w:tbl>
  <w:p w14:paraId="6A6BD428" w14:textId="77777777" w:rsidR="00025C81" w:rsidRPr="007B2741" w:rsidRDefault="00025C81">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DA114C" w14:paraId="57A23F18" w14:textId="77777777">
      <w:trPr>
        <w:trHeight w:val="630"/>
      </w:trPr>
      <w:tc>
        <w:tcPr>
          <w:tcW w:w="5670" w:type="dxa"/>
          <w:vAlign w:val="bottom"/>
        </w:tcPr>
        <w:p w14:paraId="00233554" w14:textId="77777777" w:rsidR="00025C81" w:rsidRDefault="001A4929">
          <w:pPr>
            <w:pStyle w:val="Nagwek2"/>
            <w:rPr>
              <w:rFonts w:ascii="Arial" w:eastAsia="Arial" w:hAnsi="Arial" w:cs="Arial"/>
              <w:color w:val="696B6B"/>
            </w:rPr>
          </w:pPr>
          <w:r>
            <w:rPr>
              <w:rFonts w:ascii="Arial" w:eastAsia="Arial" w:hAnsi="Arial" w:cs="Arial"/>
              <w:color w:val="696B6B"/>
            </w:rPr>
            <w:t>Media Contact:</w:t>
          </w:r>
        </w:p>
      </w:tc>
      <w:tc>
        <w:tcPr>
          <w:tcW w:w="3330" w:type="dxa"/>
          <w:vAlign w:val="bottom"/>
        </w:tcPr>
        <w:p w14:paraId="61C181ED" w14:textId="77777777" w:rsidR="00025C81" w:rsidRDefault="00025C81">
          <w:pPr>
            <w:spacing w:after="100" w:line="240" w:lineRule="auto"/>
            <w:rPr>
              <w:b/>
              <w:color w:val="696B6B"/>
              <w:sz w:val="18"/>
              <w:szCs w:val="18"/>
            </w:rPr>
          </w:pPr>
        </w:p>
      </w:tc>
    </w:tr>
    <w:tr w:rsidR="00DA114C" w:rsidRPr="00514E8F"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hyperlink r:id="rId1" w:history="1">
            <w:r w:rsidRPr="00D4241D">
              <w:rPr>
                <w:rStyle w:val="Hipercze"/>
                <w:sz w:val="18"/>
                <w:szCs w:val="18"/>
                <w:lang w:val="en-GB"/>
              </w:rPr>
              <w:t>first.last@cushwake.com</w:t>
            </w:r>
          </w:hyperlink>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112C" w14:textId="77777777" w:rsidR="00BE7EEF" w:rsidRDefault="00BE7EEF">
      <w:pPr>
        <w:spacing w:after="0" w:line="240" w:lineRule="auto"/>
      </w:pPr>
      <w:r>
        <w:separator/>
      </w:r>
    </w:p>
  </w:footnote>
  <w:footnote w:type="continuationSeparator" w:id="0">
    <w:p w14:paraId="01E60F88" w14:textId="77777777" w:rsidR="00BE7EEF" w:rsidRDefault="00BE7EEF">
      <w:pPr>
        <w:spacing w:after="0" w:line="240" w:lineRule="auto"/>
      </w:pPr>
      <w:r>
        <w:continuationSeparator/>
      </w:r>
    </w:p>
  </w:footnote>
  <w:footnote w:type="continuationNotice" w:id="1">
    <w:p w14:paraId="68A02699" w14:textId="77777777" w:rsidR="00BE7EEF" w:rsidRDefault="00BE7EEF">
      <w:pPr>
        <w:spacing w:after="0" w:line="240" w:lineRule="auto"/>
      </w:pPr>
    </w:p>
  </w:footnote>
  <w:footnote w:id="2">
    <w:p w14:paraId="4CE1881C" w14:textId="2765EE07" w:rsidR="00521C36" w:rsidRDefault="00521C36">
      <w:pPr>
        <w:pStyle w:val="Tekstprzypisudolnego"/>
      </w:pPr>
      <w:r>
        <w:rPr>
          <w:rStyle w:val="Odwoanieprzypisudolnego"/>
        </w:rPr>
        <w:footnoteRef/>
      </w:r>
      <w:r>
        <w:t xml:space="preserve"> </w:t>
      </w:r>
      <w:r w:rsidRPr="00791DF5">
        <w:rPr>
          <w:sz w:val="18"/>
          <w:szCs w:val="18"/>
        </w:rPr>
        <w:t>Statystyki podaży obejmują obiekty o powierzchni powyżej 5000 mkw. GLA i uwzględniają nowe budynki, ale także rozbudowy i przebudowy.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1"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5378689">
    <w:abstractNumId w:val="3"/>
  </w:num>
  <w:num w:numId="2" w16cid:durableId="1580141190">
    <w:abstractNumId w:val="0"/>
  </w:num>
  <w:num w:numId="3" w16cid:durableId="2049640316">
    <w:abstractNumId w:val="2"/>
  </w:num>
  <w:num w:numId="4" w16cid:durableId="211663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3988"/>
    <w:rsid w:val="00004DE1"/>
    <w:rsid w:val="00005FD5"/>
    <w:rsid w:val="00007243"/>
    <w:rsid w:val="00013F59"/>
    <w:rsid w:val="00014ACA"/>
    <w:rsid w:val="000163D4"/>
    <w:rsid w:val="000203A2"/>
    <w:rsid w:val="000251E4"/>
    <w:rsid w:val="00025C81"/>
    <w:rsid w:val="00027F57"/>
    <w:rsid w:val="0003245E"/>
    <w:rsid w:val="00040FBF"/>
    <w:rsid w:val="00044C5B"/>
    <w:rsid w:val="00052346"/>
    <w:rsid w:val="0005438E"/>
    <w:rsid w:val="000666EE"/>
    <w:rsid w:val="000669E6"/>
    <w:rsid w:val="00067FD0"/>
    <w:rsid w:val="000700E2"/>
    <w:rsid w:val="000720F5"/>
    <w:rsid w:val="0008371E"/>
    <w:rsid w:val="00083F43"/>
    <w:rsid w:val="00086C80"/>
    <w:rsid w:val="0008772D"/>
    <w:rsid w:val="0009018C"/>
    <w:rsid w:val="00092C27"/>
    <w:rsid w:val="00093540"/>
    <w:rsid w:val="00096548"/>
    <w:rsid w:val="000A54A7"/>
    <w:rsid w:val="000A622E"/>
    <w:rsid w:val="000B142D"/>
    <w:rsid w:val="000B29DE"/>
    <w:rsid w:val="000B2DCC"/>
    <w:rsid w:val="000B32B0"/>
    <w:rsid w:val="000B4641"/>
    <w:rsid w:val="000B57CB"/>
    <w:rsid w:val="000C1BB6"/>
    <w:rsid w:val="000C30AD"/>
    <w:rsid w:val="000C4210"/>
    <w:rsid w:val="000C4280"/>
    <w:rsid w:val="000C4294"/>
    <w:rsid w:val="000C585C"/>
    <w:rsid w:val="000C7645"/>
    <w:rsid w:val="000D4656"/>
    <w:rsid w:val="000D5790"/>
    <w:rsid w:val="000D5FED"/>
    <w:rsid w:val="000D68FD"/>
    <w:rsid w:val="000D7839"/>
    <w:rsid w:val="000E71D0"/>
    <w:rsid w:val="000F2390"/>
    <w:rsid w:val="000F64E0"/>
    <w:rsid w:val="000F7964"/>
    <w:rsid w:val="000F7D93"/>
    <w:rsid w:val="001013AF"/>
    <w:rsid w:val="001062D1"/>
    <w:rsid w:val="00111135"/>
    <w:rsid w:val="001141D8"/>
    <w:rsid w:val="001146DD"/>
    <w:rsid w:val="00114AF8"/>
    <w:rsid w:val="0011559A"/>
    <w:rsid w:val="0012061A"/>
    <w:rsid w:val="00122668"/>
    <w:rsid w:val="00124F62"/>
    <w:rsid w:val="00132CB9"/>
    <w:rsid w:val="00132F07"/>
    <w:rsid w:val="00140D8B"/>
    <w:rsid w:val="00144415"/>
    <w:rsid w:val="00150F3F"/>
    <w:rsid w:val="00156F9C"/>
    <w:rsid w:val="0016097B"/>
    <w:rsid w:val="001635F6"/>
    <w:rsid w:val="00166861"/>
    <w:rsid w:val="00166F71"/>
    <w:rsid w:val="00167436"/>
    <w:rsid w:val="0016783C"/>
    <w:rsid w:val="00174EBA"/>
    <w:rsid w:val="0017521E"/>
    <w:rsid w:val="00175FB4"/>
    <w:rsid w:val="00182C4F"/>
    <w:rsid w:val="00185967"/>
    <w:rsid w:val="0018688B"/>
    <w:rsid w:val="00190FB3"/>
    <w:rsid w:val="00194C12"/>
    <w:rsid w:val="00196E5B"/>
    <w:rsid w:val="001A3142"/>
    <w:rsid w:val="001A4929"/>
    <w:rsid w:val="001A56D9"/>
    <w:rsid w:val="001A70AD"/>
    <w:rsid w:val="001B051A"/>
    <w:rsid w:val="001B5F5F"/>
    <w:rsid w:val="001B5FA0"/>
    <w:rsid w:val="001B6640"/>
    <w:rsid w:val="001B7AE3"/>
    <w:rsid w:val="001C0591"/>
    <w:rsid w:val="001C7005"/>
    <w:rsid w:val="001D08F3"/>
    <w:rsid w:val="001D401E"/>
    <w:rsid w:val="001D52B7"/>
    <w:rsid w:val="001E06FB"/>
    <w:rsid w:val="001E0E42"/>
    <w:rsid w:val="001E16E8"/>
    <w:rsid w:val="001E3C79"/>
    <w:rsid w:val="001E4E45"/>
    <w:rsid w:val="001E56EB"/>
    <w:rsid w:val="001F406E"/>
    <w:rsid w:val="001F7E37"/>
    <w:rsid w:val="00204C52"/>
    <w:rsid w:val="00206001"/>
    <w:rsid w:val="002117B9"/>
    <w:rsid w:val="002125FE"/>
    <w:rsid w:val="00212E0F"/>
    <w:rsid w:val="00217BD6"/>
    <w:rsid w:val="00220333"/>
    <w:rsid w:val="002240B1"/>
    <w:rsid w:val="00225B1A"/>
    <w:rsid w:val="00236B04"/>
    <w:rsid w:val="002426EB"/>
    <w:rsid w:val="002426EF"/>
    <w:rsid w:val="0024400C"/>
    <w:rsid w:val="00246115"/>
    <w:rsid w:val="00251824"/>
    <w:rsid w:val="00251F00"/>
    <w:rsid w:val="00254581"/>
    <w:rsid w:val="00257ED3"/>
    <w:rsid w:val="0026004F"/>
    <w:rsid w:val="00260C7D"/>
    <w:rsid w:val="00261AA0"/>
    <w:rsid w:val="00265F1D"/>
    <w:rsid w:val="0026615D"/>
    <w:rsid w:val="00266AA6"/>
    <w:rsid w:val="002730A2"/>
    <w:rsid w:val="00275982"/>
    <w:rsid w:val="00275F1E"/>
    <w:rsid w:val="00275FDC"/>
    <w:rsid w:val="0028046B"/>
    <w:rsid w:val="00281BFB"/>
    <w:rsid w:val="0028223D"/>
    <w:rsid w:val="00282FB7"/>
    <w:rsid w:val="00284E92"/>
    <w:rsid w:val="00285282"/>
    <w:rsid w:val="00286DC7"/>
    <w:rsid w:val="002915E5"/>
    <w:rsid w:val="00293086"/>
    <w:rsid w:val="00293E07"/>
    <w:rsid w:val="00293ED2"/>
    <w:rsid w:val="00295599"/>
    <w:rsid w:val="002958EB"/>
    <w:rsid w:val="0029652C"/>
    <w:rsid w:val="002967FF"/>
    <w:rsid w:val="0029787D"/>
    <w:rsid w:val="002A197E"/>
    <w:rsid w:val="002A37FC"/>
    <w:rsid w:val="002A43B7"/>
    <w:rsid w:val="002B212F"/>
    <w:rsid w:val="002B381B"/>
    <w:rsid w:val="002B4716"/>
    <w:rsid w:val="002B6B39"/>
    <w:rsid w:val="002C06D5"/>
    <w:rsid w:val="002C1DFF"/>
    <w:rsid w:val="002C480C"/>
    <w:rsid w:val="002C5887"/>
    <w:rsid w:val="002D0B42"/>
    <w:rsid w:val="002D4EC6"/>
    <w:rsid w:val="002D5829"/>
    <w:rsid w:val="002D7779"/>
    <w:rsid w:val="002E0BB0"/>
    <w:rsid w:val="002E1729"/>
    <w:rsid w:val="002E2D30"/>
    <w:rsid w:val="002E5184"/>
    <w:rsid w:val="002E7F16"/>
    <w:rsid w:val="002F00E0"/>
    <w:rsid w:val="002F0666"/>
    <w:rsid w:val="002F08E1"/>
    <w:rsid w:val="002F0F48"/>
    <w:rsid w:val="002F447F"/>
    <w:rsid w:val="00300BC4"/>
    <w:rsid w:val="00302886"/>
    <w:rsid w:val="00306BFA"/>
    <w:rsid w:val="00310D2A"/>
    <w:rsid w:val="0032157F"/>
    <w:rsid w:val="0032389F"/>
    <w:rsid w:val="0034418D"/>
    <w:rsid w:val="00345D04"/>
    <w:rsid w:val="00345D09"/>
    <w:rsid w:val="0035396B"/>
    <w:rsid w:val="00364117"/>
    <w:rsid w:val="00371AFD"/>
    <w:rsid w:val="00374DB8"/>
    <w:rsid w:val="00380072"/>
    <w:rsid w:val="003809D7"/>
    <w:rsid w:val="00385CB8"/>
    <w:rsid w:val="0038604F"/>
    <w:rsid w:val="00387CAF"/>
    <w:rsid w:val="003936DF"/>
    <w:rsid w:val="003A24D4"/>
    <w:rsid w:val="003A693E"/>
    <w:rsid w:val="003A70E2"/>
    <w:rsid w:val="003B2048"/>
    <w:rsid w:val="003B2BE6"/>
    <w:rsid w:val="003B3560"/>
    <w:rsid w:val="003B78C7"/>
    <w:rsid w:val="003C1BBA"/>
    <w:rsid w:val="003C1E58"/>
    <w:rsid w:val="003C29EC"/>
    <w:rsid w:val="003C5AF3"/>
    <w:rsid w:val="003C5B29"/>
    <w:rsid w:val="003C791A"/>
    <w:rsid w:val="003E003A"/>
    <w:rsid w:val="003E0201"/>
    <w:rsid w:val="003E3F99"/>
    <w:rsid w:val="003E406F"/>
    <w:rsid w:val="003F4AAD"/>
    <w:rsid w:val="003F572E"/>
    <w:rsid w:val="003F60EA"/>
    <w:rsid w:val="003F7D86"/>
    <w:rsid w:val="004001BC"/>
    <w:rsid w:val="00403626"/>
    <w:rsid w:val="00410D62"/>
    <w:rsid w:val="004112C0"/>
    <w:rsid w:val="0042183C"/>
    <w:rsid w:val="0042255F"/>
    <w:rsid w:val="004329C4"/>
    <w:rsid w:val="00432ACA"/>
    <w:rsid w:val="0043767F"/>
    <w:rsid w:val="00440D65"/>
    <w:rsid w:val="00443EFE"/>
    <w:rsid w:val="00451C25"/>
    <w:rsid w:val="00452FD6"/>
    <w:rsid w:val="00454222"/>
    <w:rsid w:val="00454311"/>
    <w:rsid w:val="00455C93"/>
    <w:rsid w:val="00457545"/>
    <w:rsid w:val="00460829"/>
    <w:rsid w:val="00461B2F"/>
    <w:rsid w:val="00461F73"/>
    <w:rsid w:val="00462B62"/>
    <w:rsid w:val="00464434"/>
    <w:rsid w:val="00464B72"/>
    <w:rsid w:val="00466300"/>
    <w:rsid w:val="00466ABC"/>
    <w:rsid w:val="004678CA"/>
    <w:rsid w:val="00471A22"/>
    <w:rsid w:val="00475534"/>
    <w:rsid w:val="00482366"/>
    <w:rsid w:val="004876E8"/>
    <w:rsid w:val="004900F3"/>
    <w:rsid w:val="00490581"/>
    <w:rsid w:val="00491EA1"/>
    <w:rsid w:val="0049367E"/>
    <w:rsid w:val="00497908"/>
    <w:rsid w:val="004A01E8"/>
    <w:rsid w:val="004A5B66"/>
    <w:rsid w:val="004B0979"/>
    <w:rsid w:val="004B1245"/>
    <w:rsid w:val="004B3D1A"/>
    <w:rsid w:val="004B5A43"/>
    <w:rsid w:val="004C2C37"/>
    <w:rsid w:val="004C2E88"/>
    <w:rsid w:val="004D07CC"/>
    <w:rsid w:val="004D1450"/>
    <w:rsid w:val="004D16D5"/>
    <w:rsid w:val="004D62D2"/>
    <w:rsid w:val="004D68AD"/>
    <w:rsid w:val="004D6A3C"/>
    <w:rsid w:val="004D7C3B"/>
    <w:rsid w:val="004E0237"/>
    <w:rsid w:val="004E0A16"/>
    <w:rsid w:val="004E46E9"/>
    <w:rsid w:val="004E5A7E"/>
    <w:rsid w:val="004E7185"/>
    <w:rsid w:val="004F64D6"/>
    <w:rsid w:val="00502E72"/>
    <w:rsid w:val="0050412F"/>
    <w:rsid w:val="0050494D"/>
    <w:rsid w:val="00506665"/>
    <w:rsid w:val="005100DD"/>
    <w:rsid w:val="00512047"/>
    <w:rsid w:val="00512ADF"/>
    <w:rsid w:val="0051329D"/>
    <w:rsid w:val="005136A0"/>
    <w:rsid w:val="00514E8F"/>
    <w:rsid w:val="0051644B"/>
    <w:rsid w:val="00517B59"/>
    <w:rsid w:val="00520076"/>
    <w:rsid w:val="00521C36"/>
    <w:rsid w:val="005229AB"/>
    <w:rsid w:val="00531CF4"/>
    <w:rsid w:val="00531D93"/>
    <w:rsid w:val="005323BE"/>
    <w:rsid w:val="005352C0"/>
    <w:rsid w:val="005369D7"/>
    <w:rsid w:val="00537747"/>
    <w:rsid w:val="00541459"/>
    <w:rsid w:val="00541512"/>
    <w:rsid w:val="00541D5B"/>
    <w:rsid w:val="00543192"/>
    <w:rsid w:val="00552477"/>
    <w:rsid w:val="00552FCF"/>
    <w:rsid w:val="0055434C"/>
    <w:rsid w:val="00561829"/>
    <w:rsid w:val="005631C3"/>
    <w:rsid w:val="00566AB7"/>
    <w:rsid w:val="00577005"/>
    <w:rsid w:val="00580984"/>
    <w:rsid w:val="00580A25"/>
    <w:rsid w:val="00582257"/>
    <w:rsid w:val="0058421C"/>
    <w:rsid w:val="00585A4F"/>
    <w:rsid w:val="005860D9"/>
    <w:rsid w:val="005878DD"/>
    <w:rsid w:val="00591DBB"/>
    <w:rsid w:val="00592299"/>
    <w:rsid w:val="00593403"/>
    <w:rsid w:val="005A3A4C"/>
    <w:rsid w:val="005A4560"/>
    <w:rsid w:val="005B4D77"/>
    <w:rsid w:val="005C01D2"/>
    <w:rsid w:val="005C140E"/>
    <w:rsid w:val="005C1A2F"/>
    <w:rsid w:val="005C2765"/>
    <w:rsid w:val="005C3C3C"/>
    <w:rsid w:val="005C4360"/>
    <w:rsid w:val="005C6332"/>
    <w:rsid w:val="005C6C24"/>
    <w:rsid w:val="005C72CD"/>
    <w:rsid w:val="005D05E5"/>
    <w:rsid w:val="005D06CC"/>
    <w:rsid w:val="005D3204"/>
    <w:rsid w:val="005D4DD1"/>
    <w:rsid w:val="005D5EEB"/>
    <w:rsid w:val="005E2C9B"/>
    <w:rsid w:val="005E2EC7"/>
    <w:rsid w:val="005E36C1"/>
    <w:rsid w:val="005E49BA"/>
    <w:rsid w:val="005F709A"/>
    <w:rsid w:val="00601B86"/>
    <w:rsid w:val="006020AF"/>
    <w:rsid w:val="00603782"/>
    <w:rsid w:val="00606E7D"/>
    <w:rsid w:val="00606F29"/>
    <w:rsid w:val="00607408"/>
    <w:rsid w:val="00612A79"/>
    <w:rsid w:val="00617929"/>
    <w:rsid w:val="00624E73"/>
    <w:rsid w:val="00625117"/>
    <w:rsid w:val="00625DBC"/>
    <w:rsid w:val="00626706"/>
    <w:rsid w:val="00633DEF"/>
    <w:rsid w:val="006341DC"/>
    <w:rsid w:val="00634853"/>
    <w:rsid w:val="00634A82"/>
    <w:rsid w:val="00635B11"/>
    <w:rsid w:val="006367C0"/>
    <w:rsid w:val="00647BF0"/>
    <w:rsid w:val="00654588"/>
    <w:rsid w:val="00655594"/>
    <w:rsid w:val="00661892"/>
    <w:rsid w:val="00661C7D"/>
    <w:rsid w:val="00662194"/>
    <w:rsid w:val="00670CB1"/>
    <w:rsid w:val="006714A0"/>
    <w:rsid w:val="00674476"/>
    <w:rsid w:val="0067480E"/>
    <w:rsid w:val="00674AAF"/>
    <w:rsid w:val="00675B1B"/>
    <w:rsid w:val="0067607F"/>
    <w:rsid w:val="006807CC"/>
    <w:rsid w:val="00681518"/>
    <w:rsid w:val="00682F1F"/>
    <w:rsid w:val="00683345"/>
    <w:rsid w:val="0068616F"/>
    <w:rsid w:val="00686CF4"/>
    <w:rsid w:val="0069258A"/>
    <w:rsid w:val="00695E5E"/>
    <w:rsid w:val="006A32B9"/>
    <w:rsid w:val="006B114D"/>
    <w:rsid w:val="006B3391"/>
    <w:rsid w:val="006B635B"/>
    <w:rsid w:val="006B6EBE"/>
    <w:rsid w:val="006C3D4A"/>
    <w:rsid w:val="006C449A"/>
    <w:rsid w:val="006C62BD"/>
    <w:rsid w:val="006D189F"/>
    <w:rsid w:val="006D1EF1"/>
    <w:rsid w:val="006D24A4"/>
    <w:rsid w:val="006D68E0"/>
    <w:rsid w:val="006E2861"/>
    <w:rsid w:val="006E2DCD"/>
    <w:rsid w:val="006E5291"/>
    <w:rsid w:val="006E5816"/>
    <w:rsid w:val="006E5F0D"/>
    <w:rsid w:val="006F06A0"/>
    <w:rsid w:val="007014E6"/>
    <w:rsid w:val="00703171"/>
    <w:rsid w:val="00706617"/>
    <w:rsid w:val="00706A7F"/>
    <w:rsid w:val="00710F25"/>
    <w:rsid w:val="00717182"/>
    <w:rsid w:val="00717324"/>
    <w:rsid w:val="00725B3C"/>
    <w:rsid w:val="00725E13"/>
    <w:rsid w:val="00730F22"/>
    <w:rsid w:val="007326D4"/>
    <w:rsid w:val="00736585"/>
    <w:rsid w:val="00742036"/>
    <w:rsid w:val="007434AC"/>
    <w:rsid w:val="00747126"/>
    <w:rsid w:val="0075095C"/>
    <w:rsid w:val="00751E88"/>
    <w:rsid w:val="00753387"/>
    <w:rsid w:val="00754C88"/>
    <w:rsid w:val="00757A3F"/>
    <w:rsid w:val="007640FE"/>
    <w:rsid w:val="00770B4C"/>
    <w:rsid w:val="00771251"/>
    <w:rsid w:val="00773AAB"/>
    <w:rsid w:val="00775E16"/>
    <w:rsid w:val="00781238"/>
    <w:rsid w:val="00781D70"/>
    <w:rsid w:val="00782A9B"/>
    <w:rsid w:val="00790531"/>
    <w:rsid w:val="00790E9B"/>
    <w:rsid w:val="00791DF5"/>
    <w:rsid w:val="0079250E"/>
    <w:rsid w:val="00792ECE"/>
    <w:rsid w:val="00792F37"/>
    <w:rsid w:val="007A354E"/>
    <w:rsid w:val="007A6E6F"/>
    <w:rsid w:val="007B0283"/>
    <w:rsid w:val="007B1B45"/>
    <w:rsid w:val="007B20DD"/>
    <w:rsid w:val="007B2567"/>
    <w:rsid w:val="007B2741"/>
    <w:rsid w:val="007B54E0"/>
    <w:rsid w:val="007B6E2A"/>
    <w:rsid w:val="007B7606"/>
    <w:rsid w:val="007C69D0"/>
    <w:rsid w:val="007D2192"/>
    <w:rsid w:val="007D4408"/>
    <w:rsid w:val="007D74D5"/>
    <w:rsid w:val="007E6CDD"/>
    <w:rsid w:val="007F13AB"/>
    <w:rsid w:val="007F2FE9"/>
    <w:rsid w:val="007F5890"/>
    <w:rsid w:val="007F7F38"/>
    <w:rsid w:val="008014DA"/>
    <w:rsid w:val="00802ECA"/>
    <w:rsid w:val="00810422"/>
    <w:rsid w:val="00810A93"/>
    <w:rsid w:val="00810C6C"/>
    <w:rsid w:val="0081370C"/>
    <w:rsid w:val="0081778B"/>
    <w:rsid w:val="0082036C"/>
    <w:rsid w:val="00821380"/>
    <w:rsid w:val="00824654"/>
    <w:rsid w:val="00824D18"/>
    <w:rsid w:val="0083179A"/>
    <w:rsid w:val="00831919"/>
    <w:rsid w:val="00831B7D"/>
    <w:rsid w:val="00836472"/>
    <w:rsid w:val="00842064"/>
    <w:rsid w:val="00842687"/>
    <w:rsid w:val="0084290C"/>
    <w:rsid w:val="00843BB8"/>
    <w:rsid w:val="0085202E"/>
    <w:rsid w:val="00856BE4"/>
    <w:rsid w:val="00865458"/>
    <w:rsid w:val="00866DDD"/>
    <w:rsid w:val="00871766"/>
    <w:rsid w:val="00872092"/>
    <w:rsid w:val="00872873"/>
    <w:rsid w:val="00874BB3"/>
    <w:rsid w:val="008753CF"/>
    <w:rsid w:val="008772B7"/>
    <w:rsid w:val="00880E20"/>
    <w:rsid w:val="00881769"/>
    <w:rsid w:val="0088277B"/>
    <w:rsid w:val="00882E1D"/>
    <w:rsid w:val="008848B1"/>
    <w:rsid w:val="00885E0C"/>
    <w:rsid w:val="008933D5"/>
    <w:rsid w:val="00895739"/>
    <w:rsid w:val="00895809"/>
    <w:rsid w:val="00895F80"/>
    <w:rsid w:val="008972B1"/>
    <w:rsid w:val="008974F3"/>
    <w:rsid w:val="008A26A0"/>
    <w:rsid w:val="008A3A39"/>
    <w:rsid w:val="008A3F07"/>
    <w:rsid w:val="008B26B4"/>
    <w:rsid w:val="008B352B"/>
    <w:rsid w:val="008B4539"/>
    <w:rsid w:val="008B5162"/>
    <w:rsid w:val="008C14E5"/>
    <w:rsid w:val="008C390B"/>
    <w:rsid w:val="008C42CD"/>
    <w:rsid w:val="008C5675"/>
    <w:rsid w:val="008C6651"/>
    <w:rsid w:val="008D009F"/>
    <w:rsid w:val="008D1B69"/>
    <w:rsid w:val="008D4FB5"/>
    <w:rsid w:val="008E34FB"/>
    <w:rsid w:val="008E5B6C"/>
    <w:rsid w:val="008F01FC"/>
    <w:rsid w:val="008F034B"/>
    <w:rsid w:val="008F0AAC"/>
    <w:rsid w:val="008F1B4D"/>
    <w:rsid w:val="008F2C02"/>
    <w:rsid w:val="008F2CFF"/>
    <w:rsid w:val="008F7EA7"/>
    <w:rsid w:val="00901841"/>
    <w:rsid w:val="00904E04"/>
    <w:rsid w:val="00911FF4"/>
    <w:rsid w:val="00914465"/>
    <w:rsid w:val="0091784B"/>
    <w:rsid w:val="00920635"/>
    <w:rsid w:val="00920861"/>
    <w:rsid w:val="00920BE7"/>
    <w:rsid w:val="00921FC7"/>
    <w:rsid w:val="00927365"/>
    <w:rsid w:val="00935219"/>
    <w:rsid w:val="00940284"/>
    <w:rsid w:val="00941B66"/>
    <w:rsid w:val="00943336"/>
    <w:rsid w:val="00945854"/>
    <w:rsid w:val="00946C47"/>
    <w:rsid w:val="009522F7"/>
    <w:rsid w:val="00953475"/>
    <w:rsid w:val="00956547"/>
    <w:rsid w:val="00962A05"/>
    <w:rsid w:val="00965609"/>
    <w:rsid w:val="0096608A"/>
    <w:rsid w:val="0096799A"/>
    <w:rsid w:val="00967B91"/>
    <w:rsid w:val="00971AF5"/>
    <w:rsid w:val="0097409A"/>
    <w:rsid w:val="009743FC"/>
    <w:rsid w:val="00976C95"/>
    <w:rsid w:val="00977641"/>
    <w:rsid w:val="00977AE0"/>
    <w:rsid w:val="00981706"/>
    <w:rsid w:val="0098288E"/>
    <w:rsid w:val="00983E80"/>
    <w:rsid w:val="009902A1"/>
    <w:rsid w:val="00991BD2"/>
    <w:rsid w:val="00993D91"/>
    <w:rsid w:val="00994AF6"/>
    <w:rsid w:val="00997139"/>
    <w:rsid w:val="009A1D96"/>
    <w:rsid w:val="009A7442"/>
    <w:rsid w:val="009B0753"/>
    <w:rsid w:val="009B11D8"/>
    <w:rsid w:val="009B52EC"/>
    <w:rsid w:val="009B7F16"/>
    <w:rsid w:val="009C075D"/>
    <w:rsid w:val="009C5621"/>
    <w:rsid w:val="009C7F14"/>
    <w:rsid w:val="009D025D"/>
    <w:rsid w:val="009D233E"/>
    <w:rsid w:val="009D29D3"/>
    <w:rsid w:val="009D31EC"/>
    <w:rsid w:val="009E408E"/>
    <w:rsid w:val="009E4572"/>
    <w:rsid w:val="009E7575"/>
    <w:rsid w:val="009F15E7"/>
    <w:rsid w:val="009F196F"/>
    <w:rsid w:val="009F274E"/>
    <w:rsid w:val="009F35CD"/>
    <w:rsid w:val="009F35FB"/>
    <w:rsid w:val="009F389F"/>
    <w:rsid w:val="00A0080F"/>
    <w:rsid w:val="00A06149"/>
    <w:rsid w:val="00A0629B"/>
    <w:rsid w:val="00A10255"/>
    <w:rsid w:val="00A12517"/>
    <w:rsid w:val="00A12551"/>
    <w:rsid w:val="00A12BAB"/>
    <w:rsid w:val="00A13F0B"/>
    <w:rsid w:val="00A1678D"/>
    <w:rsid w:val="00A17001"/>
    <w:rsid w:val="00A176AA"/>
    <w:rsid w:val="00A176B8"/>
    <w:rsid w:val="00A201A3"/>
    <w:rsid w:val="00A2466A"/>
    <w:rsid w:val="00A24875"/>
    <w:rsid w:val="00A27372"/>
    <w:rsid w:val="00A30A39"/>
    <w:rsid w:val="00A31C14"/>
    <w:rsid w:val="00A31F0C"/>
    <w:rsid w:val="00A32483"/>
    <w:rsid w:val="00A33E4A"/>
    <w:rsid w:val="00A344ED"/>
    <w:rsid w:val="00A425AB"/>
    <w:rsid w:val="00A4481B"/>
    <w:rsid w:val="00A44A37"/>
    <w:rsid w:val="00A47FCD"/>
    <w:rsid w:val="00A52218"/>
    <w:rsid w:val="00A54E85"/>
    <w:rsid w:val="00A54FA6"/>
    <w:rsid w:val="00A55BAF"/>
    <w:rsid w:val="00A63543"/>
    <w:rsid w:val="00A6616D"/>
    <w:rsid w:val="00A66644"/>
    <w:rsid w:val="00A714B6"/>
    <w:rsid w:val="00A730C1"/>
    <w:rsid w:val="00A73BB9"/>
    <w:rsid w:val="00A74CD5"/>
    <w:rsid w:val="00A74D49"/>
    <w:rsid w:val="00A758B5"/>
    <w:rsid w:val="00A77239"/>
    <w:rsid w:val="00A77A0A"/>
    <w:rsid w:val="00A840D5"/>
    <w:rsid w:val="00A91E08"/>
    <w:rsid w:val="00A93515"/>
    <w:rsid w:val="00A94F3D"/>
    <w:rsid w:val="00A951D1"/>
    <w:rsid w:val="00A959F1"/>
    <w:rsid w:val="00A97129"/>
    <w:rsid w:val="00A97D53"/>
    <w:rsid w:val="00AA15B2"/>
    <w:rsid w:val="00AA2003"/>
    <w:rsid w:val="00AA3E59"/>
    <w:rsid w:val="00AA69D2"/>
    <w:rsid w:val="00AA71B2"/>
    <w:rsid w:val="00AB1473"/>
    <w:rsid w:val="00AB3146"/>
    <w:rsid w:val="00AB6698"/>
    <w:rsid w:val="00AB6E9C"/>
    <w:rsid w:val="00AB7DB1"/>
    <w:rsid w:val="00AC3A00"/>
    <w:rsid w:val="00AC5B79"/>
    <w:rsid w:val="00AC62A5"/>
    <w:rsid w:val="00AC6DF8"/>
    <w:rsid w:val="00AD08F0"/>
    <w:rsid w:val="00AD1D8B"/>
    <w:rsid w:val="00AD30C6"/>
    <w:rsid w:val="00AD3963"/>
    <w:rsid w:val="00AD4DD9"/>
    <w:rsid w:val="00AD7B18"/>
    <w:rsid w:val="00AF11EE"/>
    <w:rsid w:val="00AF254B"/>
    <w:rsid w:val="00AF3577"/>
    <w:rsid w:val="00B01460"/>
    <w:rsid w:val="00B0179B"/>
    <w:rsid w:val="00B022DB"/>
    <w:rsid w:val="00B077A8"/>
    <w:rsid w:val="00B133BB"/>
    <w:rsid w:val="00B14FED"/>
    <w:rsid w:val="00B15D9B"/>
    <w:rsid w:val="00B15EE3"/>
    <w:rsid w:val="00B2047D"/>
    <w:rsid w:val="00B22689"/>
    <w:rsid w:val="00B2271C"/>
    <w:rsid w:val="00B25BB3"/>
    <w:rsid w:val="00B26C09"/>
    <w:rsid w:val="00B27B61"/>
    <w:rsid w:val="00B3629E"/>
    <w:rsid w:val="00B37EEB"/>
    <w:rsid w:val="00B41663"/>
    <w:rsid w:val="00B44499"/>
    <w:rsid w:val="00B4722F"/>
    <w:rsid w:val="00B52CD7"/>
    <w:rsid w:val="00B53CF6"/>
    <w:rsid w:val="00B57D96"/>
    <w:rsid w:val="00B60EBB"/>
    <w:rsid w:val="00B61A36"/>
    <w:rsid w:val="00B62C50"/>
    <w:rsid w:val="00B6594B"/>
    <w:rsid w:val="00B65DD4"/>
    <w:rsid w:val="00B6706E"/>
    <w:rsid w:val="00B70FF6"/>
    <w:rsid w:val="00B71EE8"/>
    <w:rsid w:val="00B77D91"/>
    <w:rsid w:val="00B807B3"/>
    <w:rsid w:val="00B807FC"/>
    <w:rsid w:val="00B812E5"/>
    <w:rsid w:val="00B834FC"/>
    <w:rsid w:val="00B83758"/>
    <w:rsid w:val="00B86C86"/>
    <w:rsid w:val="00B919D3"/>
    <w:rsid w:val="00B91FB1"/>
    <w:rsid w:val="00B930BE"/>
    <w:rsid w:val="00B95B93"/>
    <w:rsid w:val="00B96FB6"/>
    <w:rsid w:val="00B970B4"/>
    <w:rsid w:val="00BA6FD6"/>
    <w:rsid w:val="00BB562E"/>
    <w:rsid w:val="00BB5E4C"/>
    <w:rsid w:val="00BB70F9"/>
    <w:rsid w:val="00BC1E2F"/>
    <w:rsid w:val="00BC2537"/>
    <w:rsid w:val="00BC40B8"/>
    <w:rsid w:val="00BD1331"/>
    <w:rsid w:val="00BD14D7"/>
    <w:rsid w:val="00BD2944"/>
    <w:rsid w:val="00BD36A0"/>
    <w:rsid w:val="00BE0588"/>
    <w:rsid w:val="00BE1BE1"/>
    <w:rsid w:val="00BE3533"/>
    <w:rsid w:val="00BE4E4B"/>
    <w:rsid w:val="00BE65D4"/>
    <w:rsid w:val="00BE7960"/>
    <w:rsid w:val="00BE7EEF"/>
    <w:rsid w:val="00BF1FC1"/>
    <w:rsid w:val="00BF4150"/>
    <w:rsid w:val="00C01F9F"/>
    <w:rsid w:val="00C02E1C"/>
    <w:rsid w:val="00C0604F"/>
    <w:rsid w:val="00C06706"/>
    <w:rsid w:val="00C11029"/>
    <w:rsid w:val="00C11181"/>
    <w:rsid w:val="00C12505"/>
    <w:rsid w:val="00C166DD"/>
    <w:rsid w:val="00C22606"/>
    <w:rsid w:val="00C238C5"/>
    <w:rsid w:val="00C247D4"/>
    <w:rsid w:val="00C303DB"/>
    <w:rsid w:val="00C308E0"/>
    <w:rsid w:val="00C31642"/>
    <w:rsid w:val="00C32131"/>
    <w:rsid w:val="00C33DDD"/>
    <w:rsid w:val="00C40209"/>
    <w:rsid w:val="00C41803"/>
    <w:rsid w:val="00C45FBA"/>
    <w:rsid w:val="00C473D1"/>
    <w:rsid w:val="00C50CBE"/>
    <w:rsid w:val="00C54EBE"/>
    <w:rsid w:val="00C566FF"/>
    <w:rsid w:val="00C57B80"/>
    <w:rsid w:val="00C61185"/>
    <w:rsid w:val="00C64BA5"/>
    <w:rsid w:val="00C651A2"/>
    <w:rsid w:val="00C679F5"/>
    <w:rsid w:val="00C75D9E"/>
    <w:rsid w:val="00C80B91"/>
    <w:rsid w:val="00C8288B"/>
    <w:rsid w:val="00C84B50"/>
    <w:rsid w:val="00C85469"/>
    <w:rsid w:val="00C859F9"/>
    <w:rsid w:val="00C87432"/>
    <w:rsid w:val="00C92A7E"/>
    <w:rsid w:val="00C93DDE"/>
    <w:rsid w:val="00CA19DF"/>
    <w:rsid w:val="00CA4EB4"/>
    <w:rsid w:val="00CA7DF7"/>
    <w:rsid w:val="00CB2FB2"/>
    <w:rsid w:val="00CB3CE8"/>
    <w:rsid w:val="00CB7946"/>
    <w:rsid w:val="00CB7A18"/>
    <w:rsid w:val="00CC60E7"/>
    <w:rsid w:val="00CC7487"/>
    <w:rsid w:val="00CD1E75"/>
    <w:rsid w:val="00CD34FC"/>
    <w:rsid w:val="00CD706B"/>
    <w:rsid w:val="00CE1EF8"/>
    <w:rsid w:val="00CE213B"/>
    <w:rsid w:val="00CE2AE1"/>
    <w:rsid w:val="00CE531A"/>
    <w:rsid w:val="00CF0AA6"/>
    <w:rsid w:val="00CF0E46"/>
    <w:rsid w:val="00CF1D2A"/>
    <w:rsid w:val="00CF1EFC"/>
    <w:rsid w:val="00CF59BB"/>
    <w:rsid w:val="00CF5A2C"/>
    <w:rsid w:val="00CF6633"/>
    <w:rsid w:val="00D00B7B"/>
    <w:rsid w:val="00D02817"/>
    <w:rsid w:val="00D0697D"/>
    <w:rsid w:val="00D076D0"/>
    <w:rsid w:val="00D134B7"/>
    <w:rsid w:val="00D13894"/>
    <w:rsid w:val="00D17A41"/>
    <w:rsid w:val="00D20FAA"/>
    <w:rsid w:val="00D21D09"/>
    <w:rsid w:val="00D23948"/>
    <w:rsid w:val="00D30573"/>
    <w:rsid w:val="00D36A8C"/>
    <w:rsid w:val="00D428F4"/>
    <w:rsid w:val="00D43181"/>
    <w:rsid w:val="00D43DF0"/>
    <w:rsid w:val="00D44D7F"/>
    <w:rsid w:val="00D4536C"/>
    <w:rsid w:val="00D45C41"/>
    <w:rsid w:val="00D461DE"/>
    <w:rsid w:val="00D46217"/>
    <w:rsid w:val="00D50679"/>
    <w:rsid w:val="00D50DE5"/>
    <w:rsid w:val="00D54B27"/>
    <w:rsid w:val="00D54CC0"/>
    <w:rsid w:val="00D63173"/>
    <w:rsid w:val="00D63DA8"/>
    <w:rsid w:val="00D67658"/>
    <w:rsid w:val="00D73A86"/>
    <w:rsid w:val="00D74BA3"/>
    <w:rsid w:val="00D804D2"/>
    <w:rsid w:val="00D81E2F"/>
    <w:rsid w:val="00D83060"/>
    <w:rsid w:val="00D84A2D"/>
    <w:rsid w:val="00D85E2B"/>
    <w:rsid w:val="00D8749B"/>
    <w:rsid w:val="00DA114C"/>
    <w:rsid w:val="00DA3C1B"/>
    <w:rsid w:val="00DA4CF2"/>
    <w:rsid w:val="00DB11D4"/>
    <w:rsid w:val="00DB227F"/>
    <w:rsid w:val="00DB38FC"/>
    <w:rsid w:val="00DB61A6"/>
    <w:rsid w:val="00DC3AC1"/>
    <w:rsid w:val="00DC4D4D"/>
    <w:rsid w:val="00DC5105"/>
    <w:rsid w:val="00DD11B2"/>
    <w:rsid w:val="00DD20D1"/>
    <w:rsid w:val="00DD51F8"/>
    <w:rsid w:val="00DD64C5"/>
    <w:rsid w:val="00DE14E2"/>
    <w:rsid w:val="00DE15AC"/>
    <w:rsid w:val="00DE2C36"/>
    <w:rsid w:val="00DE2F94"/>
    <w:rsid w:val="00DE3500"/>
    <w:rsid w:val="00DE4595"/>
    <w:rsid w:val="00DE6B35"/>
    <w:rsid w:val="00DE6C59"/>
    <w:rsid w:val="00DE70C2"/>
    <w:rsid w:val="00DF0675"/>
    <w:rsid w:val="00DF4FE6"/>
    <w:rsid w:val="00DF580D"/>
    <w:rsid w:val="00DF6FDA"/>
    <w:rsid w:val="00DF764B"/>
    <w:rsid w:val="00DF7E2B"/>
    <w:rsid w:val="00E03766"/>
    <w:rsid w:val="00E05885"/>
    <w:rsid w:val="00E10BFB"/>
    <w:rsid w:val="00E1249A"/>
    <w:rsid w:val="00E12880"/>
    <w:rsid w:val="00E14D9E"/>
    <w:rsid w:val="00E16DA6"/>
    <w:rsid w:val="00E21904"/>
    <w:rsid w:val="00E21E99"/>
    <w:rsid w:val="00E2228E"/>
    <w:rsid w:val="00E23E56"/>
    <w:rsid w:val="00E30FFC"/>
    <w:rsid w:val="00E327A1"/>
    <w:rsid w:val="00E33EF0"/>
    <w:rsid w:val="00E370BF"/>
    <w:rsid w:val="00E37CB8"/>
    <w:rsid w:val="00E4016D"/>
    <w:rsid w:val="00E42243"/>
    <w:rsid w:val="00E510C4"/>
    <w:rsid w:val="00E530B7"/>
    <w:rsid w:val="00E54066"/>
    <w:rsid w:val="00E57168"/>
    <w:rsid w:val="00E611A2"/>
    <w:rsid w:val="00E61BAB"/>
    <w:rsid w:val="00E65024"/>
    <w:rsid w:val="00E729CB"/>
    <w:rsid w:val="00E73C50"/>
    <w:rsid w:val="00E75C22"/>
    <w:rsid w:val="00E777C8"/>
    <w:rsid w:val="00E77FC4"/>
    <w:rsid w:val="00E8011B"/>
    <w:rsid w:val="00E80544"/>
    <w:rsid w:val="00E81EE4"/>
    <w:rsid w:val="00E8250A"/>
    <w:rsid w:val="00E82DCD"/>
    <w:rsid w:val="00E83444"/>
    <w:rsid w:val="00E849E6"/>
    <w:rsid w:val="00E84DD9"/>
    <w:rsid w:val="00E870C1"/>
    <w:rsid w:val="00E909E6"/>
    <w:rsid w:val="00E90B70"/>
    <w:rsid w:val="00E924EC"/>
    <w:rsid w:val="00E93BB0"/>
    <w:rsid w:val="00EA27C3"/>
    <w:rsid w:val="00EA2BEE"/>
    <w:rsid w:val="00EA440F"/>
    <w:rsid w:val="00EA5F36"/>
    <w:rsid w:val="00EA7A70"/>
    <w:rsid w:val="00EB15F9"/>
    <w:rsid w:val="00EB2AAE"/>
    <w:rsid w:val="00EB57CA"/>
    <w:rsid w:val="00EC07F6"/>
    <w:rsid w:val="00EC07FA"/>
    <w:rsid w:val="00EC5B03"/>
    <w:rsid w:val="00ED7B80"/>
    <w:rsid w:val="00EE087B"/>
    <w:rsid w:val="00EE0CC2"/>
    <w:rsid w:val="00EE18F8"/>
    <w:rsid w:val="00EE1DDC"/>
    <w:rsid w:val="00EE31D9"/>
    <w:rsid w:val="00EF0C53"/>
    <w:rsid w:val="00EF368A"/>
    <w:rsid w:val="00EF4FE0"/>
    <w:rsid w:val="00EF6F9D"/>
    <w:rsid w:val="00EF7495"/>
    <w:rsid w:val="00F038F0"/>
    <w:rsid w:val="00F04E2C"/>
    <w:rsid w:val="00F06CE8"/>
    <w:rsid w:val="00F0783D"/>
    <w:rsid w:val="00F1223A"/>
    <w:rsid w:val="00F12E5F"/>
    <w:rsid w:val="00F14E08"/>
    <w:rsid w:val="00F203B0"/>
    <w:rsid w:val="00F20CD7"/>
    <w:rsid w:val="00F210E9"/>
    <w:rsid w:val="00F2150A"/>
    <w:rsid w:val="00F22AF0"/>
    <w:rsid w:val="00F33929"/>
    <w:rsid w:val="00F35767"/>
    <w:rsid w:val="00F35BB4"/>
    <w:rsid w:val="00F42C1C"/>
    <w:rsid w:val="00F4744B"/>
    <w:rsid w:val="00F504FB"/>
    <w:rsid w:val="00F50B37"/>
    <w:rsid w:val="00F53D7B"/>
    <w:rsid w:val="00F55691"/>
    <w:rsid w:val="00F55B87"/>
    <w:rsid w:val="00F6361F"/>
    <w:rsid w:val="00F65724"/>
    <w:rsid w:val="00F66561"/>
    <w:rsid w:val="00F66B56"/>
    <w:rsid w:val="00F71390"/>
    <w:rsid w:val="00F72F62"/>
    <w:rsid w:val="00F73E1F"/>
    <w:rsid w:val="00F75F73"/>
    <w:rsid w:val="00F77459"/>
    <w:rsid w:val="00F805A5"/>
    <w:rsid w:val="00F809EE"/>
    <w:rsid w:val="00F82A3D"/>
    <w:rsid w:val="00F844E6"/>
    <w:rsid w:val="00F849DE"/>
    <w:rsid w:val="00F84BE4"/>
    <w:rsid w:val="00F865A3"/>
    <w:rsid w:val="00F909DB"/>
    <w:rsid w:val="00F93104"/>
    <w:rsid w:val="00F9314E"/>
    <w:rsid w:val="00F9432D"/>
    <w:rsid w:val="00F9475F"/>
    <w:rsid w:val="00F951BA"/>
    <w:rsid w:val="00FA2531"/>
    <w:rsid w:val="00FA4C1B"/>
    <w:rsid w:val="00FA5355"/>
    <w:rsid w:val="00FB0235"/>
    <w:rsid w:val="00FB35B4"/>
    <w:rsid w:val="00FB4542"/>
    <w:rsid w:val="00FB6C2F"/>
    <w:rsid w:val="00FC0091"/>
    <w:rsid w:val="00FC10E9"/>
    <w:rsid w:val="00FC23CC"/>
    <w:rsid w:val="00FC4FF0"/>
    <w:rsid w:val="00FC57BC"/>
    <w:rsid w:val="00FC5D7E"/>
    <w:rsid w:val="00FC6812"/>
    <w:rsid w:val="00FD01DC"/>
    <w:rsid w:val="00FD01E1"/>
    <w:rsid w:val="00FD13B2"/>
    <w:rsid w:val="00FD4DFC"/>
    <w:rsid w:val="00FD6173"/>
    <w:rsid w:val="00FE0A40"/>
    <w:rsid w:val="00FE3132"/>
    <w:rsid w:val="00FE47F2"/>
    <w:rsid w:val="00FE64F7"/>
    <w:rsid w:val="00FE6C0D"/>
    <w:rsid w:val="00FF10DD"/>
    <w:rsid w:val="00FF3240"/>
    <w:rsid w:val="00FF3C70"/>
    <w:rsid w:val="00FF5193"/>
    <w:rsid w:val="00FF79D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0AEA47D8-A93A-4278-BD9D-0530448A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FBF"/>
    <w:pPr>
      <w:spacing w:after="200" w:line="276" w:lineRule="auto"/>
    </w:pPr>
    <w:rPr>
      <w:rFonts w:ascii="Arial" w:eastAsia="Arial" w:hAnsi="Arial" w:cs="Arial"/>
      <w:lang w:eastAsia="pl-PL"/>
    </w:rPr>
  </w:style>
  <w:style w:type="paragraph" w:styleId="Nagwek1">
    <w:name w:val="heading 1"/>
    <w:basedOn w:val="Normalny"/>
    <w:next w:val="Normalny"/>
    <w:link w:val="Nagwek1Znak"/>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Nagwek3">
    <w:name w:val="heading 3"/>
    <w:basedOn w:val="Normalny"/>
    <w:next w:val="Normalny"/>
    <w:link w:val="Nagwek3Znak"/>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84A2D"/>
    <w:rPr>
      <w:rFonts w:ascii="Calibri" w:eastAsia="Calibri" w:hAnsi="Calibri" w:cs="Calibri"/>
      <w:b/>
      <w:smallCaps/>
      <w:color w:val="008B98"/>
      <w:sz w:val="18"/>
      <w:szCs w:val="18"/>
      <w:lang w:eastAsia="pl-PL"/>
    </w:rPr>
  </w:style>
  <w:style w:type="paragraph" w:styleId="Stopka">
    <w:name w:val="footer"/>
    <w:basedOn w:val="Normalny"/>
    <w:link w:val="StopkaZnak"/>
    <w:uiPriority w:val="99"/>
    <w:unhideWhenUsed/>
    <w:rsid w:val="00D84A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A2D"/>
    <w:rPr>
      <w:rFonts w:ascii="Arial" w:eastAsia="Arial" w:hAnsi="Arial" w:cs="Arial"/>
      <w:lang w:eastAsia="pl-PL"/>
    </w:rPr>
  </w:style>
  <w:style w:type="character" w:styleId="Hipercze">
    <w:name w:val="Hyperlink"/>
    <w:basedOn w:val="Domylnaczcionkaakapitu"/>
    <w:unhideWhenUsed/>
    <w:qFormat/>
    <w:rsid w:val="00D84A2D"/>
    <w:rPr>
      <w:color w:val="4472C4" w:themeColor="accent1"/>
      <w:u w:val="single"/>
    </w:rPr>
  </w:style>
  <w:style w:type="table" w:styleId="Tabela-Siatka">
    <w:name w:val="Table Grid"/>
    <w:basedOn w:val="Standardowy"/>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Nagwek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ny"/>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Standardowy"/>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wykytekst">
    <w:name w:val="Plain Text"/>
    <w:basedOn w:val="Normalny"/>
    <w:link w:val="ZwykytekstZnak"/>
    <w:uiPriority w:val="99"/>
    <w:unhideWhenUsed/>
    <w:rsid w:val="00D84A2D"/>
    <w:pPr>
      <w:spacing w:after="0" w:line="240" w:lineRule="auto"/>
    </w:pPr>
    <w:rPr>
      <w:rFonts w:ascii="Calibri" w:eastAsia="Times New Roman" w:hAnsi="Calibri" w:cs="Consolas"/>
      <w:szCs w:val="21"/>
    </w:rPr>
  </w:style>
  <w:style w:type="character" w:customStyle="1" w:styleId="ZwykytekstZnak">
    <w:name w:val="Zwykły tekst Znak"/>
    <w:basedOn w:val="Domylnaczcionkaakapitu"/>
    <w:link w:val="Zwykytekst"/>
    <w:uiPriority w:val="99"/>
    <w:rsid w:val="00D84A2D"/>
    <w:rPr>
      <w:rFonts w:ascii="Calibri" w:eastAsia="Times New Roman" w:hAnsi="Calibri" w:cs="Consolas"/>
      <w:szCs w:val="21"/>
      <w:lang w:eastAsia="pl-PL"/>
    </w:rPr>
  </w:style>
  <w:style w:type="character" w:customStyle="1" w:styleId="Nagwek3Znak">
    <w:name w:val="Nagłówek 3 Znak"/>
    <w:basedOn w:val="Domylnaczcionkaakapitu"/>
    <w:link w:val="Nagwek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Odwoaniedokomentarza">
    <w:name w:val="annotation reference"/>
    <w:basedOn w:val="Domylnaczcionkaakapitu"/>
    <w:uiPriority w:val="99"/>
    <w:semiHidden/>
    <w:unhideWhenUsed/>
    <w:rsid w:val="00CB2FB2"/>
    <w:rPr>
      <w:sz w:val="16"/>
      <w:szCs w:val="16"/>
    </w:rPr>
  </w:style>
  <w:style w:type="paragraph" w:styleId="Tekstkomentarza">
    <w:name w:val="annotation text"/>
    <w:basedOn w:val="Normalny"/>
    <w:link w:val="TekstkomentarzaZnak"/>
    <w:uiPriority w:val="99"/>
    <w:unhideWhenUsed/>
    <w:rsid w:val="00CB2FB2"/>
    <w:pPr>
      <w:spacing w:line="240" w:lineRule="auto"/>
    </w:pPr>
    <w:rPr>
      <w:sz w:val="20"/>
      <w:szCs w:val="20"/>
    </w:rPr>
  </w:style>
  <w:style w:type="character" w:customStyle="1" w:styleId="TekstkomentarzaZnak">
    <w:name w:val="Tekst komentarza Znak"/>
    <w:basedOn w:val="Domylnaczcionkaakapitu"/>
    <w:link w:val="Tekstkomentarza"/>
    <w:uiPriority w:val="99"/>
    <w:rsid w:val="00CB2FB2"/>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CB2FB2"/>
    <w:rPr>
      <w:b/>
      <w:bCs/>
    </w:rPr>
  </w:style>
  <w:style w:type="character" w:customStyle="1" w:styleId="TematkomentarzaZnak">
    <w:name w:val="Temat komentarza Znak"/>
    <w:basedOn w:val="TekstkomentarzaZnak"/>
    <w:link w:val="Tematkomentarza"/>
    <w:uiPriority w:val="99"/>
    <w:semiHidden/>
    <w:rsid w:val="00CB2FB2"/>
    <w:rPr>
      <w:rFonts w:ascii="Arial" w:eastAsia="Arial" w:hAnsi="Arial" w:cs="Arial"/>
      <w:b/>
      <w:bCs/>
      <w:sz w:val="20"/>
      <w:szCs w:val="20"/>
      <w:lang w:eastAsia="pl-PL"/>
    </w:rPr>
  </w:style>
  <w:style w:type="paragraph" w:styleId="Tekstdymka">
    <w:name w:val="Balloon Text"/>
    <w:basedOn w:val="Normalny"/>
    <w:link w:val="TekstdymkaZnak"/>
    <w:uiPriority w:val="99"/>
    <w:semiHidden/>
    <w:unhideWhenUsed/>
    <w:rsid w:val="00CB2F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2FB2"/>
    <w:rPr>
      <w:rFonts w:ascii="Segoe UI" w:eastAsia="Arial" w:hAnsi="Segoe UI" w:cs="Segoe UI"/>
      <w:sz w:val="18"/>
      <w:szCs w:val="18"/>
      <w:lang w:eastAsia="pl-PL"/>
    </w:rPr>
  </w:style>
  <w:style w:type="paragraph" w:styleId="Poprawka">
    <w:name w:val="Revision"/>
    <w:hidden/>
    <w:uiPriority w:val="99"/>
    <w:semiHidden/>
    <w:rsid w:val="005323BE"/>
    <w:pPr>
      <w:spacing w:after="0" w:line="240" w:lineRule="auto"/>
    </w:pPr>
    <w:rPr>
      <w:rFonts w:ascii="Arial" w:eastAsia="Arial" w:hAnsi="Arial" w:cs="Arial"/>
      <w:lang w:eastAsia="pl-PL"/>
    </w:rPr>
  </w:style>
  <w:style w:type="paragraph" w:styleId="Tekstprzypisukocowego">
    <w:name w:val="endnote text"/>
    <w:basedOn w:val="Normalny"/>
    <w:link w:val="TekstprzypisukocowegoZnak"/>
    <w:uiPriority w:val="99"/>
    <w:semiHidden/>
    <w:unhideWhenUsed/>
    <w:rsid w:val="00976C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C95"/>
    <w:rPr>
      <w:rFonts w:ascii="Arial" w:eastAsia="Arial" w:hAnsi="Arial" w:cs="Arial"/>
      <w:sz w:val="20"/>
      <w:szCs w:val="20"/>
      <w:lang w:eastAsia="pl-PL"/>
    </w:rPr>
  </w:style>
  <w:style w:type="character" w:styleId="Odwoanieprzypisukocowego">
    <w:name w:val="endnote reference"/>
    <w:basedOn w:val="Domylnaczcionkaakapitu"/>
    <w:uiPriority w:val="99"/>
    <w:semiHidden/>
    <w:unhideWhenUsed/>
    <w:rsid w:val="00976C95"/>
    <w:rPr>
      <w:vertAlign w:val="superscript"/>
    </w:rPr>
  </w:style>
  <w:style w:type="paragraph" w:styleId="Nagwek">
    <w:name w:val="header"/>
    <w:basedOn w:val="Normalny"/>
    <w:link w:val="NagwekZnak"/>
    <w:uiPriority w:val="99"/>
    <w:unhideWhenUsed/>
    <w:rsid w:val="00B77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D91"/>
    <w:rPr>
      <w:rFonts w:ascii="Arial" w:eastAsia="Arial" w:hAnsi="Arial" w:cs="Arial"/>
      <w:lang w:eastAsia="pl-PL"/>
    </w:rPr>
  </w:style>
  <w:style w:type="character" w:customStyle="1" w:styleId="Nierozpoznanawzmianka1">
    <w:name w:val="Nierozpoznana wzmianka1"/>
    <w:basedOn w:val="Domylnaczcionkaakapitu"/>
    <w:uiPriority w:val="99"/>
    <w:semiHidden/>
    <w:unhideWhenUsed/>
    <w:rsid w:val="00B77D91"/>
    <w:rPr>
      <w:color w:val="605E5C"/>
      <w:shd w:val="clear" w:color="auto" w:fill="E1DFDD"/>
    </w:rPr>
  </w:style>
  <w:style w:type="character" w:customStyle="1" w:styleId="Nierozpoznanawzmianka2">
    <w:name w:val="Nierozpoznana wzmianka2"/>
    <w:basedOn w:val="Domylnaczcionkaakapitu"/>
    <w:uiPriority w:val="99"/>
    <w:semiHidden/>
    <w:unhideWhenUsed/>
    <w:rsid w:val="006B635B"/>
    <w:rPr>
      <w:color w:val="605E5C"/>
      <w:shd w:val="clear" w:color="auto" w:fill="E1DFDD"/>
    </w:rPr>
  </w:style>
  <w:style w:type="paragraph" w:customStyle="1" w:styleId="western">
    <w:name w:val="western"/>
    <w:basedOn w:val="Normalny"/>
    <w:rsid w:val="00FE3132"/>
    <w:pPr>
      <w:spacing w:before="100" w:beforeAutospacing="1" w:after="100" w:afterAutospacing="1" w:line="240" w:lineRule="auto"/>
    </w:pPr>
    <w:rPr>
      <w:rFonts w:ascii="Calibri" w:eastAsiaTheme="minorHAnsi" w:hAnsi="Calibri" w:cs="Calibri"/>
    </w:rPr>
  </w:style>
  <w:style w:type="character" w:styleId="Pogrubienie">
    <w:name w:val="Strong"/>
    <w:basedOn w:val="Domylnaczcionkaakapitu"/>
    <w:uiPriority w:val="22"/>
    <w:qFormat/>
    <w:rsid w:val="00FE3132"/>
    <w:rPr>
      <w:b/>
      <w:bCs/>
    </w:rPr>
  </w:style>
  <w:style w:type="character" w:customStyle="1" w:styleId="Nagwek1Znak">
    <w:name w:val="Nagłówek 1 Znak"/>
    <w:basedOn w:val="Domylnaczcionkaakapitu"/>
    <w:link w:val="Nagwek1"/>
    <w:uiPriority w:val="9"/>
    <w:rsid w:val="00FE3132"/>
    <w:rPr>
      <w:rFonts w:asciiTheme="majorHAnsi" w:eastAsiaTheme="majorEastAsia" w:hAnsiTheme="majorHAnsi" w:cstheme="majorBidi"/>
      <w:color w:val="2F5496" w:themeColor="accent1" w:themeShade="BF"/>
      <w:sz w:val="32"/>
      <w:szCs w:val="32"/>
      <w:lang w:eastAsia="pl-PL"/>
    </w:rPr>
  </w:style>
  <w:style w:type="character" w:styleId="Uwydatnienie">
    <w:name w:val="Emphasis"/>
    <w:basedOn w:val="Domylnaczcionkaakapitu"/>
    <w:uiPriority w:val="20"/>
    <w:qFormat/>
    <w:rsid w:val="00E909E6"/>
    <w:rPr>
      <w:i/>
      <w:iCs/>
    </w:rPr>
  </w:style>
  <w:style w:type="character" w:customStyle="1" w:styleId="cf01">
    <w:name w:val="cf01"/>
    <w:basedOn w:val="Domylnaczcionkaakapitu"/>
    <w:rsid w:val="00167436"/>
    <w:rPr>
      <w:rFonts w:ascii="Segoe UI" w:hAnsi="Segoe UI" w:cs="Segoe UI" w:hint="default"/>
      <w:sz w:val="18"/>
      <w:szCs w:val="18"/>
    </w:rPr>
  </w:style>
  <w:style w:type="character" w:customStyle="1" w:styleId="apple-converted-space">
    <w:name w:val="apple-converted-space"/>
    <w:basedOn w:val="Domylnaczcionkaakapitu"/>
    <w:rsid w:val="00775E16"/>
  </w:style>
  <w:style w:type="paragraph" w:styleId="Akapitzlist">
    <w:name w:val="List Paragraph"/>
    <w:basedOn w:val="Normalny"/>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nyWeb">
    <w:name w:val="Normal (Web)"/>
    <w:basedOn w:val="Normalny"/>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kstprzypisudolnego">
    <w:name w:val="footnote text"/>
    <w:basedOn w:val="Normalny"/>
    <w:link w:val="TekstprzypisudolnegoZnak"/>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AF11EE"/>
    <w:rPr>
      <w:sz w:val="20"/>
      <w:szCs w:val="20"/>
    </w:rPr>
  </w:style>
  <w:style w:type="character" w:styleId="Odwoanieprzypisudolnego">
    <w:name w:val="footnote reference"/>
    <w:basedOn w:val="Domylnaczcionkaakapitu"/>
    <w:uiPriority w:val="99"/>
    <w:semiHidden/>
    <w:unhideWhenUsed/>
    <w:rsid w:val="00AF11EE"/>
    <w:rPr>
      <w:vertAlign w:val="superscript"/>
    </w:rPr>
  </w:style>
  <w:style w:type="character" w:customStyle="1" w:styleId="normaltextrun">
    <w:name w:val="normaltextrun"/>
    <w:basedOn w:val="Domylnaczcionkaakapitu"/>
    <w:rsid w:val="00C0604F"/>
  </w:style>
  <w:style w:type="character" w:customStyle="1" w:styleId="eop">
    <w:name w:val="eop"/>
    <w:basedOn w:val="Domylnaczcionkaakapitu"/>
    <w:rsid w:val="00C0604F"/>
  </w:style>
  <w:style w:type="paragraph" w:customStyle="1" w:styleId="pf0">
    <w:name w:val="pf0"/>
    <w:basedOn w:val="Normalny"/>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6C62BD"/>
    <w:rPr>
      <w:color w:val="605E5C"/>
      <w:shd w:val="clear" w:color="auto" w:fill="E1DFDD"/>
    </w:rPr>
  </w:style>
  <w:style w:type="character" w:styleId="UyteHipercze">
    <w:name w:val="FollowedHyperlink"/>
    <w:basedOn w:val="Domylnaczcionkaakapitu"/>
    <w:uiPriority w:val="99"/>
    <w:semiHidden/>
    <w:unhideWhenUsed/>
    <w:rsid w:val="00B70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45361696">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6072">
      <w:bodyDiv w:val="1"/>
      <w:marLeft w:val="0"/>
      <w:marRight w:val="0"/>
      <w:marTop w:val="0"/>
      <w:marBottom w:val="0"/>
      <w:divBdr>
        <w:top w:val="none" w:sz="0" w:space="0" w:color="auto"/>
        <w:left w:val="none" w:sz="0" w:space="0" w:color="auto"/>
        <w:bottom w:val="none" w:sz="0" w:space="0" w:color="auto"/>
        <w:right w:val="none" w:sz="0" w:space="0" w:color="auto"/>
      </w:divBdr>
      <w:divsChild>
        <w:div w:id="84814818">
          <w:marLeft w:val="0"/>
          <w:marRight w:val="0"/>
          <w:marTop w:val="0"/>
          <w:marBottom w:val="0"/>
          <w:divBdr>
            <w:top w:val="none" w:sz="0" w:space="0" w:color="auto"/>
            <w:left w:val="none" w:sz="0" w:space="0" w:color="auto"/>
            <w:bottom w:val="none" w:sz="0" w:space="0" w:color="auto"/>
            <w:right w:val="none" w:sz="0" w:space="0" w:color="auto"/>
          </w:divBdr>
        </w:div>
        <w:div w:id="331181576">
          <w:marLeft w:val="0"/>
          <w:marRight w:val="0"/>
          <w:marTop w:val="0"/>
          <w:marBottom w:val="0"/>
          <w:divBdr>
            <w:top w:val="none" w:sz="0" w:space="0" w:color="auto"/>
            <w:left w:val="none" w:sz="0" w:space="0" w:color="auto"/>
            <w:bottom w:val="none" w:sz="0" w:space="0" w:color="auto"/>
            <w:right w:val="none" w:sz="0" w:space="0" w:color="auto"/>
          </w:divBdr>
        </w:div>
        <w:div w:id="755788746">
          <w:marLeft w:val="0"/>
          <w:marRight w:val="0"/>
          <w:marTop w:val="0"/>
          <w:marBottom w:val="0"/>
          <w:divBdr>
            <w:top w:val="none" w:sz="0" w:space="0" w:color="auto"/>
            <w:left w:val="none" w:sz="0" w:space="0" w:color="auto"/>
            <w:bottom w:val="none" w:sz="0" w:space="0" w:color="auto"/>
            <w:right w:val="none" w:sz="0" w:space="0" w:color="auto"/>
          </w:divBdr>
        </w:div>
        <w:div w:id="1073967360">
          <w:marLeft w:val="0"/>
          <w:marRight w:val="0"/>
          <w:marTop w:val="0"/>
          <w:marBottom w:val="0"/>
          <w:divBdr>
            <w:top w:val="none" w:sz="0" w:space="0" w:color="auto"/>
            <w:left w:val="none" w:sz="0" w:space="0" w:color="auto"/>
            <w:bottom w:val="none" w:sz="0" w:space="0" w:color="auto"/>
            <w:right w:val="none" w:sz="0" w:space="0" w:color="auto"/>
          </w:divBdr>
        </w:div>
        <w:div w:id="1114714236">
          <w:marLeft w:val="0"/>
          <w:marRight w:val="0"/>
          <w:marTop w:val="0"/>
          <w:marBottom w:val="0"/>
          <w:divBdr>
            <w:top w:val="none" w:sz="0" w:space="0" w:color="auto"/>
            <w:left w:val="none" w:sz="0" w:space="0" w:color="auto"/>
            <w:bottom w:val="none" w:sz="0" w:space="0" w:color="auto"/>
            <w:right w:val="none" w:sz="0" w:space="0" w:color="auto"/>
          </w:divBdr>
        </w:div>
        <w:div w:id="1137063004">
          <w:marLeft w:val="0"/>
          <w:marRight w:val="0"/>
          <w:marTop w:val="0"/>
          <w:marBottom w:val="0"/>
          <w:divBdr>
            <w:top w:val="none" w:sz="0" w:space="0" w:color="auto"/>
            <w:left w:val="none" w:sz="0" w:space="0" w:color="auto"/>
            <w:bottom w:val="none" w:sz="0" w:space="0" w:color="auto"/>
            <w:right w:val="none" w:sz="0" w:space="0" w:color="auto"/>
          </w:divBdr>
        </w:div>
        <w:div w:id="1164082577">
          <w:marLeft w:val="0"/>
          <w:marRight w:val="0"/>
          <w:marTop w:val="0"/>
          <w:marBottom w:val="0"/>
          <w:divBdr>
            <w:top w:val="none" w:sz="0" w:space="0" w:color="auto"/>
            <w:left w:val="none" w:sz="0" w:space="0" w:color="auto"/>
            <w:bottom w:val="none" w:sz="0" w:space="0" w:color="auto"/>
            <w:right w:val="none" w:sz="0" w:space="0" w:color="auto"/>
          </w:divBdr>
        </w:div>
        <w:div w:id="1396123479">
          <w:marLeft w:val="0"/>
          <w:marRight w:val="0"/>
          <w:marTop w:val="0"/>
          <w:marBottom w:val="0"/>
          <w:divBdr>
            <w:top w:val="none" w:sz="0" w:space="0" w:color="auto"/>
            <w:left w:val="none" w:sz="0" w:space="0" w:color="auto"/>
            <w:bottom w:val="none" w:sz="0" w:space="0" w:color="auto"/>
            <w:right w:val="none" w:sz="0" w:space="0" w:color="auto"/>
          </w:divBdr>
        </w:div>
        <w:div w:id="1425414656">
          <w:marLeft w:val="0"/>
          <w:marRight w:val="0"/>
          <w:marTop w:val="0"/>
          <w:marBottom w:val="0"/>
          <w:divBdr>
            <w:top w:val="none" w:sz="0" w:space="0" w:color="auto"/>
            <w:left w:val="none" w:sz="0" w:space="0" w:color="auto"/>
            <w:bottom w:val="none" w:sz="0" w:space="0" w:color="auto"/>
            <w:right w:val="none" w:sz="0" w:space="0" w:color="auto"/>
          </w:divBdr>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190148968">
      <w:bodyDiv w:val="1"/>
      <w:marLeft w:val="0"/>
      <w:marRight w:val="0"/>
      <w:marTop w:val="0"/>
      <w:marBottom w:val="0"/>
      <w:divBdr>
        <w:top w:val="none" w:sz="0" w:space="0" w:color="auto"/>
        <w:left w:val="none" w:sz="0" w:space="0" w:color="auto"/>
        <w:bottom w:val="none" w:sz="0" w:space="0" w:color="auto"/>
        <w:right w:val="none" w:sz="0" w:space="0" w:color="auto"/>
      </w:divBdr>
      <w:divsChild>
        <w:div w:id="622736341">
          <w:marLeft w:val="0"/>
          <w:marRight w:val="0"/>
          <w:marTop w:val="0"/>
          <w:marBottom w:val="450"/>
          <w:divBdr>
            <w:top w:val="none" w:sz="0" w:space="0" w:color="auto"/>
            <w:left w:val="none" w:sz="0" w:space="0" w:color="auto"/>
            <w:bottom w:val="none" w:sz="0" w:space="0" w:color="auto"/>
            <w:right w:val="none" w:sz="0" w:space="0" w:color="auto"/>
          </w:divBdr>
          <w:divsChild>
            <w:div w:id="1259100717">
              <w:marLeft w:val="0"/>
              <w:marRight w:val="0"/>
              <w:marTop w:val="0"/>
              <w:marBottom w:val="0"/>
              <w:divBdr>
                <w:top w:val="none" w:sz="0" w:space="0" w:color="auto"/>
                <w:left w:val="none" w:sz="0" w:space="0" w:color="auto"/>
                <w:bottom w:val="none" w:sz="0" w:space="0" w:color="auto"/>
                <w:right w:val="none" w:sz="0" w:space="0" w:color="auto"/>
              </w:divBdr>
            </w:div>
          </w:divsChild>
        </w:div>
        <w:div w:id="1177505232">
          <w:marLeft w:val="0"/>
          <w:marRight w:val="0"/>
          <w:marTop w:val="0"/>
          <w:marBottom w:val="450"/>
          <w:divBdr>
            <w:top w:val="none" w:sz="0" w:space="0" w:color="auto"/>
            <w:left w:val="none" w:sz="0" w:space="0" w:color="auto"/>
            <w:bottom w:val="none" w:sz="0" w:space="0" w:color="auto"/>
            <w:right w:val="none" w:sz="0" w:space="0" w:color="auto"/>
          </w:divBdr>
          <w:divsChild>
            <w:div w:id="1722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255024302">
      <w:bodyDiv w:val="1"/>
      <w:marLeft w:val="0"/>
      <w:marRight w:val="0"/>
      <w:marTop w:val="0"/>
      <w:marBottom w:val="0"/>
      <w:divBdr>
        <w:top w:val="none" w:sz="0" w:space="0" w:color="auto"/>
        <w:left w:val="none" w:sz="0" w:space="0" w:color="auto"/>
        <w:bottom w:val="none" w:sz="0" w:space="0" w:color="auto"/>
        <w:right w:val="none" w:sz="0" w:space="0" w:color="auto"/>
      </w:divBdr>
      <w:divsChild>
        <w:div w:id="371416844">
          <w:marLeft w:val="0"/>
          <w:marRight w:val="0"/>
          <w:marTop w:val="0"/>
          <w:marBottom w:val="0"/>
          <w:divBdr>
            <w:top w:val="none" w:sz="0" w:space="0" w:color="auto"/>
            <w:left w:val="none" w:sz="0" w:space="0" w:color="auto"/>
            <w:bottom w:val="none" w:sz="0" w:space="0" w:color="auto"/>
            <w:right w:val="none" w:sz="0" w:space="0" w:color="auto"/>
          </w:divBdr>
        </w:div>
        <w:div w:id="651952266">
          <w:marLeft w:val="0"/>
          <w:marRight w:val="0"/>
          <w:marTop w:val="0"/>
          <w:marBottom w:val="0"/>
          <w:divBdr>
            <w:top w:val="none" w:sz="0" w:space="0" w:color="auto"/>
            <w:left w:val="none" w:sz="0" w:space="0" w:color="auto"/>
            <w:bottom w:val="none" w:sz="0" w:space="0" w:color="auto"/>
            <w:right w:val="none" w:sz="0" w:space="0" w:color="auto"/>
          </w:divBdr>
        </w:div>
        <w:div w:id="747192000">
          <w:marLeft w:val="0"/>
          <w:marRight w:val="0"/>
          <w:marTop w:val="0"/>
          <w:marBottom w:val="0"/>
          <w:divBdr>
            <w:top w:val="none" w:sz="0" w:space="0" w:color="auto"/>
            <w:left w:val="none" w:sz="0" w:space="0" w:color="auto"/>
            <w:bottom w:val="none" w:sz="0" w:space="0" w:color="auto"/>
            <w:right w:val="none" w:sz="0" w:space="0" w:color="auto"/>
          </w:divBdr>
        </w:div>
        <w:div w:id="759523059">
          <w:marLeft w:val="0"/>
          <w:marRight w:val="0"/>
          <w:marTop w:val="0"/>
          <w:marBottom w:val="0"/>
          <w:divBdr>
            <w:top w:val="none" w:sz="0" w:space="0" w:color="auto"/>
            <w:left w:val="none" w:sz="0" w:space="0" w:color="auto"/>
            <w:bottom w:val="none" w:sz="0" w:space="0" w:color="auto"/>
            <w:right w:val="none" w:sz="0" w:space="0" w:color="auto"/>
          </w:divBdr>
        </w:div>
        <w:div w:id="826358123">
          <w:marLeft w:val="0"/>
          <w:marRight w:val="0"/>
          <w:marTop w:val="0"/>
          <w:marBottom w:val="0"/>
          <w:divBdr>
            <w:top w:val="none" w:sz="0" w:space="0" w:color="auto"/>
            <w:left w:val="none" w:sz="0" w:space="0" w:color="auto"/>
            <w:bottom w:val="none" w:sz="0" w:space="0" w:color="auto"/>
            <w:right w:val="none" w:sz="0" w:space="0" w:color="auto"/>
          </w:divBdr>
        </w:div>
        <w:div w:id="1679893550">
          <w:marLeft w:val="0"/>
          <w:marRight w:val="0"/>
          <w:marTop w:val="0"/>
          <w:marBottom w:val="0"/>
          <w:divBdr>
            <w:top w:val="none" w:sz="0" w:space="0" w:color="auto"/>
            <w:left w:val="none" w:sz="0" w:space="0" w:color="auto"/>
            <w:bottom w:val="none" w:sz="0" w:space="0" w:color="auto"/>
            <w:right w:val="none" w:sz="0" w:space="0" w:color="auto"/>
          </w:divBdr>
        </w:div>
        <w:div w:id="1854227538">
          <w:marLeft w:val="0"/>
          <w:marRight w:val="0"/>
          <w:marTop w:val="0"/>
          <w:marBottom w:val="0"/>
          <w:divBdr>
            <w:top w:val="none" w:sz="0" w:space="0" w:color="auto"/>
            <w:left w:val="none" w:sz="0" w:space="0" w:color="auto"/>
            <w:bottom w:val="none" w:sz="0" w:space="0" w:color="auto"/>
            <w:right w:val="none" w:sz="0" w:space="0" w:color="auto"/>
          </w:divBdr>
        </w:div>
        <w:div w:id="1858496236">
          <w:marLeft w:val="0"/>
          <w:marRight w:val="0"/>
          <w:marTop w:val="0"/>
          <w:marBottom w:val="0"/>
          <w:divBdr>
            <w:top w:val="none" w:sz="0" w:space="0" w:color="auto"/>
            <w:left w:val="none" w:sz="0" w:space="0" w:color="auto"/>
            <w:bottom w:val="none" w:sz="0" w:space="0" w:color="auto"/>
            <w:right w:val="none" w:sz="0" w:space="0" w:color="auto"/>
          </w:divBdr>
        </w:div>
        <w:div w:id="1918053859">
          <w:marLeft w:val="0"/>
          <w:marRight w:val="0"/>
          <w:marTop w:val="0"/>
          <w:marBottom w:val="0"/>
          <w:divBdr>
            <w:top w:val="none" w:sz="0" w:space="0" w:color="auto"/>
            <w:left w:val="none" w:sz="0" w:space="0" w:color="auto"/>
            <w:bottom w:val="none" w:sz="0" w:space="0" w:color="auto"/>
            <w:right w:val="none" w:sz="0" w:space="0" w:color="auto"/>
          </w:divBdr>
        </w:div>
        <w:div w:id="2052068434">
          <w:marLeft w:val="0"/>
          <w:marRight w:val="0"/>
          <w:marTop w:val="0"/>
          <w:marBottom w:val="0"/>
          <w:divBdr>
            <w:top w:val="none" w:sz="0" w:space="0" w:color="auto"/>
            <w:left w:val="none" w:sz="0" w:space="0" w:color="auto"/>
            <w:bottom w:val="none" w:sz="0" w:space="0" w:color="auto"/>
            <w:right w:val="none" w:sz="0" w:space="0" w:color="auto"/>
          </w:divBdr>
        </w:div>
        <w:div w:id="2103603476">
          <w:marLeft w:val="0"/>
          <w:marRight w:val="0"/>
          <w:marTop w:val="0"/>
          <w:marBottom w:val="0"/>
          <w:divBdr>
            <w:top w:val="none" w:sz="0" w:space="0" w:color="auto"/>
            <w:left w:val="none" w:sz="0" w:space="0" w:color="auto"/>
            <w:bottom w:val="none" w:sz="0" w:space="0" w:color="auto"/>
            <w:right w:val="none" w:sz="0" w:space="0" w:color="auto"/>
          </w:divBdr>
        </w:div>
      </w:divsChild>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436870886">
      <w:bodyDiv w:val="1"/>
      <w:marLeft w:val="0"/>
      <w:marRight w:val="0"/>
      <w:marTop w:val="0"/>
      <w:marBottom w:val="0"/>
      <w:divBdr>
        <w:top w:val="none" w:sz="0" w:space="0" w:color="auto"/>
        <w:left w:val="none" w:sz="0" w:space="0" w:color="auto"/>
        <w:bottom w:val="none" w:sz="0" w:space="0" w:color="auto"/>
        <w:right w:val="none" w:sz="0" w:space="0" w:color="auto"/>
      </w:divBdr>
      <w:divsChild>
        <w:div w:id="114951402">
          <w:marLeft w:val="0"/>
          <w:marRight w:val="0"/>
          <w:marTop w:val="0"/>
          <w:marBottom w:val="0"/>
          <w:divBdr>
            <w:top w:val="none" w:sz="0" w:space="0" w:color="auto"/>
            <w:left w:val="none" w:sz="0" w:space="0" w:color="auto"/>
            <w:bottom w:val="none" w:sz="0" w:space="0" w:color="auto"/>
            <w:right w:val="none" w:sz="0" w:space="0" w:color="auto"/>
          </w:divBdr>
        </w:div>
        <w:div w:id="237332112">
          <w:marLeft w:val="0"/>
          <w:marRight w:val="0"/>
          <w:marTop w:val="0"/>
          <w:marBottom w:val="0"/>
          <w:divBdr>
            <w:top w:val="none" w:sz="0" w:space="0" w:color="auto"/>
            <w:left w:val="none" w:sz="0" w:space="0" w:color="auto"/>
            <w:bottom w:val="none" w:sz="0" w:space="0" w:color="auto"/>
            <w:right w:val="none" w:sz="0" w:space="0" w:color="auto"/>
          </w:divBdr>
        </w:div>
        <w:div w:id="430005519">
          <w:marLeft w:val="0"/>
          <w:marRight w:val="0"/>
          <w:marTop w:val="0"/>
          <w:marBottom w:val="0"/>
          <w:divBdr>
            <w:top w:val="none" w:sz="0" w:space="0" w:color="auto"/>
            <w:left w:val="none" w:sz="0" w:space="0" w:color="auto"/>
            <w:bottom w:val="none" w:sz="0" w:space="0" w:color="auto"/>
            <w:right w:val="none" w:sz="0" w:space="0" w:color="auto"/>
          </w:divBdr>
        </w:div>
        <w:div w:id="881552592">
          <w:marLeft w:val="0"/>
          <w:marRight w:val="0"/>
          <w:marTop w:val="0"/>
          <w:marBottom w:val="0"/>
          <w:divBdr>
            <w:top w:val="none" w:sz="0" w:space="0" w:color="auto"/>
            <w:left w:val="none" w:sz="0" w:space="0" w:color="auto"/>
            <w:bottom w:val="none" w:sz="0" w:space="0" w:color="auto"/>
            <w:right w:val="none" w:sz="0" w:space="0" w:color="auto"/>
          </w:divBdr>
        </w:div>
        <w:div w:id="891774030">
          <w:marLeft w:val="0"/>
          <w:marRight w:val="0"/>
          <w:marTop w:val="0"/>
          <w:marBottom w:val="0"/>
          <w:divBdr>
            <w:top w:val="none" w:sz="0" w:space="0" w:color="auto"/>
            <w:left w:val="none" w:sz="0" w:space="0" w:color="auto"/>
            <w:bottom w:val="none" w:sz="0" w:space="0" w:color="auto"/>
            <w:right w:val="none" w:sz="0" w:space="0" w:color="auto"/>
          </w:divBdr>
        </w:div>
        <w:div w:id="1053886621">
          <w:marLeft w:val="0"/>
          <w:marRight w:val="0"/>
          <w:marTop w:val="0"/>
          <w:marBottom w:val="0"/>
          <w:divBdr>
            <w:top w:val="none" w:sz="0" w:space="0" w:color="auto"/>
            <w:left w:val="none" w:sz="0" w:space="0" w:color="auto"/>
            <w:bottom w:val="none" w:sz="0" w:space="0" w:color="auto"/>
            <w:right w:val="none" w:sz="0" w:space="0" w:color="auto"/>
          </w:divBdr>
        </w:div>
        <w:div w:id="1116558886">
          <w:marLeft w:val="0"/>
          <w:marRight w:val="0"/>
          <w:marTop w:val="0"/>
          <w:marBottom w:val="0"/>
          <w:divBdr>
            <w:top w:val="none" w:sz="0" w:space="0" w:color="auto"/>
            <w:left w:val="none" w:sz="0" w:space="0" w:color="auto"/>
            <w:bottom w:val="none" w:sz="0" w:space="0" w:color="auto"/>
            <w:right w:val="none" w:sz="0" w:space="0" w:color="auto"/>
          </w:divBdr>
        </w:div>
        <w:div w:id="1196507372">
          <w:marLeft w:val="0"/>
          <w:marRight w:val="0"/>
          <w:marTop w:val="0"/>
          <w:marBottom w:val="0"/>
          <w:divBdr>
            <w:top w:val="none" w:sz="0" w:space="0" w:color="auto"/>
            <w:left w:val="none" w:sz="0" w:space="0" w:color="auto"/>
            <w:bottom w:val="none" w:sz="0" w:space="0" w:color="auto"/>
            <w:right w:val="none" w:sz="0" w:space="0" w:color="auto"/>
          </w:divBdr>
        </w:div>
        <w:div w:id="1883977646">
          <w:marLeft w:val="0"/>
          <w:marRight w:val="0"/>
          <w:marTop w:val="0"/>
          <w:marBottom w:val="0"/>
          <w:divBdr>
            <w:top w:val="none" w:sz="0" w:space="0" w:color="auto"/>
            <w:left w:val="none" w:sz="0" w:space="0" w:color="auto"/>
            <w:bottom w:val="none" w:sz="0" w:space="0" w:color="auto"/>
            <w:right w:val="none" w:sz="0" w:space="0" w:color="auto"/>
          </w:divBdr>
        </w:div>
      </w:divsChild>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892035148">
      <w:bodyDiv w:val="1"/>
      <w:marLeft w:val="0"/>
      <w:marRight w:val="0"/>
      <w:marTop w:val="0"/>
      <w:marBottom w:val="0"/>
      <w:divBdr>
        <w:top w:val="none" w:sz="0" w:space="0" w:color="auto"/>
        <w:left w:val="none" w:sz="0" w:space="0" w:color="auto"/>
        <w:bottom w:val="none" w:sz="0" w:space="0" w:color="auto"/>
        <w:right w:val="none" w:sz="0" w:space="0" w:color="auto"/>
      </w:divBdr>
      <w:divsChild>
        <w:div w:id="130633070">
          <w:marLeft w:val="0"/>
          <w:marRight w:val="0"/>
          <w:marTop w:val="0"/>
          <w:marBottom w:val="0"/>
          <w:divBdr>
            <w:top w:val="none" w:sz="0" w:space="0" w:color="auto"/>
            <w:left w:val="none" w:sz="0" w:space="0" w:color="auto"/>
            <w:bottom w:val="none" w:sz="0" w:space="0" w:color="auto"/>
            <w:right w:val="none" w:sz="0" w:space="0" w:color="auto"/>
          </w:divBdr>
        </w:div>
        <w:div w:id="268584298">
          <w:marLeft w:val="0"/>
          <w:marRight w:val="0"/>
          <w:marTop w:val="0"/>
          <w:marBottom w:val="0"/>
          <w:divBdr>
            <w:top w:val="none" w:sz="0" w:space="0" w:color="auto"/>
            <w:left w:val="none" w:sz="0" w:space="0" w:color="auto"/>
            <w:bottom w:val="none" w:sz="0" w:space="0" w:color="auto"/>
            <w:right w:val="none" w:sz="0" w:space="0" w:color="auto"/>
          </w:divBdr>
        </w:div>
        <w:div w:id="454521399">
          <w:marLeft w:val="0"/>
          <w:marRight w:val="0"/>
          <w:marTop w:val="0"/>
          <w:marBottom w:val="0"/>
          <w:divBdr>
            <w:top w:val="none" w:sz="0" w:space="0" w:color="auto"/>
            <w:left w:val="none" w:sz="0" w:space="0" w:color="auto"/>
            <w:bottom w:val="none" w:sz="0" w:space="0" w:color="auto"/>
            <w:right w:val="none" w:sz="0" w:space="0" w:color="auto"/>
          </w:divBdr>
        </w:div>
        <w:div w:id="582449698">
          <w:marLeft w:val="0"/>
          <w:marRight w:val="0"/>
          <w:marTop w:val="0"/>
          <w:marBottom w:val="0"/>
          <w:divBdr>
            <w:top w:val="none" w:sz="0" w:space="0" w:color="auto"/>
            <w:left w:val="none" w:sz="0" w:space="0" w:color="auto"/>
            <w:bottom w:val="none" w:sz="0" w:space="0" w:color="auto"/>
            <w:right w:val="none" w:sz="0" w:space="0" w:color="auto"/>
          </w:divBdr>
        </w:div>
        <w:div w:id="828667904">
          <w:marLeft w:val="0"/>
          <w:marRight w:val="0"/>
          <w:marTop w:val="0"/>
          <w:marBottom w:val="0"/>
          <w:divBdr>
            <w:top w:val="none" w:sz="0" w:space="0" w:color="auto"/>
            <w:left w:val="none" w:sz="0" w:space="0" w:color="auto"/>
            <w:bottom w:val="none" w:sz="0" w:space="0" w:color="auto"/>
            <w:right w:val="none" w:sz="0" w:space="0" w:color="auto"/>
          </w:divBdr>
        </w:div>
        <w:div w:id="1064134428">
          <w:marLeft w:val="0"/>
          <w:marRight w:val="0"/>
          <w:marTop w:val="0"/>
          <w:marBottom w:val="0"/>
          <w:divBdr>
            <w:top w:val="none" w:sz="0" w:space="0" w:color="auto"/>
            <w:left w:val="none" w:sz="0" w:space="0" w:color="auto"/>
            <w:bottom w:val="none" w:sz="0" w:space="0" w:color="auto"/>
            <w:right w:val="none" w:sz="0" w:space="0" w:color="auto"/>
          </w:divBdr>
        </w:div>
        <w:div w:id="1210721621">
          <w:marLeft w:val="0"/>
          <w:marRight w:val="0"/>
          <w:marTop w:val="0"/>
          <w:marBottom w:val="0"/>
          <w:divBdr>
            <w:top w:val="none" w:sz="0" w:space="0" w:color="auto"/>
            <w:left w:val="none" w:sz="0" w:space="0" w:color="auto"/>
            <w:bottom w:val="none" w:sz="0" w:space="0" w:color="auto"/>
            <w:right w:val="none" w:sz="0" w:space="0" w:color="auto"/>
          </w:divBdr>
        </w:div>
        <w:div w:id="1256015407">
          <w:marLeft w:val="0"/>
          <w:marRight w:val="0"/>
          <w:marTop w:val="0"/>
          <w:marBottom w:val="0"/>
          <w:divBdr>
            <w:top w:val="none" w:sz="0" w:space="0" w:color="auto"/>
            <w:left w:val="none" w:sz="0" w:space="0" w:color="auto"/>
            <w:bottom w:val="none" w:sz="0" w:space="0" w:color="auto"/>
            <w:right w:val="none" w:sz="0" w:space="0" w:color="auto"/>
          </w:divBdr>
        </w:div>
        <w:div w:id="1310549961">
          <w:marLeft w:val="0"/>
          <w:marRight w:val="0"/>
          <w:marTop w:val="0"/>
          <w:marBottom w:val="0"/>
          <w:divBdr>
            <w:top w:val="none" w:sz="0" w:space="0" w:color="auto"/>
            <w:left w:val="none" w:sz="0" w:space="0" w:color="auto"/>
            <w:bottom w:val="none" w:sz="0" w:space="0" w:color="auto"/>
            <w:right w:val="none" w:sz="0" w:space="0" w:color="auto"/>
          </w:divBdr>
        </w:div>
        <w:div w:id="1464544938">
          <w:marLeft w:val="0"/>
          <w:marRight w:val="0"/>
          <w:marTop w:val="0"/>
          <w:marBottom w:val="0"/>
          <w:divBdr>
            <w:top w:val="none" w:sz="0" w:space="0" w:color="auto"/>
            <w:left w:val="none" w:sz="0" w:space="0" w:color="auto"/>
            <w:bottom w:val="none" w:sz="0" w:space="0" w:color="auto"/>
            <w:right w:val="none" w:sz="0" w:space="0" w:color="auto"/>
          </w:divBdr>
        </w:div>
        <w:div w:id="1626960682">
          <w:marLeft w:val="0"/>
          <w:marRight w:val="0"/>
          <w:marTop w:val="0"/>
          <w:marBottom w:val="0"/>
          <w:divBdr>
            <w:top w:val="none" w:sz="0" w:space="0" w:color="auto"/>
            <w:left w:val="none" w:sz="0" w:space="0" w:color="auto"/>
            <w:bottom w:val="none" w:sz="0" w:space="0" w:color="auto"/>
            <w:right w:val="none" w:sz="0" w:space="0" w:color="auto"/>
          </w:divBdr>
        </w:div>
      </w:divsChild>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379747271">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39260894">
      <w:bodyDiv w:val="1"/>
      <w:marLeft w:val="0"/>
      <w:marRight w:val="0"/>
      <w:marTop w:val="0"/>
      <w:marBottom w:val="0"/>
      <w:divBdr>
        <w:top w:val="none" w:sz="0" w:space="0" w:color="auto"/>
        <w:left w:val="none" w:sz="0" w:space="0" w:color="auto"/>
        <w:bottom w:val="none" w:sz="0" w:space="0" w:color="auto"/>
        <w:right w:val="none" w:sz="0" w:space="0" w:color="auto"/>
      </w:divBdr>
      <w:divsChild>
        <w:div w:id="561715513">
          <w:marLeft w:val="0"/>
          <w:marRight w:val="0"/>
          <w:marTop w:val="0"/>
          <w:marBottom w:val="0"/>
          <w:divBdr>
            <w:top w:val="none" w:sz="0" w:space="0" w:color="auto"/>
            <w:left w:val="none" w:sz="0" w:space="0" w:color="auto"/>
            <w:bottom w:val="none" w:sz="0" w:space="0" w:color="auto"/>
            <w:right w:val="none" w:sz="0" w:space="0" w:color="auto"/>
          </w:divBdr>
        </w:div>
        <w:div w:id="821117095">
          <w:marLeft w:val="0"/>
          <w:marRight w:val="0"/>
          <w:marTop w:val="0"/>
          <w:marBottom w:val="0"/>
          <w:divBdr>
            <w:top w:val="none" w:sz="0" w:space="0" w:color="auto"/>
            <w:left w:val="none" w:sz="0" w:space="0" w:color="auto"/>
            <w:bottom w:val="none" w:sz="0" w:space="0" w:color="auto"/>
            <w:right w:val="none" w:sz="0" w:space="0" w:color="auto"/>
          </w:divBdr>
        </w:div>
        <w:div w:id="1069614853">
          <w:marLeft w:val="0"/>
          <w:marRight w:val="0"/>
          <w:marTop w:val="0"/>
          <w:marBottom w:val="0"/>
          <w:divBdr>
            <w:top w:val="none" w:sz="0" w:space="0" w:color="auto"/>
            <w:left w:val="none" w:sz="0" w:space="0" w:color="auto"/>
            <w:bottom w:val="none" w:sz="0" w:space="0" w:color="auto"/>
            <w:right w:val="none" w:sz="0" w:space="0" w:color="auto"/>
          </w:divBdr>
        </w:div>
        <w:div w:id="1387534706">
          <w:marLeft w:val="0"/>
          <w:marRight w:val="0"/>
          <w:marTop w:val="0"/>
          <w:marBottom w:val="0"/>
          <w:divBdr>
            <w:top w:val="none" w:sz="0" w:space="0" w:color="auto"/>
            <w:left w:val="none" w:sz="0" w:space="0" w:color="auto"/>
            <w:bottom w:val="none" w:sz="0" w:space="0" w:color="auto"/>
            <w:right w:val="none" w:sz="0" w:space="0" w:color="auto"/>
          </w:divBdr>
        </w:div>
        <w:div w:id="1501192166">
          <w:marLeft w:val="0"/>
          <w:marRight w:val="0"/>
          <w:marTop w:val="0"/>
          <w:marBottom w:val="0"/>
          <w:divBdr>
            <w:top w:val="none" w:sz="0" w:space="0" w:color="auto"/>
            <w:left w:val="none" w:sz="0" w:space="0" w:color="auto"/>
            <w:bottom w:val="none" w:sz="0" w:space="0" w:color="auto"/>
            <w:right w:val="none" w:sz="0" w:space="0" w:color="auto"/>
          </w:divBdr>
        </w:div>
        <w:div w:id="1767535469">
          <w:marLeft w:val="0"/>
          <w:marRight w:val="0"/>
          <w:marTop w:val="0"/>
          <w:marBottom w:val="0"/>
          <w:divBdr>
            <w:top w:val="none" w:sz="0" w:space="0" w:color="auto"/>
            <w:left w:val="none" w:sz="0" w:space="0" w:color="auto"/>
            <w:bottom w:val="none" w:sz="0" w:space="0" w:color="auto"/>
            <w:right w:val="none" w:sz="0" w:space="0" w:color="auto"/>
          </w:divBdr>
        </w:div>
      </w:divsChild>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71316404">
      <w:bodyDiv w:val="1"/>
      <w:marLeft w:val="0"/>
      <w:marRight w:val="0"/>
      <w:marTop w:val="0"/>
      <w:marBottom w:val="0"/>
      <w:divBdr>
        <w:top w:val="none" w:sz="0" w:space="0" w:color="auto"/>
        <w:left w:val="none" w:sz="0" w:space="0" w:color="auto"/>
        <w:bottom w:val="none" w:sz="0" w:space="0" w:color="auto"/>
        <w:right w:val="none" w:sz="0" w:space="0" w:color="auto"/>
      </w:divBdr>
      <w:divsChild>
        <w:div w:id="10032719">
          <w:marLeft w:val="0"/>
          <w:marRight w:val="0"/>
          <w:marTop w:val="0"/>
          <w:marBottom w:val="0"/>
          <w:divBdr>
            <w:top w:val="none" w:sz="0" w:space="0" w:color="auto"/>
            <w:left w:val="none" w:sz="0" w:space="0" w:color="auto"/>
            <w:bottom w:val="none" w:sz="0" w:space="0" w:color="auto"/>
            <w:right w:val="none" w:sz="0" w:space="0" w:color="auto"/>
          </w:divBdr>
        </w:div>
        <w:div w:id="26179989">
          <w:marLeft w:val="0"/>
          <w:marRight w:val="0"/>
          <w:marTop w:val="0"/>
          <w:marBottom w:val="0"/>
          <w:divBdr>
            <w:top w:val="none" w:sz="0" w:space="0" w:color="auto"/>
            <w:left w:val="none" w:sz="0" w:space="0" w:color="auto"/>
            <w:bottom w:val="none" w:sz="0" w:space="0" w:color="auto"/>
            <w:right w:val="none" w:sz="0" w:space="0" w:color="auto"/>
          </w:divBdr>
        </w:div>
        <w:div w:id="98061510">
          <w:marLeft w:val="0"/>
          <w:marRight w:val="0"/>
          <w:marTop w:val="0"/>
          <w:marBottom w:val="0"/>
          <w:divBdr>
            <w:top w:val="none" w:sz="0" w:space="0" w:color="auto"/>
            <w:left w:val="none" w:sz="0" w:space="0" w:color="auto"/>
            <w:bottom w:val="none" w:sz="0" w:space="0" w:color="auto"/>
            <w:right w:val="none" w:sz="0" w:space="0" w:color="auto"/>
          </w:divBdr>
        </w:div>
        <w:div w:id="1369263116">
          <w:marLeft w:val="0"/>
          <w:marRight w:val="0"/>
          <w:marTop w:val="0"/>
          <w:marBottom w:val="0"/>
          <w:divBdr>
            <w:top w:val="none" w:sz="0" w:space="0" w:color="auto"/>
            <w:left w:val="none" w:sz="0" w:space="0" w:color="auto"/>
            <w:bottom w:val="none" w:sz="0" w:space="0" w:color="auto"/>
            <w:right w:val="none" w:sz="0" w:space="0" w:color="auto"/>
          </w:divBdr>
        </w:div>
        <w:div w:id="1583953520">
          <w:marLeft w:val="0"/>
          <w:marRight w:val="0"/>
          <w:marTop w:val="0"/>
          <w:marBottom w:val="0"/>
          <w:divBdr>
            <w:top w:val="none" w:sz="0" w:space="0" w:color="auto"/>
            <w:left w:val="none" w:sz="0" w:space="0" w:color="auto"/>
            <w:bottom w:val="none" w:sz="0" w:space="0" w:color="auto"/>
            <w:right w:val="none" w:sz="0" w:space="0" w:color="auto"/>
          </w:divBdr>
        </w:div>
        <w:div w:id="1936747733">
          <w:marLeft w:val="0"/>
          <w:marRight w:val="0"/>
          <w:marTop w:val="0"/>
          <w:marBottom w:val="0"/>
          <w:divBdr>
            <w:top w:val="none" w:sz="0" w:space="0" w:color="auto"/>
            <w:left w:val="none" w:sz="0" w:space="0" w:color="auto"/>
            <w:bottom w:val="none" w:sz="0" w:space="0" w:color="auto"/>
            <w:right w:val="none" w:sz="0" w:space="0" w:color="auto"/>
          </w:divBdr>
        </w:div>
      </w:divsChild>
    </w:div>
    <w:div w:id="1782530548">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798404397">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42240302">
      <w:bodyDiv w:val="1"/>
      <w:marLeft w:val="0"/>
      <w:marRight w:val="0"/>
      <w:marTop w:val="0"/>
      <w:marBottom w:val="0"/>
      <w:divBdr>
        <w:top w:val="none" w:sz="0" w:space="0" w:color="auto"/>
        <w:left w:val="none" w:sz="0" w:space="0" w:color="auto"/>
        <w:bottom w:val="none" w:sz="0" w:space="0" w:color="auto"/>
        <w:right w:val="none" w:sz="0" w:space="0" w:color="auto"/>
      </w:divBdr>
    </w:div>
    <w:div w:id="2080050525">
      <w:bodyDiv w:val="1"/>
      <w:marLeft w:val="0"/>
      <w:marRight w:val="0"/>
      <w:marTop w:val="0"/>
      <w:marBottom w:val="0"/>
      <w:divBdr>
        <w:top w:val="none" w:sz="0" w:space="0" w:color="auto"/>
        <w:left w:val="none" w:sz="0" w:space="0" w:color="auto"/>
        <w:bottom w:val="none" w:sz="0" w:space="0" w:color="auto"/>
        <w:right w:val="none" w:sz="0" w:space="0" w:color="auto"/>
      </w:divBdr>
      <w:divsChild>
        <w:div w:id="749616576">
          <w:marLeft w:val="0"/>
          <w:marRight w:val="0"/>
          <w:marTop w:val="0"/>
          <w:marBottom w:val="450"/>
          <w:divBdr>
            <w:top w:val="none" w:sz="0" w:space="0" w:color="auto"/>
            <w:left w:val="none" w:sz="0" w:space="0" w:color="auto"/>
            <w:bottom w:val="none" w:sz="0" w:space="0" w:color="auto"/>
            <w:right w:val="none" w:sz="0" w:space="0" w:color="auto"/>
          </w:divBdr>
          <w:divsChild>
            <w:div w:id="274216528">
              <w:marLeft w:val="0"/>
              <w:marRight w:val="0"/>
              <w:marTop w:val="0"/>
              <w:marBottom w:val="0"/>
              <w:divBdr>
                <w:top w:val="none" w:sz="0" w:space="0" w:color="auto"/>
                <w:left w:val="none" w:sz="0" w:space="0" w:color="auto"/>
                <w:bottom w:val="none" w:sz="0" w:space="0" w:color="auto"/>
                <w:right w:val="none" w:sz="0" w:space="0" w:color="auto"/>
              </w:divBdr>
            </w:div>
          </w:divsChild>
        </w:div>
        <w:div w:id="1799714401">
          <w:marLeft w:val="0"/>
          <w:marRight w:val="0"/>
          <w:marTop w:val="0"/>
          <w:marBottom w:val="450"/>
          <w:divBdr>
            <w:top w:val="none" w:sz="0" w:space="0" w:color="auto"/>
            <w:left w:val="none" w:sz="0" w:space="0" w:color="auto"/>
            <w:bottom w:val="none" w:sz="0" w:space="0" w:color="auto"/>
            <w:right w:val="none" w:sz="0" w:space="0" w:color="auto"/>
          </w:divBdr>
          <w:divsChild>
            <w:div w:id="17316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hmanwakefie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16bc716-2ef2-42ff-a34e-e437c0f24fe9" xsi:nil="true"/>
    <lcf76f155ced4ddcb4097134ff3c332f xmlns="5927d1f9-8819-4dd8-877c-e9f8844f95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18526F10DA64CBE3916EAA4716759" ma:contentTypeVersion="14" ma:contentTypeDescription="Create a new document." ma:contentTypeScope="" ma:versionID="1eaedbe42529d603f9274f7d5eccc217">
  <xsd:schema xmlns:xsd="http://www.w3.org/2001/XMLSchema" xmlns:xs="http://www.w3.org/2001/XMLSchema" xmlns:p="http://schemas.microsoft.com/office/2006/metadata/properties" xmlns:ns2="5927d1f9-8819-4dd8-877c-e9f8844f9576" xmlns:ns3="016bc716-2ef2-42ff-a34e-e437c0f24fe9" targetNamespace="http://schemas.microsoft.com/office/2006/metadata/properties" ma:root="true" ma:fieldsID="01164a5f81bcb29c397def69a4d89e32" ns2:_="" ns3:_="">
    <xsd:import namespace="5927d1f9-8819-4dd8-877c-e9f8844f9576"/>
    <xsd:import namespace="016bc716-2ef2-42ff-a34e-e437c0f24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d1f9-8819-4dd8-877c-e9f8844f9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bc716-2ef2-42ff-a34e-e437c0f24f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cb88db-cc8f-49c6-a577-6708ad005284}" ma:internalName="TaxCatchAll" ma:showField="CatchAllData" ma:web="016bc716-2ef2-42ff-a34e-e437c0f24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03DC5-36C3-4D01-A699-677E7E955689}">
  <ds:schemaRefs>
    <ds:schemaRef ds:uri="http://schemas.microsoft.com/sharepoint/v3/contenttype/forms"/>
  </ds:schemaRefs>
</ds:datastoreItem>
</file>

<file path=customXml/itemProps2.xml><?xml version="1.0" encoding="utf-8"?>
<ds:datastoreItem xmlns:ds="http://schemas.openxmlformats.org/officeDocument/2006/customXml" ds:itemID="{ACEA6107-656D-4D01-9627-337AEBCBC07F}">
  <ds:schemaRefs>
    <ds:schemaRef ds:uri="http://schemas.openxmlformats.org/officeDocument/2006/bibliography"/>
  </ds:schemaRefs>
</ds:datastoreItem>
</file>

<file path=customXml/itemProps3.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016bc716-2ef2-42ff-a34e-e437c0f24fe9"/>
    <ds:schemaRef ds:uri="5927d1f9-8819-4dd8-877c-e9f8844f9576"/>
  </ds:schemaRefs>
</ds:datastoreItem>
</file>

<file path=customXml/itemProps4.xml><?xml version="1.0" encoding="utf-8"?>
<ds:datastoreItem xmlns:ds="http://schemas.openxmlformats.org/officeDocument/2006/customXml" ds:itemID="{209305F1-077E-436E-A0C0-439DCFC4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d1f9-8819-4dd8-877c-e9f8844f9576"/>
    <ds:schemaRef ds:uri="016bc716-2ef2-42ff-a34e-e437c0f2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1153</Words>
  <Characters>6924</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8061</CharactersWithSpaces>
  <SharedDoc>false</SharedDoc>
  <HLinks>
    <vt:vector size="18" baseType="variant">
      <vt:variant>
        <vt:i4>5701721</vt:i4>
      </vt:variant>
      <vt:variant>
        <vt:i4>0</vt:i4>
      </vt:variant>
      <vt:variant>
        <vt:i4>0</vt:i4>
      </vt:variant>
      <vt:variant>
        <vt:i4>5</vt:i4>
      </vt:variant>
      <vt:variant>
        <vt:lpwstr>http://www.cushmanwakefield.com/</vt:lpwstr>
      </vt:variant>
      <vt:variant>
        <vt:lpwstr/>
      </vt:variant>
      <vt:variant>
        <vt:i4>4849702</vt:i4>
      </vt:variant>
      <vt:variant>
        <vt:i4>3</vt:i4>
      </vt:variant>
      <vt:variant>
        <vt:i4>0</vt:i4>
      </vt:variant>
      <vt:variant>
        <vt:i4>5</vt:i4>
      </vt:variant>
      <vt:variant>
        <vt:lpwstr>mailto:first.last@cushwake.com</vt:lpwstr>
      </vt:variant>
      <vt:variant>
        <vt:lpwstr/>
      </vt:variant>
      <vt:variant>
        <vt:i4>5308448</vt:i4>
      </vt:variant>
      <vt:variant>
        <vt:i4>0</vt:i4>
      </vt:variant>
      <vt:variant>
        <vt:i4>0</vt:i4>
      </vt:variant>
      <vt:variant>
        <vt:i4>5</vt:i4>
      </vt:variant>
      <vt:variant>
        <vt:lpwstr>mailto:media.poland@cushwake.pl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Link Leaders</cp:lastModifiedBy>
  <cp:revision>4</cp:revision>
  <dcterms:created xsi:type="dcterms:W3CDTF">2025-10-15T07:05:00Z</dcterms:created>
  <dcterms:modified xsi:type="dcterms:W3CDTF">2025-10-15T08:07:00Z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0x010100EC618526F10DA64CBE3916EAA4716759</vt:lpwstr>
  </property>
  <property fmtid="{D5CDD505-2E9C-101B-9397-08002B2CF9AE}" pid="4" name="MediaServiceImageTags">
    <vt:lpwstr/>
  </property>
</Properties>
</file>