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B929" w14:textId="77777777" w:rsidR="00F41DD2" w:rsidRPr="00F41DD2" w:rsidRDefault="00F41DD2" w:rsidP="00F41DD2">
      <w:pPr>
        <w:rPr>
          <w:rFonts w:ascii="Noto Sans" w:hAnsi="Noto Sans" w:cs="Noto Sans"/>
          <w:sz w:val="28"/>
          <w:szCs w:val="28"/>
        </w:rPr>
      </w:pPr>
      <w:bookmarkStart w:id="0" w:name="_Hlk204167296"/>
      <w:r w:rsidRPr="00F41DD2">
        <w:rPr>
          <w:rFonts w:ascii="Noto Sans" w:hAnsi="Noto Sans" w:cs="Noto Sans"/>
          <w:b/>
          <w:bCs/>
          <w:sz w:val="28"/>
          <w:szCs w:val="28"/>
          <w:lang w:val="nl"/>
        </w:rPr>
        <w:t xml:space="preserve">Van doos tot medicijnkastje: </w:t>
      </w:r>
      <w:bookmarkStart w:id="1" w:name="_Hlk204164407"/>
      <w:r w:rsidRPr="00F41DD2">
        <w:rPr>
          <w:rFonts w:ascii="Noto Sans" w:hAnsi="Noto Sans" w:cs="Noto Sans"/>
          <w:b/>
          <w:bCs/>
          <w:sz w:val="28"/>
          <w:szCs w:val="28"/>
          <w:lang w:val="nl"/>
        </w:rPr>
        <w:t>Patiëntgerichte zorg ontsluiten met slimme verpakkingen</w:t>
      </w:r>
      <w:bookmarkEnd w:id="0"/>
      <w:bookmarkEnd w:id="1"/>
    </w:p>
    <w:p w14:paraId="414E481D" w14:textId="77777777" w:rsidR="00F41DD2" w:rsidRPr="00F41DD2" w:rsidRDefault="00F41DD2" w:rsidP="00F41DD2">
      <w:pPr>
        <w:rPr>
          <w:rFonts w:ascii="Noto Sans" w:hAnsi="Noto Sans" w:cs="Noto Sans"/>
          <w:sz w:val="22"/>
        </w:rPr>
      </w:pPr>
      <w:r w:rsidRPr="00F41DD2">
        <w:rPr>
          <w:rFonts w:ascii="Noto Sans" w:hAnsi="Noto Sans" w:cs="Noto Sans"/>
          <w:sz w:val="22"/>
          <w:lang w:val="nl"/>
        </w:rPr>
        <w:br/>
      </w:r>
      <w:r w:rsidRPr="00F41DD2">
        <w:rPr>
          <w:rFonts w:ascii="Noto Sans" w:hAnsi="Noto Sans" w:cs="Noto Sans"/>
          <w:i/>
          <w:iCs/>
          <w:sz w:val="22"/>
          <w:lang w:val="nl"/>
        </w:rPr>
        <w:t>Farmaceutische verpakkingen spelen een steeds grotere rol in patiëntgerichte zorg. De integratie van slimme 2D-codes en gekoppelde digitale platforms kan zorgen voor een directe link tussen geneesmiddelenfabrikanten, zorgverleners en patiënten. Zoals Bart Vansteenkiste, Global Life Sciences Sector Manager bij Domino Printing Sciences, uitlegt, zijn farmaceutische verpakkingen niet het eindpunt van productie, maar het startpunt voor meer verbonden, patiëntgerichte zorg.</w:t>
      </w:r>
    </w:p>
    <w:p w14:paraId="733161CA" w14:textId="77777777" w:rsidR="00F41DD2" w:rsidRPr="00F41DD2" w:rsidRDefault="00F41DD2" w:rsidP="00F41DD2">
      <w:pPr>
        <w:rPr>
          <w:rFonts w:ascii="Noto Sans" w:hAnsi="Noto Sans" w:cs="Noto Sans"/>
          <w:b/>
          <w:bCs/>
          <w:sz w:val="22"/>
        </w:rPr>
      </w:pPr>
      <w:r w:rsidRPr="00F41DD2">
        <w:rPr>
          <w:rFonts w:ascii="Noto Sans" w:hAnsi="Noto Sans" w:cs="Noto Sans"/>
          <w:sz w:val="22"/>
          <w:lang w:val="nl"/>
        </w:rPr>
        <w:br/>
      </w:r>
      <w:r w:rsidRPr="00F41DD2">
        <w:rPr>
          <w:rFonts w:ascii="Noto Sans" w:hAnsi="Noto Sans" w:cs="Noto Sans"/>
          <w:b/>
          <w:bCs/>
          <w:sz w:val="22"/>
          <w:lang w:val="nl"/>
        </w:rPr>
        <w:t>Een andere kijk op patiëntenbijsluiters</w:t>
      </w:r>
    </w:p>
    <w:p w14:paraId="488179BE" w14:textId="77777777" w:rsidR="00F41DD2" w:rsidRPr="00F41DD2" w:rsidRDefault="00F41DD2" w:rsidP="00F41DD2">
      <w:pPr>
        <w:rPr>
          <w:rFonts w:ascii="Noto Sans" w:hAnsi="Noto Sans" w:cs="Noto Sans"/>
          <w:sz w:val="22"/>
          <w:lang w:val="nl"/>
        </w:rPr>
      </w:pPr>
      <w:r w:rsidRPr="00F41DD2">
        <w:rPr>
          <w:rFonts w:ascii="Noto Sans" w:hAnsi="Noto Sans" w:cs="Noto Sans"/>
          <w:sz w:val="22"/>
          <w:lang w:val="nl"/>
        </w:rPr>
        <w:t xml:space="preserve">Er wordt steeds meer erkend dat het ontwerp van farmaceutische verpakkingen een sleutelrol kan spelen bij het verbeteren van de patiëntveiligheid. Voor veel patiënten, vooral als ze meerdere soorten medicatie gebruiken, kan de traditionele bijsluiter een bron van frustratie zijn. Complex taalgebruik, lange instructies en inconsistente vertalingen kunnen verwarrend zijn en bijdragen aan vermijdbare risico's bij medicijngebruik. Recent onderzoek door de Western University of Health Sciences en de Southern Illinois University Edwardsville in de VS onderstreept de waarde van een nieuwe kijk op het bijsluiterformaat. In een vergelijking van </w:t>
      </w:r>
      <w:bookmarkStart w:id="2" w:name="_Hlk204162960"/>
      <w:r w:rsidRPr="00F41DD2">
        <w:rPr>
          <w:rFonts w:ascii="Noto Sans" w:hAnsi="Noto Sans" w:cs="Noto Sans"/>
          <w:sz w:val="22"/>
          <w:lang w:val="nl"/>
        </w:rPr>
        <w:t xml:space="preserve">elektronische bijsluiters </w:t>
      </w:r>
      <w:bookmarkEnd w:id="2"/>
      <w:r w:rsidRPr="00F41DD2">
        <w:rPr>
          <w:rFonts w:ascii="Noto Sans" w:hAnsi="Noto Sans" w:cs="Noto Sans"/>
          <w:sz w:val="22"/>
          <w:lang w:val="nl"/>
        </w:rPr>
        <w:t xml:space="preserve">(ePIL) met traditionele papieren versies, bevestigde de </w:t>
      </w:r>
      <w:hyperlink r:id="rId6" w:history="1">
        <w:r w:rsidRPr="00F41DD2">
          <w:rPr>
            <w:rStyle w:val="Hyperlink"/>
            <w:rFonts w:ascii="Noto Sans" w:hAnsi="Noto Sans" w:cs="Noto Sans"/>
            <w:sz w:val="22"/>
            <w:lang w:val="nl"/>
          </w:rPr>
          <w:t>gecontroleerde studie</w:t>
        </w:r>
      </w:hyperlink>
      <w:r w:rsidRPr="00F41DD2">
        <w:rPr>
          <w:rFonts w:ascii="Noto Sans" w:hAnsi="Noto Sans" w:cs="Noto Sans"/>
          <w:sz w:val="22"/>
          <w:lang w:val="nl"/>
        </w:rPr>
        <w:t xml:space="preserve"> dat ePIL significant beter presteerde dan papieren versies op belangrijke criteria, waaronder begrip, gemak en visuele aantrekkingskracht. </w:t>
      </w:r>
    </w:p>
    <w:p w14:paraId="13E27B3F" w14:textId="77777777" w:rsidR="00F41DD2" w:rsidRDefault="00F41DD2" w:rsidP="00F41DD2">
      <w:pPr>
        <w:rPr>
          <w:rFonts w:ascii="Noto Sans" w:hAnsi="Noto Sans" w:cs="Noto Sans"/>
          <w:sz w:val="22"/>
          <w:lang w:val="nl"/>
        </w:rPr>
      </w:pPr>
    </w:p>
    <w:p w14:paraId="2A285580" w14:textId="6A427DD6" w:rsidR="00F41DD2" w:rsidRPr="00F41DD2" w:rsidRDefault="00F41DD2" w:rsidP="00F41DD2">
      <w:pPr>
        <w:rPr>
          <w:rFonts w:ascii="Noto Sans" w:hAnsi="Noto Sans" w:cs="Noto Sans"/>
          <w:sz w:val="22"/>
          <w:lang w:val="nl"/>
        </w:rPr>
      </w:pPr>
      <w:r w:rsidRPr="00F41DD2">
        <w:rPr>
          <w:rFonts w:ascii="Noto Sans" w:hAnsi="Noto Sans" w:cs="Noto Sans"/>
          <w:sz w:val="22"/>
          <w:lang w:val="nl"/>
        </w:rPr>
        <w:t>De begripsscores waren duidelijk hoger, vooral bij patiënten met een lagere gezondheidsgeletterdheid, wat de waarde benadrukt van vereenvoudigd taalgebruik en een intuïtief ontwerp om het begrip te verbeteren.</w:t>
      </w:r>
    </w:p>
    <w:p w14:paraId="466D4D7D" w14:textId="77777777" w:rsidR="00F41DD2" w:rsidRDefault="00F41DD2" w:rsidP="00F41DD2">
      <w:pPr>
        <w:rPr>
          <w:rFonts w:ascii="Noto Sans" w:hAnsi="Noto Sans" w:cs="Noto Sans"/>
          <w:sz w:val="22"/>
          <w:lang w:val="nl"/>
        </w:rPr>
      </w:pPr>
    </w:p>
    <w:p w14:paraId="6864E36B" w14:textId="2205752F" w:rsidR="00F41DD2" w:rsidRPr="00F41DD2" w:rsidRDefault="00F41DD2" w:rsidP="00F41DD2">
      <w:pPr>
        <w:rPr>
          <w:rFonts w:ascii="Noto Sans" w:hAnsi="Noto Sans" w:cs="Noto Sans"/>
          <w:sz w:val="22"/>
        </w:rPr>
      </w:pPr>
      <w:r w:rsidRPr="00F41DD2">
        <w:rPr>
          <w:rFonts w:ascii="Noto Sans" w:hAnsi="Noto Sans" w:cs="Noto Sans"/>
          <w:sz w:val="22"/>
          <w:lang w:val="nl"/>
        </w:rPr>
        <w:lastRenderedPageBreak/>
        <w:t>Digitale bijsluiters kunnen de betrokkenheid van patiënten ook vergroten. Met een eenvoudige scan van een slimme 2D-code op farmaceutische verpakkingen krijgen patiënten toegang tot up-to-date, duidelijke en intuïtieve informatie in de taal van hun voorkeur. Extra functies, zoals instructievideo's of audiobijsluiters, kunnen bijdragen aan een beter begrip bij verschillende patiëntenpopulaties.</w:t>
      </w:r>
    </w:p>
    <w:p w14:paraId="0BD268A7" w14:textId="77777777" w:rsidR="00F41DD2" w:rsidRDefault="00F41DD2" w:rsidP="00F41DD2">
      <w:pPr>
        <w:rPr>
          <w:rFonts w:ascii="Noto Sans" w:hAnsi="Noto Sans" w:cs="Noto Sans"/>
          <w:b/>
          <w:bCs/>
          <w:sz w:val="22"/>
          <w:lang w:val="nl"/>
        </w:rPr>
      </w:pPr>
    </w:p>
    <w:p w14:paraId="01756A80" w14:textId="4FCD235C" w:rsidR="00F41DD2" w:rsidRPr="00F41DD2" w:rsidRDefault="00F41DD2" w:rsidP="00F41DD2">
      <w:pPr>
        <w:rPr>
          <w:rFonts w:ascii="Noto Sans" w:hAnsi="Noto Sans" w:cs="Noto Sans"/>
          <w:b/>
          <w:bCs/>
          <w:sz w:val="22"/>
        </w:rPr>
      </w:pPr>
      <w:r w:rsidRPr="00F41DD2">
        <w:rPr>
          <w:rFonts w:ascii="Noto Sans" w:hAnsi="Noto Sans" w:cs="Noto Sans"/>
          <w:b/>
          <w:bCs/>
          <w:sz w:val="22"/>
          <w:lang w:val="nl"/>
        </w:rPr>
        <w:t>Zorg ondersteunen met slimmere verbindingen</w:t>
      </w:r>
    </w:p>
    <w:p w14:paraId="10834FD3" w14:textId="77777777" w:rsidR="00F41DD2" w:rsidRPr="00F41DD2" w:rsidRDefault="00F41DD2" w:rsidP="00F41DD2">
      <w:pPr>
        <w:rPr>
          <w:rFonts w:ascii="Noto Sans" w:hAnsi="Noto Sans" w:cs="Noto Sans"/>
          <w:sz w:val="22"/>
          <w:lang w:val="nl"/>
        </w:rPr>
      </w:pPr>
      <w:r w:rsidRPr="00F41DD2">
        <w:rPr>
          <w:rFonts w:ascii="Noto Sans" w:hAnsi="Noto Sans" w:cs="Noto Sans"/>
          <w:sz w:val="22"/>
          <w:lang w:val="nl"/>
        </w:rPr>
        <w:t xml:space="preserve">Geïntegreerde verpakkingen, gerealiseerd door slimme 2D-codes die linken naar actuele gegevensbronnen op het ontwerp van farmaceutische verpakkingen, kunnen ook de patiëntveiligheid in het ganse gezondheidszorgsysteem verbeteren en traditionele gaten in de communicatie dichten, van het voorschrijven tot het afleveren. </w:t>
      </w:r>
      <w:bookmarkStart w:id="3" w:name="_Hlk204166767"/>
      <w:r w:rsidRPr="00F41DD2">
        <w:rPr>
          <w:rFonts w:ascii="Noto Sans" w:hAnsi="Noto Sans" w:cs="Noto Sans"/>
          <w:sz w:val="22"/>
          <w:lang w:val="nl"/>
        </w:rPr>
        <w:t xml:space="preserve">Zorgverleners op eenvoudige wijze toegang te geven tot de meest actuele, batch-specifieke informatie op aanvraag, </w:t>
      </w:r>
      <w:bookmarkEnd w:id="3"/>
      <w:r w:rsidRPr="00F41DD2">
        <w:rPr>
          <w:rFonts w:ascii="Noto Sans" w:hAnsi="Noto Sans" w:cs="Noto Sans"/>
          <w:sz w:val="22"/>
          <w:lang w:val="nl"/>
        </w:rPr>
        <w:t>helpt het gebruik van verouderde instructies te voorkomen en bevordert veiligere beslissingen over het voorschrijven en verstrekken van geneesmiddelen.</w:t>
      </w:r>
    </w:p>
    <w:p w14:paraId="6D898556" w14:textId="77777777" w:rsidR="00F41DD2" w:rsidRDefault="00F41DD2" w:rsidP="00F41DD2">
      <w:pPr>
        <w:rPr>
          <w:rFonts w:ascii="Noto Sans" w:hAnsi="Noto Sans" w:cs="Noto Sans"/>
          <w:sz w:val="22"/>
          <w:lang w:val="nl"/>
        </w:rPr>
      </w:pPr>
    </w:p>
    <w:p w14:paraId="189A0249" w14:textId="745EA269" w:rsidR="00F41DD2" w:rsidRPr="00F41DD2" w:rsidRDefault="00F41DD2" w:rsidP="00F41DD2">
      <w:pPr>
        <w:rPr>
          <w:rFonts w:ascii="Noto Sans" w:hAnsi="Noto Sans" w:cs="Noto Sans"/>
          <w:sz w:val="22"/>
          <w:lang w:val="nl"/>
        </w:rPr>
      </w:pPr>
      <w:r w:rsidRPr="00F41DD2">
        <w:rPr>
          <w:rFonts w:ascii="Noto Sans" w:hAnsi="Noto Sans" w:cs="Noto Sans"/>
          <w:sz w:val="22"/>
          <w:lang w:val="nl"/>
        </w:rPr>
        <w:t xml:space="preserve">Vanuit een breder systeemperspectief kunnen slimme verpakkingen ook het beheer van de leveringsketen versterken. Een efficiënt </w:t>
      </w:r>
      <w:bookmarkStart w:id="4" w:name="_Hlk204163947"/>
      <w:r w:rsidRPr="00F41DD2">
        <w:rPr>
          <w:rFonts w:ascii="Noto Sans" w:hAnsi="Noto Sans" w:cs="Noto Sans"/>
          <w:sz w:val="22"/>
          <w:lang w:val="nl"/>
        </w:rPr>
        <w:t xml:space="preserve">inline digitaal printsysteem voor farmaceutische verpakkingen </w:t>
      </w:r>
      <w:bookmarkEnd w:id="4"/>
      <w:r w:rsidRPr="00F41DD2">
        <w:rPr>
          <w:rFonts w:ascii="Noto Sans" w:hAnsi="Noto Sans" w:cs="Noto Sans"/>
          <w:sz w:val="22"/>
          <w:lang w:val="nl"/>
        </w:rPr>
        <w:t xml:space="preserve">kan </w:t>
      </w:r>
      <w:bookmarkStart w:id="5" w:name="_Hlk204164012"/>
      <w:r w:rsidRPr="00F41DD2">
        <w:rPr>
          <w:rFonts w:ascii="Noto Sans" w:hAnsi="Noto Sans" w:cs="Noto Sans"/>
          <w:sz w:val="22"/>
          <w:lang w:val="nl"/>
        </w:rPr>
        <w:t>rijkere, gestandaardiseerde gegevens op elke verpakking printen, zodat er sneller kan worden gereageerd op terugroepacties, producten beter kunnen worden getraceerd en er nauwkeuriger kan worden verdeeld</w:t>
      </w:r>
      <w:bookmarkEnd w:id="5"/>
      <w:r w:rsidRPr="00F41DD2">
        <w:rPr>
          <w:rFonts w:ascii="Noto Sans" w:hAnsi="Noto Sans" w:cs="Noto Sans"/>
          <w:sz w:val="22"/>
          <w:lang w:val="nl"/>
        </w:rPr>
        <w:t>. Deze combinatie van verbeterde veiligheid op patiëntniveau en efficiëntie in de leveringsketen toont de bredere waarde van slimme verpakkingen aan.</w:t>
      </w:r>
    </w:p>
    <w:p w14:paraId="5249CD87" w14:textId="77777777" w:rsidR="00F41DD2" w:rsidRDefault="00F41DD2" w:rsidP="00F41DD2">
      <w:pPr>
        <w:rPr>
          <w:rFonts w:ascii="Noto Sans" w:hAnsi="Noto Sans" w:cs="Noto Sans"/>
          <w:b/>
          <w:bCs/>
          <w:sz w:val="22"/>
          <w:lang w:val="nl"/>
        </w:rPr>
      </w:pPr>
    </w:p>
    <w:p w14:paraId="67566513" w14:textId="55239CF9" w:rsidR="00F41DD2" w:rsidRPr="00F41DD2" w:rsidRDefault="00F41DD2" w:rsidP="00F41DD2">
      <w:pPr>
        <w:rPr>
          <w:rFonts w:ascii="Noto Sans" w:hAnsi="Noto Sans" w:cs="Noto Sans"/>
          <w:b/>
          <w:bCs/>
          <w:sz w:val="22"/>
        </w:rPr>
      </w:pPr>
      <w:r w:rsidRPr="00F41DD2">
        <w:rPr>
          <w:rFonts w:ascii="Noto Sans" w:hAnsi="Noto Sans" w:cs="Noto Sans"/>
          <w:b/>
          <w:bCs/>
          <w:sz w:val="22"/>
          <w:lang w:val="nl"/>
        </w:rPr>
        <w:t>Momentum voor verandering</w:t>
      </w:r>
    </w:p>
    <w:p w14:paraId="78707516" w14:textId="77777777" w:rsidR="00F41DD2" w:rsidRDefault="00F41DD2" w:rsidP="00F41DD2">
      <w:pPr>
        <w:rPr>
          <w:rFonts w:ascii="Noto Sans" w:hAnsi="Noto Sans" w:cs="Noto Sans"/>
          <w:sz w:val="22"/>
          <w:lang w:val="nl"/>
        </w:rPr>
      </w:pPr>
      <w:r w:rsidRPr="00F41DD2">
        <w:rPr>
          <w:rFonts w:ascii="Noto Sans" w:hAnsi="Noto Sans" w:cs="Noto Sans"/>
          <w:sz w:val="22"/>
          <w:lang w:val="nl"/>
        </w:rPr>
        <w:t xml:space="preserve">Hoewel de voordelen van slimme verpakkingen, van verbeterd begrip tot verhoogde veiligheid, steeds duidelijker worden, is de verschuiving naar digitale oplossingen niet alleen theoretisch. In de hele farmaceutische industrie zijn belanghebbenden actief </w:t>
      </w:r>
      <w:r w:rsidRPr="00F41DD2">
        <w:rPr>
          <w:rFonts w:ascii="Noto Sans" w:hAnsi="Noto Sans" w:cs="Noto Sans"/>
          <w:sz w:val="22"/>
          <w:lang w:val="nl"/>
        </w:rPr>
        <w:lastRenderedPageBreak/>
        <w:t>bezig met het onderzoeken en implementeren van deze innovaties, wat duidt op een breder momentum voor verandering.</w:t>
      </w:r>
    </w:p>
    <w:p w14:paraId="55136671" w14:textId="77777777" w:rsidR="00F41DD2" w:rsidRPr="00F41DD2" w:rsidRDefault="00F41DD2" w:rsidP="00F41DD2">
      <w:pPr>
        <w:rPr>
          <w:rFonts w:ascii="Noto Sans" w:hAnsi="Noto Sans" w:cs="Noto Sans"/>
          <w:sz w:val="22"/>
          <w:lang w:val="nl"/>
        </w:rPr>
      </w:pPr>
    </w:p>
    <w:p w14:paraId="0D48B3CC" w14:textId="77777777" w:rsidR="00F41DD2" w:rsidRPr="00F41DD2" w:rsidRDefault="00F41DD2" w:rsidP="00F41DD2">
      <w:pPr>
        <w:rPr>
          <w:rFonts w:ascii="Noto Sans" w:hAnsi="Noto Sans" w:cs="Noto Sans"/>
          <w:sz w:val="22"/>
          <w:lang w:val="nl"/>
        </w:rPr>
      </w:pPr>
      <w:r w:rsidRPr="00F41DD2">
        <w:rPr>
          <w:rFonts w:ascii="Noto Sans" w:hAnsi="Noto Sans" w:cs="Noto Sans"/>
          <w:sz w:val="22"/>
          <w:lang w:val="nl"/>
        </w:rPr>
        <w:t xml:space="preserve">In de hele sector wordt steeds meer aandacht besteed aan slimme verpakkingen. Begin 2025 hebben vooraanstaande Europese farmaceutische brancheorganisaties een gefaseerde uitrol van de ePIL aanbevolen, waarbij werd voorgesteld om de papieren bijsluiters binnen vier jaar te laten verdwijnen. Een voorstel van de European Federation of Pharmaceutical Industries and Associations (EFPIA) benadrukt de voordelen van ePIL voor het verbeteren van de toegankelijkheid door taalaanpassing, multimedia-inhoud, tijdige updates en ecologische duurzaamheid. Bovendien bevestigt een </w:t>
      </w:r>
      <w:hyperlink r:id="rId7" w:history="1">
        <w:r w:rsidRPr="00F41DD2">
          <w:rPr>
            <w:rStyle w:val="Hyperlink"/>
            <w:rFonts w:ascii="Noto Sans" w:hAnsi="Noto Sans" w:cs="Noto Sans"/>
            <w:sz w:val="22"/>
            <w:lang w:val="nl"/>
          </w:rPr>
          <w:t>onderzoek van GS1</w:t>
        </w:r>
      </w:hyperlink>
      <w:r w:rsidRPr="00F41DD2">
        <w:rPr>
          <w:rFonts w:ascii="Noto Sans" w:hAnsi="Noto Sans" w:cs="Noto Sans"/>
          <w:sz w:val="22"/>
          <w:lang w:val="nl"/>
        </w:rPr>
        <w:t xml:space="preserve"> dat 82% van de merkeigenaren voorstander is van de overstap naar datarijke 2D-codes, waarbij veel retailers streven naar deze overstap tegen 2027. </w:t>
      </w:r>
    </w:p>
    <w:p w14:paraId="1D78499E" w14:textId="77777777" w:rsidR="00F41DD2" w:rsidRDefault="00F41DD2" w:rsidP="00F41DD2">
      <w:pPr>
        <w:rPr>
          <w:rFonts w:ascii="Noto Sans" w:hAnsi="Noto Sans" w:cs="Noto Sans"/>
          <w:sz w:val="22"/>
          <w:lang w:val="nl"/>
        </w:rPr>
      </w:pPr>
    </w:p>
    <w:p w14:paraId="392654AE" w14:textId="644DF336" w:rsidR="00F41DD2" w:rsidRPr="00F41DD2" w:rsidRDefault="00F41DD2" w:rsidP="00F41DD2">
      <w:pPr>
        <w:rPr>
          <w:rFonts w:ascii="Noto Sans" w:hAnsi="Noto Sans" w:cs="Noto Sans"/>
          <w:sz w:val="22"/>
          <w:lang w:val="es-ES"/>
        </w:rPr>
      </w:pPr>
      <w:r w:rsidRPr="00F41DD2">
        <w:rPr>
          <w:rFonts w:ascii="Noto Sans" w:hAnsi="Noto Sans" w:cs="Noto Sans"/>
          <w:sz w:val="22"/>
          <w:lang w:val="nl"/>
        </w:rPr>
        <w:t>Hoewel er veel te zeggen is voor de modernisering van patiënteninformatie door middel van digitale, slimme verpakkingen, is het van vitaal belang om te erkennen dat digitale oplossingen nog niet universeel toegankelijk zijn. Soms hebben patiënten geen toegang tot internet of een smartphone, of hebben geen werkend apparaat bij de hand wanneer ze kritieke informatie over dosering of veiligheid nodig hebben. Op de middellange termijn is het gerechtvaardigd om papieren en digitale bijsluiters naast elkaar te laten bestaan, om inclusiviteit en veiligheid te garanderen en tegelijkertijd de voordelen van slimme, patiëntgerichte verpakkingen te omarmen.</w:t>
      </w:r>
    </w:p>
    <w:p w14:paraId="482EFAB3" w14:textId="77777777" w:rsidR="00F41DD2" w:rsidRDefault="00F41DD2" w:rsidP="00F41DD2">
      <w:pPr>
        <w:rPr>
          <w:rFonts w:ascii="Noto Sans" w:hAnsi="Noto Sans" w:cs="Noto Sans"/>
          <w:b/>
          <w:bCs/>
          <w:sz w:val="22"/>
          <w:lang w:val="nl"/>
        </w:rPr>
      </w:pPr>
    </w:p>
    <w:p w14:paraId="0E8B5A33" w14:textId="2AACF490" w:rsidR="00F41DD2" w:rsidRPr="00F41DD2" w:rsidRDefault="00F41DD2" w:rsidP="00F41DD2">
      <w:pPr>
        <w:rPr>
          <w:rFonts w:ascii="Noto Sans" w:hAnsi="Noto Sans" w:cs="Noto Sans"/>
          <w:b/>
          <w:bCs/>
          <w:sz w:val="22"/>
        </w:rPr>
      </w:pPr>
      <w:r w:rsidRPr="00F41DD2">
        <w:rPr>
          <w:rFonts w:ascii="Noto Sans" w:hAnsi="Noto Sans" w:cs="Noto Sans"/>
          <w:b/>
          <w:bCs/>
          <w:sz w:val="22"/>
          <w:lang w:val="nl"/>
        </w:rPr>
        <w:t xml:space="preserve">Conclusie: Verpakking als </w:t>
      </w:r>
      <w:bookmarkStart w:id="6" w:name="_Hlk204163612"/>
      <w:r w:rsidRPr="00F41DD2">
        <w:rPr>
          <w:rFonts w:ascii="Noto Sans" w:hAnsi="Noto Sans" w:cs="Noto Sans"/>
          <w:b/>
          <w:bCs/>
          <w:sz w:val="22"/>
          <w:lang w:val="nl"/>
        </w:rPr>
        <w:t>platform voor patiëntenzorg</w:t>
      </w:r>
      <w:bookmarkEnd w:id="6"/>
    </w:p>
    <w:p w14:paraId="131018D8" w14:textId="77777777" w:rsidR="00F41DD2" w:rsidRPr="00F41DD2" w:rsidRDefault="00F41DD2" w:rsidP="00F41DD2">
      <w:pPr>
        <w:rPr>
          <w:rFonts w:ascii="Noto Sans" w:hAnsi="Noto Sans" w:cs="Noto Sans"/>
          <w:sz w:val="22"/>
          <w:lang w:val="es-ES"/>
        </w:rPr>
      </w:pPr>
      <w:r w:rsidRPr="00F41DD2">
        <w:rPr>
          <w:rFonts w:ascii="Noto Sans" w:hAnsi="Noto Sans" w:cs="Noto Sans"/>
          <w:sz w:val="22"/>
          <w:lang w:val="nl"/>
        </w:rPr>
        <w:t xml:space="preserve">Slimme verpakkingen zijn een belangrijke stap in de richting van patiëntgerichte gezondheidszorg. Naarmate digitale hulpmiddelen meer ingebed raken in de gezondheidszorg, spelen patiënten steeds vaker een actieve rol in het beheren van hun behandeling. Als een van de meest consistente en tastbare communicatiepunten </w:t>
      </w:r>
      <w:r w:rsidRPr="00F41DD2">
        <w:rPr>
          <w:rFonts w:ascii="Noto Sans" w:hAnsi="Noto Sans" w:cs="Noto Sans"/>
          <w:sz w:val="22"/>
          <w:lang w:val="nl"/>
        </w:rPr>
        <w:lastRenderedPageBreak/>
        <w:t>tussen fabrikanten en patiënten zijn farmaceutische verpakkingen een logisch en praktisch platform voor het leveren van tijdige, relevante informatie.</w:t>
      </w:r>
    </w:p>
    <w:p w14:paraId="3D3220B8" w14:textId="77777777" w:rsidR="00F41DD2" w:rsidRDefault="00F41DD2" w:rsidP="00F41DD2">
      <w:pPr>
        <w:rPr>
          <w:rFonts w:ascii="Noto Sans" w:hAnsi="Noto Sans" w:cs="Noto Sans"/>
          <w:sz w:val="22"/>
          <w:lang w:val="nl"/>
        </w:rPr>
      </w:pPr>
    </w:p>
    <w:p w14:paraId="6B95C06D" w14:textId="4D547C51" w:rsidR="00F41DD2" w:rsidRPr="00F41DD2" w:rsidRDefault="00F41DD2" w:rsidP="00F41DD2">
      <w:pPr>
        <w:rPr>
          <w:rFonts w:ascii="Noto Sans" w:hAnsi="Noto Sans" w:cs="Noto Sans"/>
          <w:sz w:val="22"/>
          <w:lang w:val="es-ES"/>
        </w:rPr>
      </w:pPr>
      <w:r w:rsidRPr="00F41DD2">
        <w:rPr>
          <w:rFonts w:ascii="Noto Sans" w:hAnsi="Noto Sans" w:cs="Noto Sans"/>
          <w:sz w:val="22"/>
          <w:lang w:val="nl"/>
        </w:rPr>
        <w:t>Slimme verpakkingen kunnen de farmaceutische zorg responsiever, gepersonaliseerder en veiliger maken. Door slimme 2D-codes te combineren met digitale hulpmiddelen en verbonden platforms, hebben fabrikanten een praktische mogelijkheid om de toegang tot informatie te verbeteren, risico's te verminderen en patiënten effectiever te ondersteunen tijdens hun behandelingstraject.</w:t>
      </w:r>
    </w:p>
    <w:p w14:paraId="64C87F0A" w14:textId="77777777" w:rsidR="00F41DD2" w:rsidRDefault="00F41DD2" w:rsidP="00F41DD2">
      <w:pPr>
        <w:rPr>
          <w:rFonts w:ascii="Noto Sans" w:hAnsi="Noto Sans" w:cs="Noto Sans"/>
          <w:sz w:val="22"/>
          <w:lang w:val="nl"/>
        </w:rPr>
      </w:pPr>
    </w:p>
    <w:p w14:paraId="6B040B02" w14:textId="471DFEE5" w:rsidR="00F41DD2" w:rsidRPr="00F41DD2" w:rsidRDefault="00F41DD2" w:rsidP="00F41DD2">
      <w:pPr>
        <w:rPr>
          <w:rFonts w:ascii="Noto Sans" w:hAnsi="Noto Sans" w:cs="Noto Sans"/>
          <w:sz w:val="22"/>
          <w:lang w:val="nl"/>
        </w:rPr>
      </w:pPr>
      <w:r w:rsidRPr="00F41DD2">
        <w:rPr>
          <w:rFonts w:ascii="Noto Sans" w:hAnsi="Noto Sans" w:cs="Noto Sans"/>
          <w:sz w:val="22"/>
          <w:lang w:val="nl"/>
        </w:rPr>
        <w:t>Fabrikanten van farmaceutische verpakkingen kunnen nu verder gaan dan de wettelijke minimumeisen en verpakkingen positioneren als een strategische troef bij het leveren van betere patiëntresultaten. Van de verpakkingslijn tot het zorgpunt bieden slimme verpakkingen een tastbare manier om patiënten op de eerste plaats te zetten: het verbetert de veiligheid, het begrip en het vertrouwen van doos tot medicijnkastje.</w:t>
      </w:r>
    </w:p>
    <w:p w14:paraId="15273DD8" w14:textId="77777777" w:rsidR="00F41DD2" w:rsidRPr="00F41DD2" w:rsidRDefault="00F41DD2" w:rsidP="00F41DD2">
      <w:pPr>
        <w:rPr>
          <w:rFonts w:ascii="Noto Sans" w:hAnsi="Noto Sans" w:cs="Noto Sans"/>
          <w:sz w:val="22"/>
          <w:lang w:val="nl"/>
        </w:rPr>
      </w:pPr>
    </w:p>
    <w:p w14:paraId="1D7C5386" w14:textId="77777777" w:rsidR="00F41DD2" w:rsidRPr="00F41DD2" w:rsidRDefault="00F41DD2" w:rsidP="00F41DD2">
      <w:pPr>
        <w:rPr>
          <w:rFonts w:ascii="Noto Sans" w:hAnsi="Noto Sans" w:cs="Noto Sans"/>
          <w:sz w:val="22"/>
          <w:lang w:val="nl"/>
        </w:rPr>
      </w:pPr>
      <w:r w:rsidRPr="00F41DD2">
        <w:rPr>
          <w:rFonts w:ascii="Noto Sans" w:hAnsi="Noto Sans" w:cs="Noto Sans"/>
          <w:sz w:val="22"/>
          <w:lang w:val="nl"/>
        </w:rPr>
        <w:t>&lt;</w:t>
      </w:r>
      <w:r w:rsidRPr="00F41DD2">
        <w:rPr>
          <w:rFonts w:ascii="Noto Sans" w:hAnsi="Noto Sans" w:cs="Noto Sans"/>
          <w:b/>
          <w:bCs/>
          <w:sz w:val="22"/>
          <w:lang w:val="nl-NL"/>
        </w:rPr>
        <w:t>EINDE</w:t>
      </w:r>
      <w:r w:rsidRPr="00F41DD2">
        <w:rPr>
          <w:rFonts w:ascii="Noto Sans" w:hAnsi="Noto Sans" w:cs="Noto Sans"/>
          <w:sz w:val="22"/>
          <w:lang w:val="nl"/>
        </w:rPr>
        <w:t>&gt;</w:t>
      </w:r>
    </w:p>
    <w:p w14:paraId="459CFD2B" w14:textId="77777777" w:rsidR="00F41DD2" w:rsidRPr="00F41DD2" w:rsidRDefault="00F41DD2" w:rsidP="00F41DD2">
      <w:pPr>
        <w:rPr>
          <w:rFonts w:ascii="Noto Sans" w:hAnsi="Noto Sans" w:cs="Noto Sans"/>
          <w:sz w:val="22"/>
          <w:lang w:val="nl"/>
        </w:rPr>
      </w:pPr>
    </w:p>
    <w:p w14:paraId="32A92B05" w14:textId="77777777" w:rsidR="00F41DD2" w:rsidRPr="00F41DD2" w:rsidRDefault="00F41DD2" w:rsidP="00F41DD2">
      <w:pPr>
        <w:rPr>
          <w:rFonts w:ascii="Noto Sans" w:hAnsi="Noto Sans" w:cs="Noto Sans"/>
          <w:sz w:val="22"/>
          <w:lang w:val="nl"/>
        </w:rPr>
      </w:pPr>
      <w:bookmarkStart w:id="7" w:name="_Hlk46133219"/>
      <w:r w:rsidRPr="00F41DD2">
        <w:rPr>
          <w:rFonts w:ascii="Noto Sans" w:eastAsia="Gill Sans" w:hAnsi="Noto Sans" w:cs="Noto Sans"/>
          <w:b/>
          <w:bCs/>
          <w:sz w:val="22"/>
          <w:lang w:val="nl"/>
        </w:rPr>
        <w:t>Disclaimers</w:t>
      </w:r>
      <w:r w:rsidRPr="00F41DD2">
        <w:rPr>
          <w:rFonts w:ascii="Noto Sans" w:eastAsia="Gill Sans" w:hAnsi="Noto Sans" w:cs="Noto Sans"/>
          <w:b/>
          <w:sz w:val="22"/>
          <w:lang w:val="nl-NL"/>
        </w:rPr>
        <w:br/>
      </w:r>
      <w:r w:rsidRPr="00F41DD2">
        <w:rPr>
          <w:rFonts w:ascii="Noto Sans" w:eastAsia="Gill Sans" w:hAnsi="Noto Sans" w:cs="Noto Sans"/>
          <w:sz w:val="22"/>
          <w:lang w:val="nl-NL"/>
        </w:rPr>
        <w:br/>
      </w:r>
      <w:r w:rsidRPr="00F41DD2">
        <w:rPr>
          <w:rFonts w:ascii="Noto Sans" w:hAnsi="Noto Sans" w:cs="Noto Sans"/>
          <w:b/>
          <w:bCs/>
          <w:sz w:val="22"/>
          <w:lang w:val="nl"/>
        </w:rPr>
        <w:t>Inkten</w:t>
      </w:r>
      <w:r w:rsidRPr="00F41DD2">
        <w:rPr>
          <w:rFonts w:ascii="Noto Sans" w:hAnsi="Noto Sans" w:cs="Noto Sans"/>
          <w:sz w:val="22"/>
          <w:lang w:val="nl-NL"/>
        </w:rPr>
        <w:br/>
      </w:r>
      <w:r w:rsidRPr="00F41DD2">
        <w:rPr>
          <w:rFonts w:ascii="Noto Sans" w:hAnsi="Noto Sans" w:cs="Noto Sans"/>
          <w:sz w:val="22"/>
          <w:lang w:val="nl"/>
        </w:rP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w:t>
      </w:r>
      <w:r w:rsidRPr="00F41DD2">
        <w:rPr>
          <w:rFonts w:ascii="Noto Sans" w:hAnsi="Noto Sans" w:cs="Noto Sans"/>
          <w:sz w:val="22"/>
          <w:lang w:val="nl"/>
        </w:rPr>
        <w:lastRenderedPageBreak/>
        <w:t xml:space="preserve">en met name de garanties en aansprakelijkheden daarin zijn van toepassing op alle door u gekochte producten. </w:t>
      </w:r>
      <w:r w:rsidRPr="00F41DD2">
        <w:rPr>
          <w:rFonts w:ascii="Noto Sans" w:hAnsi="Noto Sans" w:cs="Noto Sans"/>
          <w:sz w:val="22"/>
          <w:lang w:val="nl-NL"/>
        </w:rPr>
        <w:br/>
      </w:r>
      <w:r w:rsidRPr="00F41DD2">
        <w:rPr>
          <w:rFonts w:ascii="Noto Sans" w:hAnsi="Noto Sans" w:cs="Noto Sans"/>
          <w:sz w:val="22"/>
          <w:lang w:val="nl-NL"/>
        </w:rPr>
        <w:br/>
      </w:r>
      <w:r w:rsidRPr="00F41DD2">
        <w:rPr>
          <w:rFonts w:ascii="Noto Sans" w:hAnsi="Noto Sans" w:cs="Noto Sans"/>
          <w:b/>
          <w:bCs/>
          <w:sz w:val="22"/>
          <w:lang w:val="nl"/>
        </w:rPr>
        <w:t>Algemeen</w:t>
      </w:r>
      <w:r w:rsidRPr="00F41DD2">
        <w:rPr>
          <w:rFonts w:ascii="Noto Sans" w:hAnsi="Noto Sans" w:cs="Noto Sans"/>
          <w:sz w:val="22"/>
          <w:lang w:val="nl-NL"/>
        </w:rPr>
        <w:br/>
      </w:r>
      <w:r w:rsidRPr="00F41DD2">
        <w:rPr>
          <w:rFonts w:ascii="Noto Sans" w:hAnsi="Noto Sans" w:cs="Noto Sans"/>
          <w:sz w:val="22"/>
          <w:lang w:val="nl"/>
        </w:rPr>
        <w:t>De informatie in dit persbericht wordt geacht juist en correct te zijn op de datum van publicatie door Domino. Wijzigingen in de omstandigheden na het tijdstip van publicatie kunnen de nauwkeurigheid van de informatie beïnvloeden. 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Pr="00F41DD2">
        <w:rPr>
          <w:rFonts w:ascii="Noto Sans" w:hAnsi="Noto Sans" w:cs="Noto Sans"/>
          <w:sz w:val="22"/>
          <w:lang w:val="nl-NL"/>
        </w:rPr>
        <w:br/>
      </w:r>
      <w:r w:rsidRPr="00F41DD2">
        <w:rPr>
          <w:rFonts w:ascii="Noto Sans" w:hAnsi="Noto Sans" w:cs="Noto Sans"/>
          <w:sz w:val="22"/>
          <w:lang w:val="nl-NL"/>
        </w:rPr>
        <w:br/>
      </w:r>
      <w:r w:rsidRPr="00F41DD2">
        <w:rPr>
          <w:rFonts w:ascii="Noto Sans" w:hAnsi="Noto Sans" w:cs="Noto Sans"/>
          <w:b/>
          <w:bCs/>
          <w:sz w:val="22"/>
          <w:lang w:val="nl"/>
        </w:rPr>
        <w:t>Afbeeldingen</w:t>
      </w:r>
      <w:r w:rsidRPr="00F41DD2">
        <w:rPr>
          <w:rFonts w:ascii="Noto Sans" w:hAnsi="Noto Sans" w:cs="Noto Sans"/>
          <w:sz w:val="22"/>
          <w:lang w:val="nl-NL"/>
        </w:rPr>
        <w:br/>
      </w:r>
      <w:r w:rsidRPr="00F41DD2">
        <w:rPr>
          <w:rFonts w:ascii="Noto Sans" w:hAnsi="Noto Sans" w:cs="Noto Sans"/>
          <w:sz w:val="22"/>
          <w:lang w:val="nl"/>
        </w:rP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Pr="00F41DD2">
        <w:rPr>
          <w:rFonts w:ascii="Noto Sans" w:hAnsi="Noto Sans" w:cs="Noto Sans"/>
          <w:sz w:val="22"/>
          <w:lang w:val="nl-NL"/>
        </w:rPr>
        <w:br/>
      </w:r>
      <w:r w:rsidRPr="00F41DD2">
        <w:rPr>
          <w:rFonts w:ascii="Noto Sans" w:hAnsi="Noto Sans" w:cs="Noto Sans"/>
          <w:sz w:val="22"/>
          <w:lang w:val="nl-NL"/>
        </w:rPr>
        <w:br/>
      </w:r>
      <w:r w:rsidRPr="00F41DD2">
        <w:rPr>
          <w:rFonts w:ascii="Noto Sans" w:hAnsi="Noto Sans" w:cs="Noto Sans"/>
          <w:b/>
          <w:bCs/>
          <w:sz w:val="22"/>
          <w:lang w:val="nl"/>
        </w:rPr>
        <w:t>Video's</w:t>
      </w:r>
      <w:r w:rsidRPr="00F41DD2">
        <w:rPr>
          <w:rFonts w:ascii="Noto Sans" w:hAnsi="Noto Sans" w:cs="Noto Sans"/>
          <w:sz w:val="22"/>
          <w:lang w:val="nl-NL"/>
        </w:rPr>
        <w:br/>
      </w:r>
      <w:r w:rsidRPr="00F41DD2">
        <w:rPr>
          <w:rFonts w:ascii="Noto Sans" w:hAnsi="Noto Sans" w:cs="Noto Sans"/>
          <w:sz w:val="22"/>
          <w:lang w:val="nl"/>
        </w:rP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Pr="00F41DD2">
        <w:rPr>
          <w:rFonts w:ascii="Noto Sans" w:hAnsi="Noto Sans" w:cs="Noto Sans"/>
          <w:sz w:val="22"/>
          <w:lang w:val="nl"/>
        </w:rPr>
        <w:br/>
      </w:r>
      <w:r w:rsidRPr="00F41DD2">
        <w:rPr>
          <w:rFonts w:ascii="Noto Sans" w:eastAsia="Gill Sans" w:hAnsi="Noto Sans" w:cs="Noto Sans"/>
          <w:sz w:val="22"/>
          <w:lang w:val="nl"/>
        </w:rPr>
        <w:br/>
      </w:r>
      <w:bookmarkStart w:id="8" w:name="_Hlk61949672"/>
      <w:r w:rsidRPr="00F41DD2">
        <w:rPr>
          <w:rFonts w:ascii="Noto Sans" w:eastAsia="Gill Sans" w:hAnsi="Noto Sans" w:cs="Noto Sans"/>
          <w:b/>
          <w:sz w:val="22"/>
          <w:lang w:val="nl"/>
        </w:rPr>
        <w:br/>
      </w:r>
      <w:r w:rsidRPr="00F41DD2">
        <w:rPr>
          <w:rFonts w:ascii="Noto Sans" w:eastAsia="Gill Sans" w:hAnsi="Noto Sans" w:cs="Noto Sans"/>
          <w:b/>
          <w:bCs/>
          <w:sz w:val="22"/>
          <w:lang w:val="nl"/>
        </w:rPr>
        <w:t>Opmerkingen voor de redactie:</w:t>
      </w:r>
      <w:r w:rsidRPr="00F41DD2">
        <w:rPr>
          <w:rFonts w:ascii="Noto Sans" w:eastAsia="Gill Sans" w:hAnsi="Noto Sans" w:cs="Noto Sans"/>
          <w:b/>
          <w:sz w:val="22"/>
          <w:lang w:val="nl"/>
        </w:rPr>
        <w:br/>
      </w:r>
      <w:r w:rsidRPr="00F41DD2">
        <w:rPr>
          <w:rFonts w:ascii="Noto Sans" w:eastAsia="Gill Sans" w:hAnsi="Noto Sans" w:cs="Noto Sans"/>
          <w:sz w:val="22"/>
          <w:lang w:val="nl"/>
        </w:rPr>
        <w:br/>
      </w:r>
      <w:r w:rsidRPr="00F41DD2">
        <w:rPr>
          <w:rFonts w:ascii="Noto Sans" w:eastAsia="Gill Sans" w:hAnsi="Noto Sans" w:cs="Noto Sans"/>
          <w:b/>
          <w:bCs/>
          <w:sz w:val="22"/>
          <w:lang w:val="nl"/>
        </w:rPr>
        <w:lastRenderedPageBreak/>
        <w:t>Over Domino</w:t>
      </w:r>
      <w:r w:rsidRPr="00F41DD2">
        <w:rPr>
          <w:rFonts w:ascii="Noto Sans" w:eastAsia="Gill Sans" w:hAnsi="Noto Sans" w:cs="Noto Sans"/>
          <w:b/>
          <w:sz w:val="22"/>
          <w:lang w:val="nl"/>
        </w:rPr>
        <w:br/>
      </w:r>
      <w:r w:rsidRPr="00F41DD2">
        <w:rPr>
          <w:rFonts w:ascii="Noto Sans" w:eastAsia="Gill Sans" w:hAnsi="Noto Sans" w:cs="Noto Sans"/>
          <w:sz w:val="22"/>
          <w:lang w:val="nl"/>
        </w:rPr>
        <w:br/>
        <w:t xml:space="preserve">Sinds 1978 heeft Domino Printing Sciences (Domino) wereldwijd een reputatie opgebouwd voor de ontwikkeling en productie van codeer-, markeer- en printtechnologieën en internationale aftermarketproducten en diensten aan klanten. Vandaag de dag biedt Domino uitgebreide portfolio's van complete end-to-end codeeroplossingen waarmee wordt voldaan aan de eisen die producenten in vele sectoren stellen aan productiviteit en aan naleving van wet- en regelgeving, waaronder voedingsmiddelen, dranken, farmaceutisch en industrieel. Tot de kerntechnologieën van het bedrijf behoren innovatieve inkjet-, laser-, print- en etiketteer-, en thermo transfer printsystemen, die gebruikt kunnen worden voor het aanbrengen van variabele gegevens, barcodes en unieke traceerbaarheidscodes op producten en verpakkingen. </w:t>
      </w:r>
      <w:r w:rsidRPr="00F41DD2">
        <w:rPr>
          <w:rFonts w:ascii="Noto Sans" w:eastAsia="Gill Sans" w:hAnsi="Noto Sans" w:cs="Noto Sans"/>
          <w:sz w:val="22"/>
          <w:lang w:val="nl"/>
        </w:rPr>
        <w:br/>
      </w:r>
      <w:r w:rsidRPr="00F41DD2">
        <w:rPr>
          <w:rFonts w:ascii="Noto Sans" w:eastAsia="Gill Sans" w:hAnsi="Noto Sans" w:cs="Noto Sans"/>
          <w:sz w:val="22"/>
          <w:lang w:val="nl"/>
        </w:rPr>
        <w:br/>
        <w:t>Bij Domino werken wereldwijd meer dan 3000 mensen. Wij zijn actief in ruim 120 landen via een wereldwijd netwerk van 29 dochterondernemingen en meer dan 200 distributeurs. De productiefaciliteiten van Domino zijn gevestigd in China, Duitsland, India, Zweden, Zwitserland, het Verenigd Koninkrijk en de VS.</w:t>
      </w:r>
      <w:r w:rsidRPr="00F41DD2">
        <w:rPr>
          <w:rFonts w:ascii="Noto Sans" w:eastAsia="Gill Sans" w:hAnsi="Noto Sans" w:cs="Noto Sans"/>
          <w:sz w:val="22"/>
          <w:lang w:val="nl"/>
        </w:rPr>
        <w:br/>
      </w:r>
      <w:r w:rsidRPr="00F41DD2">
        <w:rPr>
          <w:rFonts w:ascii="Noto Sans" w:eastAsia="Gill Sans" w:hAnsi="Noto Sans" w:cs="Noto Sans"/>
          <w:sz w:val="22"/>
          <w:lang w:val="nl"/>
        </w:rPr>
        <w:br/>
        <w:t xml:space="preserve">Op 11 juni 2015 werd Domino een zelfstandige divisie binnen Brother Industries Ltd. </w:t>
      </w:r>
      <w:r w:rsidRPr="00F41DD2">
        <w:rPr>
          <w:rFonts w:ascii="Noto Sans" w:eastAsia="Gill Sans" w:hAnsi="Noto Sans" w:cs="Noto Sans"/>
          <w:sz w:val="22"/>
          <w:lang w:val="nl"/>
        </w:rPr>
        <w:br/>
      </w:r>
      <w:r w:rsidRPr="00F41DD2">
        <w:rPr>
          <w:rFonts w:ascii="Noto Sans" w:eastAsia="Gill Sans" w:hAnsi="Noto Sans" w:cs="Noto Sans"/>
          <w:sz w:val="22"/>
          <w:lang w:val="nl"/>
        </w:rPr>
        <w:br/>
        <w:t xml:space="preserve">Ga voor meer informatie over Domino naar </w:t>
      </w:r>
      <w:hyperlink r:id="rId8" w:history="1">
        <w:r w:rsidRPr="00F41DD2">
          <w:rPr>
            <w:rStyle w:val="Hyperlink"/>
            <w:rFonts w:ascii="Noto Sans" w:eastAsia="Gill Sans" w:hAnsi="Noto Sans" w:cs="Noto Sans"/>
            <w:sz w:val="22"/>
            <w:lang w:val="nl"/>
          </w:rPr>
          <w:t>www.dominobenelux.com</w:t>
        </w:r>
      </w:hyperlink>
      <w:r w:rsidRPr="00F41DD2">
        <w:rPr>
          <w:rFonts w:ascii="Noto Sans" w:eastAsia="Gill Sans" w:hAnsi="Noto Sans" w:cs="Noto Sans"/>
          <w:sz w:val="22"/>
          <w:lang w:val="nl"/>
        </w:rPr>
        <w:t xml:space="preserve"> </w:t>
      </w:r>
      <w:r w:rsidRPr="00F41DD2">
        <w:rPr>
          <w:rFonts w:ascii="Noto Sans" w:eastAsia="Gill Sans" w:hAnsi="Noto Sans" w:cs="Noto Sans"/>
          <w:sz w:val="22"/>
          <w:lang w:val="nl"/>
        </w:rPr>
        <w:br/>
      </w:r>
      <w:r w:rsidRPr="00F41DD2">
        <w:rPr>
          <w:rFonts w:ascii="Noto Sans" w:eastAsia="Gill Sans" w:hAnsi="Noto Sans" w:cs="Noto Sans"/>
          <w:b/>
          <w:sz w:val="22"/>
          <w:lang w:val="nl"/>
        </w:rPr>
        <w:br/>
      </w:r>
      <w:r w:rsidRPr="00F41DD2">
        <w:rPr>
          <w:rFonts w:ascii="Noto Sans" w:eastAsia="Gill Sans" w:hAnsi="Noto Sans" w:cs="Noto Sans"/>
          <w:b/>
          <w:bCs/>
          <w:sz w:val="22"/>
          <w:lang w:val="nl"/>
        </w:rPr>
        <w:t>Voor meer informatie neemt u contact op met:</w:t>
      </w:r>
      <w:r w:rsidRPr="00F41DD2">
        <w:rPr>
          <w:rFonts w:ascii="Noto Sans" w:eastAsia="Gill Sans" w:hAnsi="Noto Sans" w:cs="Noto Sans"/>
          <w:b/>
          <w:bCs/>
          <w:sz w:val="22"/>
          <w:lang w:val="nl"/>
        </w:rPr>
        <w:br/>
      </w:r>
      <w:r w:rsidRPr="00F41DD2">
        <w:rPr>
          <w:rFonts w:ascii="Noto Sans" w:hAnsi="Noto Sans" w:cs="Noto Sans"/>
          <w:sz w:val="22"/>
          <w:lang w:val="nl"/>
        </w:rPr>
        <w:br/>
        <w:t xml:space="preserve">Alex Challinor </w:t>
      </w:r>
      <w:r w:rsidRPr="00F41DD2">
        <w:rPr>
          <w:rFonts w:ascii="Noto Sans" w:hAnsi="Noto Sans" w:cs="Noto Sans"/>
          <w:sz w:val="22"/>
          <w:lang w:val="nl"/>
        </w:rPr>
        <w:br/>
        <w:t xml:space="preserve">PR and Content Manager </w:t>
      </w:r>
      <w:r w:rsidRPr="00F41DD2">
        <w:rPr>
          <w:rFonts w:ascii="Noto Sans" w:hAnsi="Noto Sans" w:cs="Noto Sans"/>
          <w:sz w:val="22"/>
          <w:lang w:val="nl"/>
        </w:rPr>
        <w:br/>
        <w:t xml:space="preserve">Domino Printing Sciences </w:t>
      </w:r>
      <w:r w:rsidRPr="00F41DD2">
        <w:rPr>
          <w:rFonts w:ascii="Noto Sans" w:hAnsi="Noto Sans" w:cs="Noto Sans"/>
          <w:sz w:val="22"/>
          <w:lang w:val="nl"/>
        </w:rPr>
        <w:br/>
      </w:r>
      <w:r w:rsidRPr="00F41DD2">
        <w:rPr>
          <w:rFonts w:ascii="Noto Sans" w:hAnsi="Noto Sans" w:cs="Noto Sans"/>
          <w:sz w:val="22"/>
          <w:lang w:val="nl"/>
        </w:rPr>
        <w:lastRenderedPageBreak/>
        <w:t>Tel: +44 (0) 1954 778780</w:t>
      </w:r>
      <w:r w:rsidRPr="00F41DD2">
        <w:rPr>
          <w:rFonts w:ascii="Noto Sans" w:hAnsi="Noto Sans" w:cs="Noto Sans"/>
          <w:sz w:val="22"/>
          <w:lang w:val="nl"/>
        </w:rPr>
        <w:br/>
      </w:r>
      <w:hyperlink r:id="rId9" w:history="1">
        <w:r w:rsidRPr="00F41DD2">
          <w:rPr>
            <w:rStyle w:val="Hyperlink"/>
            <w:rFonts w:ascii="Noto Sans" w:hAnsi="Noto Sans" w:cs="Noto Sans"/>
            <w:sz w:val="22"/>
          </w:rPr>
          <w:t>Alex.Challinor@domino-uk.com</w:t>
        </w:r>
      </w:hyperlink>
      <w:r w:rsidRPr="00F41DD2">
        <w:rPr>
          <w:rFonts w:ascii="Noto Sans" w:hAnsi="Noto Sans" w:cs="Noto Sans"/>
          <w:sz w:val="22"/>
          <w:lang w:val="nl"/>
        </w:rPr>
        <w:br/>
      </w:r>
      <w:r w:rsidRPr="00F41DD2">
        <w:rPr>
          <w:rFonts w:ascii="Noto Sans" w:hAnsi="Noto Sans" w:cs="Noto Sans"/>
          <w:sz w:val="22"/>
          <w:lang w:val="nl"/>
        </w:rPr>
        <w:br/>
        <w:t xml:space="preserve">Sabine Callaars </w:t>
      </w:r>
      <w:r w:rsidRPr="00F41DD2">
        <w:rPr>
          <w:rFonts w:ascii="Noto Sans" w:hAnsi="Noto Sans" w:cs="Noto Sans"/>
          <w:sz w:val="22"/>
          <w:lang w:val="nl"/>
        </w:rPr>
        <w:br/>
        <w:t xml:space="preserve">Senior Marketing Advisor </w:t>
      </w:r>
      <w:r w:rsidRPr="00F41DD2">
        <w:rPr>
          <w:rFonts w:ascii="Noto Sans" w:hAnsi="Noto Sans" w:cs="Noto Sans"/>
          <w:sz w:val="22"/>
          <w:lang w:val="nl"/>
        </w:rPr>
        <w:br/>
        <w:t>Domino Benelux</w:t>
      </w:r>
      <w:r w:rsidRPr="00F41DD2">
        <w:rPr>
          <w:rFonts w:ascii="Noto Sans" w:hAnsi="Noto Sans" w:cs="Noto Sans"/>
          <w:sz w:val="22"/>
          <w:lang w:val="nl"/>
        </w:rPr>
        <w:br/>
        <w:t>Tel: +31 30 636 3333</w:t>
      </w:r>
      <w:r w:rsidRPr="00F41DD2">
        <w:rPr>
          <w:rFonts w:ascii="Noto Sans" w:hAnsi="Noto Sans" w:cs="Noto Sans"/>
          <w:sz w:val="22"/>
          <w:lang w:val="nl"/>
        </w:rPr>
        <w:br/>
      </w:r>
      <w:hyperlink r:id="rId10" w:history="1">
        <w:r w:rsidRPr="00F41DD2">
          <w:rPr>
            <w:rStyle w:val="Hyperlink"/>
            <w:rFonts w:ascii="Noto Sans" w:hAnsi="Noto Sans" w:cs="Noto Sans"/>
            <w:sz w:val="22"/>
            <w:lang w:val="nl"/>
          </w:rPr>
          <w:t>Sabine.callaars@dominobenelux.com</w:t>
        </w:r>
      </w:hyperlink>
      <w:r w:rsidRPr="00F41DD2">
        <w:rPr>
          <w:rFonts w:ascii="Noto Sans" w:hAnsi="Noto Sans" w:cs="Noto Sans"/>
          <w:sz w:val="22"/>
          <w:lang w:val="nl"/>
        </w:rPr>
        <w:t xml:space="preserve"> </w:t>
      </w:r>
      <w:r w:rsidRPr="00F41DD2">
        <w:rPr>
          <w:rFonts w:ascii="Noto Sans" w:hAnsi="Noto Sans" w:cs="Noto Sans"/>
          <w:sz w:val="22"/>
          <w:lang w:val="nl"/>
        </w:rPr>
        <w:br/>
      </w:r>
      <w:bookmarkEnd w:id="8"/>
      <w:r w:rsidRPr="00F41DD2">
        <w:rPr>
          <w:rFonts w:ascii="Noto Sans" w:hAnsi="Noto Sans" w:cs="Noto Sans"/>
          <w:sz w:val="22"/>
          <w:lang w:val="nl"/>
        </w:rPr>
        <w:br/>
      </w:r>
      <w:bookmarkEnd w:id="7"/>
    </w:p>
    <w:p w14:paraId="53EB7C38" w14:textId="77777777" w:rsidR="005524DB" w:rsidRPr="00F41DD2" w:rsidRDefault="005524DB" w:rsidP="00C44603">
      <w:pPr>
        <w:rPr>
          <w:rFonts w:ascii="Noto Sans" w:hAnsi="Noto Sans" w:cs="Noto Sans"/>
          <w:sz w:val="22"/>
          <w:lang w:val="nl"/>
        </w:rPr>
      </w:pPr>
    </w:p>
    <w:sectPr w:rsidR="005524DB" w:rsidRPr="00F41DD2"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372E92"/>
    <w:rsid w:val="005272B1"/>
    <w:rsid w:val="005524DB"/>
    <w:rsid w:val="005741C7"/>
    <w:rsid w:val="00647055"/>
    <w:rsid w:val="00660F46"/>
    <w:rsid w:val="00785717"/>
    <w:rsid w:val="008220B7"/>
    <w:rsid w:val="00823B77"/>
    <w:rsid w:val="008916A8"/>
    <w:rsid w:val="008B6461"/>
    <w:rsid w:val="008F3E38"/>
    <w:rsid w:val="00931996"/>
    <w:rsid w:val="009A1716"/>
    <w:rsid w:val="009A1DEC"/>
    <w:rsid w:val="009D6280"/>
    <w:rsid w:val="009E564D"/>
    <w:rsid w:val="00A34918"/>
    <w:rsid w:val="00AB11DA"/>
    <w:rsid w:val="00B23C3C"/>
    <w:rsid w:val="00B546C5"/>
    <w:rsid w:val="00BC7C15"/>
    <w:rsid w:val="00C063FE"/>
    <w:rsid w:val="00C44603"/>
    <w:rsid w:val="00C541FE"/>
    <w:rsid w:val="00CF1AD5"/>
    <w:rsid w:val="00E03029"/>
    <w:rsid w:val="00EC1C5A"/>
    <w:rsid w:val="00F154BC"/>
    <w:rsid w:val="00F41DD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benelux.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cuments.gs1us.org/adobe/assets/deliver/urn:aaid:aem:41015dba-6bb7-4a40-9e94-6a4e6b9efa6e/Position-Paper-Powering-the-Future-of-Retail.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i.org/10.3390/healthcare13111227"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Sabine.callaars@dominobenelux.com" TargetMode="External"/><Relationship Id="rId4" Type="http://schemas.openxmlformats.org/officeDocument/2006/relationships/footnotes" Target="footnotes.xml"/><Relationship Id="rId9" Type="http://schemas.openxmlformats.org/officeDocument/2006/relationships/hyperlink" Target="mailto:Alex.Challinor@domino-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5</TotalTime>
  <Pages>7</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2</cp:revision>
  <dcterms:created xsi:type="dcterms:W3CDTF">2025-10-01T11:34:00Z</dcterms:created>
  <dcterms:modified xsi:type="dcterms:W3CDTF">2025-10-01T11:34:00Z</dcterms:modified>
</cp:coreProperties>
</file>