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DA40" w14:textId="77777777" w:rsidR="000C3659" w:rsidRPr="000C3659" w:rsidRDefault="000C3659" w:rsidP="000C3659">
      <w:pPr>
        <w:rPr>
          <w:rFonts w:ascii="Noto Sans" w:hAnsi="Noto Sans" w:cs="Noto Sans"/>
          <w:sz w:val="28"/>
          <w:szCs w:val="28"/>
          <w:lang w:val="fr-FR"/>
        </w:rPr>
      </w:pPr>
      <w:bookmarkStart w:id="0" w:name="_Hlk204167296"/>
      <w:r w:rsidRPr="000C3659">
        <w:rPr>
          <w:rFonts w:ascii="Noto Sans" w:hAnsi="Noto Sans" w:cs="Noto Sans"/>
          <w:b/>
          <w:bCs/>
          <w:sz w:val="28"/>
          <w:szCs w:val="28"/>
          <w:lang w:val="fr"/>
        </w:rPr>
        <w:t>De la boîte de médicament au chevet du patient </w:t>
      </w:r>
      <w:bookmarkStart w:id="1" w:name="_Hlk204164407"/>
      <w:r w:rsidRPr="000C3659">
        <w:rPr>
          <w:rFonts w:ascii="Noto Sans" w:hAnsi="Noto Sans" w:cs="Noto Sans"/>
          <w:b/>
          <w:bCs/>
          <w:sz w:val="28"/>
          <w:szCs w:val="28"/>
          <w:lang w:val="fr"/>
        </w:rPr>
        <w:t>: des soins centrés sur le patient via des emballages connectés</w:t>
      </w:r>
      <w:bookmarkEnd w:id="0"/>
      <w:bookmarkEnd w:id="1"/>
    </w:p>
    <w:p w14:paraId="6CC08D2C" w14:textId="77777777" w:rsidR="000C3659" w:rsidRPr="000C3659" w:rsidRDefault="000C3659" w:rsidP="000C3659">
      <w:pPr>
        <w:rPr>
          <w:rFonts w:ascii="Noto Sans" w:hAnsi="Noto Sans" w:cs="Noto Sans"/>
          <w:sz w:val="22"/>
          <w:lang w:val="fr-FR"/>
        </w:rPr>
      </w:pPr>
      <w:r w:rsidRPr="000C3659">
        <w:rPr>
          <w:rFonts w:ascii="Noto Sans" w:hAnsi="Noto Sans" w:cs="Noto Sans"/>
          <w:sz w:val="22"/>
          <w:lang w:val="fr"/>
        </w:rPr>
        <w:br/>
      </w:r>
      <w:r w:rsidRPr="000C3659">
        <w:rPr>
          <w:rFonts w:ascii="Noto Sans" w:hAnsi="Noto Sans" w:cs="Noto Sans"/>
          <w:i/>
          <w:iCs/>
          <w:sz w:val="22"/>
          <w:lang w:val="fr"/>
        </w:rPr>
        <w:t xml:space="preserve">Les emballages pharmaceutiques jouent un rôle croissant dans les soins centrés sur le patient. L’intégration de codes 2D intelligents et de plateformes numériques connectées peuvent établir un lien direct entre les fabricants de produits pharmaceutiques, les prestataires de soins de santé et les patients. Comme l'explique Bart Vansteenkiste, Global Life Sciences </w:t>
      </w:r>
      <w:proofErr w:type="spellStart"/>
      <w:r w:rsidRPr="000C3659">
        <w:rPr>
          <w:rFonts w:ascii="Noto Sans" w:hAnsi="Noto Sans" w:cs="Noto Sans"/>
          <w:i/>
          <w:iCs/>
          <w:sz w:val="22"/>
          <w:lang w:val="fr"/>
        </w:rPr>
        <w:t>Sector</w:t>
      </w:r>
      <w:proofErr w:type="spellEnd"/>
      <w:r w:rsidRPr="000C3659">
        <w:rPr>
          <w:rFonts w:ascii="Noto Sans" w:hAnsi="Noto Sans" w:cs="Noto Sans"/>
          <w:i/>
          <w:iCs/>
          <w:sz w:val="22"/>
          <w:lang w:val="fr"/>
        </w:rPr>
        <w:t xml:space="preserve"> Manager auprès de Domino Printing Sciences, l'emballage pharmaceutique n'est pas le point final de la production, mais le point de départ de soins plus connectés et centrés sur le patient.</w:t>
      </w:r>
    </w:p>
    <w:p w14:paraId="31F4B0DB" w14:textId="77777777" w:rsidR="000C3659" w:rsidRPr="000C3659" w:rsidRDefault="000C3659" w:rsidP="000C3659">
      <w:pPr>
        <w:rPr>
          <w:rFonts w:ascii="Noto Sans" w:hAnsi="Noto Sans" w:cs="Noto Sans"/>
          <w:b/>
          <w:bCs/>
          <w:sz w:val="22"/>
          <w:lang w:val="fr-FR"/>
        </w:rPr>
      </w:pPr>
      <w:r w:rsidRPr="000C3659">
        <w:rPr>
          <w:rFonts w:ascii="Noto Sans" w:hAnsi="Noto Sans" w:cs="Noto Sans"/>
          <w:sz w:val="22"/>
          <w:lang w:val="fr"/>
        </w:rPr>
        <w:br/>
      </w:r>
      <w:r w:rsidRPr="000C3659">
        <w:rPr>
          <w:rFonts w:ascii="Noto Sans" w:hAnsi="Noto Sans" w:cs="Noto Sans"/>
          <w:b/>
          <w:bCs/>
          <w:sz w:val="22"/>
          <w:lang w:val="fr"/>
        </w:rPr>
        <w:t>Repenser les notices destinées aux patients</w:t>
      </w:r>
    </w:p>
    <w:p w14:paraId="7C5CA7A8" w14:textId="77777777" w:rsidR="00992B25" w:rsidRDefault="000C3659" w:rsidP="000C3659">
      <w:pPr>
        <w:rPr>
          <w:rFonts w:ascii="Noto Sans" w:hAnsi="Noto Sans" w:cs="Noto Sans"/>
          <w:sz w:val="22"/>
          <w:lang w:val="fr"/>
        </w:rPr>
      </w:pPr>
      <w:r w:rsidRPr="000C3659">
        <w:rPr>
          <w:rFonts w:ascii="Noto Sans" w:hAnsi="Noto Sans" w:cs="Noto Sans"/>
          <w:sz w:val="22"/>
          <w:lang w:val="fr"/>
        </w:rPr>
        <w:t xml:space="preserve">Il est désormais établi que la conception des emballages pharmaceutiques peut jouer un rôle clé dans l'amélioration de la sécurité des patients. Pour de nombreux patients, en particulier ceux qui prennent plusieurs médicaments, la notice d'information traditionnelle peut être une source de frustration. </w:t>
      </w:r>
    </w:p>
    <w:p w14:paraId="464AB760" w14:textId="77777777" w:rsidR="00992B25" w:rsidRDefault="00992B25" w:rsidP="000C3659">
      <w:pPr>
        <w:rPr>
          <w:rFonts w:ascii="Noto Sans" w:hAnsi="Noto Sans" w:cs="Noto Sans"/>
          <w:sz w:val="22"/>
          <w:lang w:val="fr"/>
        </w:rPr>
      </w:pPr>
    </w:p>
    <w:p w14:paraId="133197F4" w14:textId="0998CF05" w:rsidR="000C3659" w:rsidRPr="000C3659" w:rsidRDefault="000C3659" w:rsidP="000C3659">
      <w:pPr>
        <w:rPr>
          <w:rFonts w:ascii="Noto Sans" w:hAnsi="Noto Sans" w:cs="Noto Sans"/>
          <w:sz w:val="22"/>
          <w:lang w:val="fr-FR"/>
        </w:rPr>
      </w:pPr>
      <w:r w:rsidRPr="000C3659">
        <w:rPr>
          <w:rFonts w:ascii="Noto Sans" w:hAnsi="Noto Sans" w:cs="Noto Sans"/>
          <w:sz w:val="22"/>
          <w:lang w:val="fr"/>
        </w:rPr>
        <w:t xml:space="preserve">Un langage complexe, des instructions trop longues et des traductions incohérentes peuvent prêter à confusion et contribuer à des risques évitables dans l'utilisation des médicaments. Des recherches récentes de la Western </w:t>
      </w:r>
      <w:proofErr w:type="spellStart"/>
      <w:r w:rsidRPr="000C3659">
        <w:rPr>
          <w:rFonts w:ascii="Noto Sans" w:hAnsi="Noto Sans" w:cs="Noto Sans"/>
          <w:sz w:val="22"/>
          <w:lang w:val="fr"/>
        </w:rPr>
        <w:t>University</w:t>
      </w:r>
      <w:proofErr w:type="spellEnd"/>
      <w:r w:rsidRPr="000C3659">
        <w:rPr>
          <w:rFonts w:ascii="Noto Sans" w:hAnsi="Noto Sans" w:cs="Noto Sans"/>
          <w:sz w:val="22"/>
          <w:lang w:val="fr"/>
        </w:rPr>
        <w:t xml:space="preserve"> of </w:t>
      </w:r>
      <w:proofErr w:type="spellStart"/>
      <w:r w:rsidRPr="000C3659">
        <w:rPr>
          <w:rFonts w:ascii="Noto Sans" w:hAnsi="Noto Sans" w:cs="Noto Sans"/>
          <w:sz w:val="22"/>
          <w:lang w:val="fr"/>
        </w:rPr>
        <w:t>Health</w:t>
      </w:r>
      <w:proofErr w:type="spellEnd"/>
      <w:r w:rsidRPr="000C3659">
        <w:rPr>
          <w:rFonts w:ascii="Noto Sans" w:hAnsi="Noto Sans" w:cs="Noto Sans"/>
          <w:sz w:val="22"/>
          <w:lang w:val="fr"/>
        </w:rPr>
        <w:t xml:space="preserve"> Sciences et de la </w:t>
      </w:r>
      <w:proofErr w:type="spellStart"/>
      <w:r w:rsidRPr="000C3659">
        <w:rPr>
          <w:rFonts w:ascii="Noto Sans" w:hAnsi="Noto Sans" w:cs="Noto Sans"/>
          <w:sz w:val="22"/>
          <w:lang w:val="fr"/>
        </w:rPr>
        <w:t>Southern</w:t>
      </w:r>
      <w:proofErr w:type="spellEnd"/>
      <w:r w:rsidRPr="000C3659">
        <w:rPr>
          <w:rFonts w:ascii="Noto Sans" w:hAnsi="Noto Sans" w:cs="Noto Sans"/>
          <w:sz w:val="22"/>
          <w:lang w:val="fr"/>
        </w:rPr>
        <w:t xml:space="preserve"> Illinois </w:t>
      </w:r>
      <w:proofErr w:type="spellStart"/>
      <w:r w:rsidRPr="000C3659">
        <w:rPr>
          <w:rFonts w:ascii="Noto Sans" w:hAnsi="Noto Sans" w:cs="Noto Sans"/>
          <w:sz w:val="22"/>
          <w:lang w:val="fr"/>
        </w:rPr>
        <w:t>University</w:t>
      </w:r>
      <w:proofErr w:type="spellEnd"/>
      <w:r w:rsidRPr="000C3659">
        <w:rPr>
          <w:rFonts w:ascii="Noto Sans" w:hAnsi="Noto Sans" w:cs="Noto Sans"/>
          <w:sz w:val="22"/>
          <w:lang w:val="fr"/>
        </w:rPr>
        <w:t xml:space="preserve"> </w:t>
      </w:r>
      <w:proofErr w:type="spellStart"/>
      <w:r w:rsidRPr="000C3659">
        <w:rPr>
          <w:rFonts w:ascii="Noto Sans" w:hAnsi="Noto Sans" w:cs="Noto Sans"/>
          <w:sz w:val="22"/>
          <w:lang w:val="fr"/>
        </w:rPr>
        <w:t>Edwardsville</w:t>
      </w:r>
      <w:proofErr w:type="spellEnd"/>
      <w:r w:rsidRPr="000C3659">
        <w:rPr>
          <w:rFonts w:ascii="Noto Sans" w:hAnsi="Noto Sans" w:cs="Noto Sans"/>
          <w:sz w:val="22"/>
          <w:lang w:val="fr"/>
        </w:rPr>
        <w:t xml:space="preserve">, États-Unis, soulignent l'importance de repenser le format de la notice. En comparant les </w:t>
      </w:r>
      <w:bookmarkStart w:id="2" w:name="_Hlk204162960"/>
      <w:r w:rsidRPr="000C3659">
        <w:rPr>
          <w:rFonts w:ascii="Noto Sans" w:hAnsi="Noto Sans" w:cs="Noto Sans"/>
          <w:sz w:val="22"/>
          <w:lang w:val="fr"/>
        </w:rPr>
        <w:t xml:space="preserve">notices électroniques d'information sur les produits </w:t>
      </w:r>
      <w:bookmarkEnd w:id="2"/>
      <w:r w:rsidRPr="000C3659">
        <w:rPr>
          <w:rFonts w:ascii="Noto Sans" w:hAnsi="Noto Sans" w:cs="Noto Sans"/>
          <w:sz w:val="22"/>
          <w:lang w:val="fr"/>
        </w:rPr>
        <w:t>(</w:t>
      </w:r>
      <w:proofErr w:type="spellStart"/>
      <w:r w:rsidRPr="000C3659">
        <w:rPr>
          <w:rFonts w:ascii="Noto Sans" w:hAnsi="Noto Sans" w:cs="Noto Sans"/>
          <w:sz w:val="22"/>
          <w:lang w:val="fr"/>
        </w:rPr>
        <w:t>ePIL</w:t>
      </w:r>
      <w:proofErr w:type="spellEnd"/>
      <w:r w:rsidRPr="000C3659">
        <w:rPr>
          <w:rFonts w:ascii="Noto Sans" w:hAnsi="Noto Sans" w:cs="Noto Sans"/>
          <w:sz w:val="22"/>
          <w:lang w:val="fr"/>
        </w:rPr>
        <w:t>) aux versions imprimées traditionnelles, l'</w:t>
      </w:r>
      <w:hyperlink r:id="rId6" w:history="1">
        <w:r w:rsidRPr="000C3659">
          <w:rPr>
            <w:rStyle w:val="Hyperlink"/>
            <w:rFonts w:ascii="Noto Sans" w:hAnsi="Noto Sans" w:cs="Noto Sans"/>
            <w:sz w:val="22"/>
            <w:lang w:val="fr"/>
          </w:rPr>
          <w:t>étude contrôlée</w:t>
        </w:r>
      </w:hyperlink>
      <w:r w:rsidRPr="000C3659">
        <w:rPr>
          <w:rFonts w:ascii="Noto Sans" w:hAnsi="Noto Sans" w:cs="Noto Sans"/>
          <w:sz w:val="22"/>
          <w:lang w:val="fr"/>
        </w:rPr>
        <w:t xml:space="preserve"> a confirmé que l'</w:t>
      </w:r>
      <w:proofErr w:type="spellStart"/>
      <w:r w:rsidRPr="000C3659">
        <w:rPr>
          <w:rFonts w:ascii="Noto Sans" w:hAnsi="Noto Sans" w:cs="Noto Sans"/>
          <w:sz w:val="22"/>
          <w:lang w:val="fr"/>
        </w:rPr>
        <w:t>ePIL</w:t>
      </w:r>
      <w:proofErr w:type="spellEnd"/>
      <w:r w:rsidRPr="000C3659">
        <w:rPr>
          <w:rFonts w:ascii="Noto Sans" w:hAnsi="Noto Sans" w:cs="Noto Sans"/>
          <w:sz w:val="22"/>
          <w:lang w:val="fr"/>
        </w:rPr>
        <w:t xml:space="preserve"> surpassait considérablement l'impression sur certains critères clés, notamment la compréhension, la praticité et l'attrait visuel. </w:t>
      </w:r>
    </w:p>
    <w:p w14:paraId="709F2FAC" w14:textId="77777777" w:rsidR="000C3659" w:rsidRDefault="000C3659" w:rsidP="000C3659">
      <w:pPr>
        <w:rPr>
          <w:rFonts w:ascii="Noto Sans" w:hAnsi="Noto Sans" w:cs="Noto Sans"/>
          <w:sz w:val="22"/>
          <w:lang w:val="fr"/>
        </w:rPr>
      </w:pPr>
      <w:r w:rsidRPr="000C3659">
        <w:rPr>
          <w:rFonts w:ascii="Noto Sans" w:hAnsi="Noto Sans" w:cs="Noto Sans"/>
          <w:sz w:val="22"/>
          <w:lang w:val="fr"/>
        </w:rPr>
        <w:lastRenderedPageBreak/>
        <w:t>Les scores de compréhension étaient nettement plus élevés, en particulier chez les patients non spécialistes de la santé, ce qui souligne la valeur du langage simplifié et de la conception intuitive pour améliorer la compréhension.</w:t>
      </w:r>
    </w:p>
    <w:p w14:paraId="62E1CBD4" w14:textId="77777777" w:rsidR="00992B25" w:rsidRPr="000C3659" w:rsidRDefault="00992B25" w:rsidP="000C3659">
      <w:pPr>
        <w:rPr>
          <w:rFonts w:ascii="Noto Sans" w:hAnsi="Noto Sans" w:cs="Noto Sans"/>
          <w:sz w:val="22"/>
          <w:lang w:val="fr-FR"/>
        </w:rPr>
      </w:pPr>
    </w:p>
    <w:p w14:paraId="25F4D6FE" w14:textId="77777777" w:rsidR="000C3659" w:rsidRPr="000C3659" w:rsidRDefault="000C3659" w:rsidP="000C3659">
      <w:pPr>
        <w:rPr>
          <w:rFonts w:ascii="Noto Sans" w:hAnsi="Noto Sans" w:cs="Noto Sans"/>
          <w:sz w:val="22"/>
          <w:lang w:val="fr-FR"/>
        </w:rPr>
      </w:pPr>
      <w:r w:rsidRPr="000C3659">
        <w:rPr>
          <w:rFonts w:ascii="Noto Sans" w:hAnsi="Noto Sans" w:cs="Noto Sans"/>
          <w:sz w:val="22"/>
          <w:lang w:val="fr"/>
        </w:rPr>
        <w:t>Les notices électroniques peuvent également améliorer l'engagement des patients. En scannant simplement un code 2D intelligent sur un emballage pharmaceutique, les patients peuvent accéder à des informations à jour, claires et intuitives dans la langue de leur choix. Des fonctionnalités supplémentaires, telles que des vidéos d'instruction ou des notices audio, peuvent faciliter la compréhension par diverses populations de patients.</w:t>
      </w:r>
    </w:p>
    <w:p w14:paraId="76A6AF6C" w14:textId="77777777" w:rsidR="000C3659" w:rsidRDefault="000C3659" w:rsidP="000C3659">
      <w:pPr>
        <w:rPr>
          <w:rFonts w:ascii="Noto Sans" w:hAnsi="Noto Sans" w:cs="Noto Sans"/>
          <w:b/>
          <w:bCs/>
          <w:sz w:val="22"/>
          <w:lang w:val="fr"/>
        </w:rPr>
      </w:pPr>
    </w:p>
    <w:p w14:paraId="3CE88B57" w14:textId="65F80362" w:rsidR="000C3659" w:rsidRPr="000C3659" w:rsidRDefault="000C3659" w:rsidP="000C3659">
      <w:pPr>
        <w:rPr>
          <w:rFonts w:ascii="Noto Sans" w:hAnsi="Noto Sans" w:cs="Noto Sans"/>
          <w:b/>
          <w:bCs/>
          <w:sz w:val="22"/>
          <w:lang w:val="fr-FR"/>
        </w:rPr>
      </w:pPr>
      <w:r w:rsidRPr="000C3659">
        <w:rPr>
          <w:rFonts w:ascii="Noto Sans" w:hAnsi="Noto Sans" w:cs="Noto Sans"/>
          <w:b/>
          <w:bCs/>
          <w:sz w:val="22"/>
          <w:lang w:val="fr"/>
        </w:rPr>
        <w:t>Mieux soigner via des connexions plus intelligentes</w:t>
      </w:r>
    </w:p>
    <w:p w14:paraId="403663DE" w14:textId="77777777" w:rsidR="000C3659" w:rsidRPr="000C3659" w:rsidRDefault="000C3659" w:rsidP="000C3659">
      <w:pPr>
        <w:rPr>
          <w:rFonts w:ascii="Noto Sans" w:hAnsi="Noto Sans" w:cs="Noto Sans"/>
          <w:sz w:val="22"/>
          <w:lang w:val="fr-FR"/>
        </w:rPr>
      </w:pPr>
      <w:r w:rsidRPr="000C3659">
        <w:rPr>
          <w:rFonts w:ascii="Noto Sans" w:hAnsi="Noto Sans" w:cs="Noto Sans"/>
          <w:sz w:val="22"/>
          <w:lang w:val="fr"/>
        </w:rPr>
        <w:t xml:space="preserve">L'emballage connecté, obtenu en intégrant des codes 2D intelligents qui se connectent à des sources de données en temps réel dans la conception même de l’emballage, peut également améliorer la sécurité des patients dans l'ensemble du système de santé et combler les lacunes traditionnelles de communication, de la prescription à la dispensation. Faciliter </w:t>
      </w:r>
      <w:bookmarkStart w:id="3" w:name="_Hlk204166767"/>
      <w:r w:rsidRPr="000C3659">
        <w:rPr>
          <w:rFonts w:ascii="Noto Sans" w:hAnsi="Noto Sans" w:cs="Noto Sans"/>
          <w:sz w:val="22"/>
          <w:lang w:val="fr"/>
        </w:rPr>
        <w:t xml:space="preserve">l’accès des professionnels de santé aux informations les plus récentes et spécifiques au lot sur demande </w:t>
      </w:r>
      <w:bookmarkEnd w:id="3"/>
      <w:r w:rsidRPr="000C3659">
        <w:rPr>
          <w:rFonts w:ascii="Noto Sans" w:hAnsi="Noto Sans" w:cs="Noto Sans"/>
          <w:sz w:val="22"/>
          <w:lang w:val="fr"/>
        </w:rPr>
        <w:t>aide à prévenir l'utilisation d'instructions obsolètes et améliore la sécurité de la prescription et de la dispensation.</w:t>
      </w:r>
    </w:p>
    <w:p w14:paraId="6A4E0F0F" w14:textId="77777777" w:rsidR="00992B25" w:rsidRDefault="00992B25" w:rsidP="000C3659">
      <w:pPr>
        <w:rPr>
          <w:rFonts w:ascii="Noto Sans" w:hAnsi="Noto Sans" w:cs="Noto Sans"/>
          <w:sz w:val="22"/>
          <w:lang w:val="fr"/>
        </w:rPr>
      </w:pPr>
    </w:p>
    <w:p w14:paraId="01A21EA2" w14:textId="0B55814D" w:rsidR="000C3659" w:rsidRPr="000C3659" w:rsidRDefault="000C3659" w:rsidP="000C3659">
      <w:pPr>
        <w:rPr>
          <w:rFonts w:ascii="Noto Sans" w:hAnsi="Noto Sans" w:cs="Noto Sans"/>
          <w:sz w:val="22"/>
          <w:lang w:val="fr-FR"/>
        </w:rPr>
      </w:pPr>
      <w:r w:rsidRPr="000C3659">
        <w:rPr>
          <w:rFonts w:ascii="Noto Sans" w:hAnsi="Noto Sans" w:cs="Noto Sans"/>
          <w:sz w:val="22"/>
          <w:lang w:val="fr"/>
        </w:rPr>
        <w:t>D'un point de vue systémique global, les emballages connectés peuvent également renforcer la gestion de la chaîne d'approvisionnement. Un système efficace d'</w:t>
      </w:r>
      <w:bookmarkStart w:id="4" w:name="_Hlk204163947"/>
      <w:r w:rsidRPr="000C3659">
        <w:rPr>
          <w:rFonts w:ascii="Noto Sans" w:hAnsi="Noto Sans" w:cs="Noto Sans"/>
          <w:sz w:val="22"/>
          <w:lang w:val="fr"/>
        </w:rPr>
        <w:t xml:space="preserve">impression numérique en ligne pour les emballages pharmaceutiques </w:t>
      </w:r>
      <w:bookmarkEnd w:id="4"/>
      <w:r w:rsidRPr="000C3659">
        <w:rPr>
          <w:rFonts w:ascii="Noto Sans" w:hAnsi="Noto Sans" w:cs="Noto Sans"/>
          <w:sz w:val="22"/>
          <w:lang w:val="fr"/>
        </w:rPr>
        <w:t xml:space="preserve">peut imprimer </w:t>
      </w:r>
      <w:bookmarkStart w:id="5" w:name="_Hlk204164012"/>
      <w:r w:rsidRPr="000C3659">
        <w:rPr>
          <w:rFonts w:ascii="Noto Sans" w:hAnsi="Noto Sans" w:cs="Noto Sans"/>
          <w:sz w:val="22"/>
          <w:lang w:val="fr"/>
        </w:rPr>
        <w:t>des données plus riches et normalisées sur chaque emballage, afin de réagir plus rapidement aux rappels, d'améliorer le suivi des produits et d'augmenter la précision lors de la distribution</w:t>
      </w:r>
      <w:bookmarkEnd w:id="5"/>
      <w:r w:rsidRPr="000C3659">
        <w:rPr>
          <w:rFonts w:ascii="Noto Sans" w:hAnsi="Noto Sans" w:cs="Noto Sans"/>
          <w:sz w:val="22"/>
          <w:lang w:val="fr"/>
        </w:rPr>
        <w:t>. Cette combinaison de l'amélioration de la sécurité au niveau du patient et de l'efficacité de la chaîne d'approvisionnement démontre la valeur plus large des emballages connectés.</w:t>
      </w:r>
    </w:p>
    <w:p w14:paraId="3BB6917C" w14:textId="77777777" w:rsidR="000C3659" w:rsidRDefault="000C3659" w:rsidP="000C3659">
      <w:pPr>
        <w:rPr>
          <w:rFonts w:ascii="Noto Sans" w:hAnsi="Noto Sans" w:cs="Noto Sans"/>
          <w:b/>
          <w:bCs/>
          <w:sz w:val="22"/>
          <w:lang w:val="fr"/>
        </w:rPr>
      </w:pPr>
    </w:p>
    <w:p w14:paraId="437DDE4E" w14:textId="3B440668" w:rsidR="000C3659" w:rsidRPr="000C3659" w:rsidRDefault="000C3659" w:rsidP="000C3659">
      <w:pPr>
        <w:rPr>
          <w:rFonts w:ascii="Noto Sans" w:hAnsi="Noto Sans" w:cs="Noto Sans"/>
          <w:b/>
          <w:bCs/>
          <w:sz w:val="22"/>
          <w:lang w:val="fr-FR"/>
        </w:rPr>
      </w:pPr>
      <w:r w:rsidRPr="000C3659">
        <w:rPr>
          <w:rFonts w:ascii="Noto Sans" w:hAnsi="Noto Sans" w:cs="Noto Sans"/>
          <w:b/>
          <w:bCs/>
          <w:sz w:val="22"/>
          <w:lang w:val="fr"/>
        </w:rPr>
        <w:t>Dynamique du changement</w:t>
      </w:r>
    </w:p>
    <w:p w14:paraId="4EC62BAE" w14:textId="77777777" w:rsidR="000C3659" w:rsidRDefault="000C3659" w:rsidP="000C3659">
      <w:pPr>
        <w:rPr>
          <w:rFonts w:ascii="Noto Sans" w:hAnsi="Noto Sans" w:cs="Noto Sans"/>
          <w:sz w:val="22"/>
          <w:lang w:val="fr"/>
        </w:rPr>
      </w:pPr>
      <w:r w:rsidRPr="000C3659">
        <w:rPr>
          <w:rFonts w:ascii="Noto Sans" w:hAnsi="Noto Sans" w:cs="Noto Sans"/>
          <w:sz w:val="22"/>
          <w:lang w:val="fr"/>
        </w:rPr>
        <w:t>Si les avantages des emballages connectés (notamment compréhension et sécurité renforcées) sont désormais évidents, le passage aux solutions numériques n'est pas seulement théorique. Dans l'industrie pharmaceutique, les parties prenantes explorent et mettent en œuvre activement ces innovations, gage d’un élan de changement plus généralisé.</w:t>
      </w:r>
    </w:p>
    <w:p w14:paraId="77AC58C8" w14:textId="77777777" w:rsidR="00992B25" w:rsidRPr="000C3659" w:rsidRDefault="00992B25" w:rsidP="000C3659">
      <w:pPr>
        <w:rPr>
          <w:rFonts w:ascii="Noto Sans" w:hAnsi="Noto Sans" w:cs="Noto Sans"/>
          <w:sz w:val="22"/>
          <w:lang w:val="fr-FR"/>
        </w:rPr>
      </w:pPr>
    </w:p>
    <w:p w14:paraId="2386933F" w14:textId="77777777" w:rsidR="000C3659" w:rsidRDefault="000C3659" w:rsidP="000C3659">
      <w:pPr>
        <w:rPr>
          <w:rFonts w:ascii="Noto Sans" w:hAnsi="Noto Sans" w:cs="Noto Sans"/>
          <w:sz w:val="22"/>
          <w:lang w:val="fr"/>
        </w:rPr>
      </w:pPr>
      <w:r w:rsidRPr="000C3659">
        <w:rPr>
          <w:rFonts w:ascii="Noto Sans" w:hAnsi="Noto Sans" w:cs="Noto Sans"/>
          <w:sz w:val="22"/>
          <w:lang w:val="fr"/>
        </w:rPr>
        <w:t>L’ensemble de l’industrie fait preuve d’un engagement croissant en faveur des emballages connectés. Début 2025, les principales associations professionnelles pharmaceutiques européennes ont recommandé un déploiement progressif de l'</w:t>
      </w:r>
      <w:proofErr w:type="spellStart"/>
      <w:r w:rsidRPr="000C3659">
        <w:rPr>
          <w:rFonts w:ascii="Noto Sans" w:hAnsi="Noto Sans" w:cs="Noto Sans"/>
          <w:sz w:val="22"/>
          <w:lang w:val="fr"/>
        </w:rPr>
        <w:t>ePIL</w:t>
      </w:r>
      <w:proofErr w:type="spellEnd"/>
      <w:r w:rsidRPr="000C3659">
        <w:rPr>
          <w:rFonts w:ascii="Noto Sans" w:hAnsi="Noto Sans" w:cs="Noto Sans"/>
          <w:sz w:val="22"/>
          <w:lang w:val="fr"/>
        </w:rPr>
        <w:t>, proposant de supprimer les notices en papier dans un délai de quatre ans. Une proposition de la Fédération européenne des associations et industries pharmaceutiques (EFPIA) souligne les avantages de l’</w:t>
      </w:r>
      <w:proofErr w:type="spellStart"/>
      <w:r w:rsidRPr="000C3659">
        <w:rPr>
          <w:rFonts w:ascii="Noto Sans" w:hAnsi="Noto Sans" w:cs="Noto Sans"/>
          <w:sz w:val="22"/>
          <w:lang w:val="fr"/>
        </w:rPr>
        <w:t>ePIL</w:t>
      </w:r>
      <w:proofErr w:type="spellEnd"/>
      <w:r w:rsidRPr="000C3659">
        <w:rPr>
          <w:rFonts w:ascii="Noto Sans" w:hAnsi="Noto Sans" w:cs="Noto Sans"/>
          <w:sz w:val="22"/>
          <w:lang w:val="fr"/>
        </w:rPr>
        <w:t xml:space="preserve"> : meilleure accessibilité grâce à la personnalisation linguistique, contenu multimédia, mises à jour plus rapides et durabilité environnementale. Par ailleurs, une </w:t>
      </w:r>
      <w:hyperlink r:id="rId7" w:history="1">
        <w:r w:rsidRPr="000C3659">
          <w:rPr>
            <w:rStyle w:val="Hyperlink"/>
            <w:rFonts w:ascii="Noto Sans" w:hAnsi="Noto Sans" w:cs="Noto Sans"/>
            <w:sz w:val="22"/>
            <w:lang w:val="fr"/>
          </w:rPr>
          <w:t>étude par GS1</w:t>
        </w:r>
      </w:hyperlink>
      <w:r w:rsidRPr="000C3659">
        <w:rPr>
          <w:rFonts w:ascii="Noto Sans" w:hAnsi="Noto Sans" w:cs="Noto Sans"/>
          <w:sz w:val="22"/>
          <w:lang w:val="fr"/>
        </w:rPr>
        <w:t xml:space="preserve"> confirme que 82 % des marques sont favorables à la transition vers des codes 2D riches en données, et de nombreux détaillants visent ce changement d'ici 2027. </w:t>
      </w:r>
    </w:p>
    <w:p w14:paraId="371C4B80" w14:textId="77777777" w:rsidR="00992B25" w:rsidRPr="000C3659" w:rsidRDefault="00992B25" w:rsidP="000C3659">
      <w:pPr>
        <w:rPr>
          <w:rFonts w:ascii="Noto Sans" w:hAnsi="Noto Sans" w:cs="Noto Sans"/>
          <w:sz w:val="22"/>
          <w:lang w:val="fr-FR"/>
        </w:rPr>
      </w:pPr>
    </w:p>
    <w:p w14:paraId="7CCB93FA" w14:textId="77777777" w:rsidR="000C3659" w:rsidRPr="000C3659" w:rsidRDefault="000C3659" w:rsidP="000C3659">
      <w:pPr>
        <w:rPr>
          <w:rFonts w:ascii="Noto Sans" w:hAnsi="Noto Sans" w:cs="Noto Sans"/>
          <w:sz w:val="22"/>
          <w:lang w:val="fr-FR"/>
        </w:rPr>
      </w:pPr>
      <w:r w:rsidRPr="000C3659">
        <w:rPr>
          <w:rFonts w:ascii="Noto Sans" w:hAnsi="Noto Sans" w:cs="Noto Sans"/>
          <w:sz w:val="22"/>
          <w:lang w:val="fr"/>
        </w:rPr>
        <w:t>Mais si les arguments en faveur de la modernisation de l'information des patients par le biais d'emballages numériques connectés sont convaincants, force est de constater que les solutions numériques ne sont pas encore universellement accessibles. Certains patients n'ont pas accès à Internet, ne possèdent pas de smartphone ou se retrouvent tout simplement sans appareil en état de marche lorsque des informations critiques sur la posologie ou la sécurité sont nécessaires. À moyen terme, il serait judicieux de faire coexister les notices imprimées et digitales, garantissant l'inclusivité et la sécurité tout en exploitant les avantages des emballages connectés orientés patient.</w:t>
      </w:r>
    </w:p>
    <w:p w14:paraId="5D08F24B" w14:textId="77777777" w:rsidR="000C3659" w:rsidRDefault="000C3659" w:rsidP="000C3659">
      <w:pPr>
        <w:rPr>
          <w:rFonts w:ascii="Noto Sans" w:hAnsi="Noto Sans" w:cs="Noto Sans"/>
          <w:b/>
          <w:bCs/>
          <w:sz w:val="22"/>
          <w:lang w:val="fr"/>
        </w:rPr>
      </w:pPr>
    </w:p>
    <w:p w14:paraId="28F8D196" w14:textId="1AD0F30D" w:rsidR="000C3659" w:rsidRPr="000C3659" w:rsidRDefault="000C3659" w:rsidP="000C3659">
      <w:pPr>
        <w:rPr>
          <w:rFonts w:ascii="Noto Sans" w:hAnsi="Noto Sans" w:cs="Noto Sans"/>
          <w:b/>
          <w:bCs/>
          <w:sz w:val="22"/>
          <w:lang w:val="fr-FR"/>
        </w:rPr>
      </w:pPr>
      <w:r w:rsidRPr="000C3659">
        <w:rPr>
          <w:rFonts w:ascii="Noto Sans" w:hAnsi="Noto Sans" w:cs="Noto Sans"/>
          <w:b/>
          <w:bCs/>
          <w:sz w:val="22"/>
          <w:lang w:val="fr"/>
        </w:rPr>
        <w:lastRenderedPageBreak/>
        <w:t xml:space="preserve">Conclusion : L'emballage, </w:t>
      </w:r>
      <w:bookmarkStart w:id="6" w:name="_Hlk204163612"/>
      <w:r w:rsidRPr="000C3659">
        <w:rPr>
          <w:rFonts w:ascii="Noto Sans" w:hAnsi="Noto Sans" w:cs="Noto Sans"/>
          <w:b/>
          <w:bCs/>
          <w:sz w:val="22"/>
          <w:lang w:val="fr"/>
        </w:rPr>
        <w:t>plateforme pour les soins aux patients</w:t>
      </w:r>
      <w:bookmarkEnd w:id="6"/>
    </w:p>
    <w:p w14:paraId="6C8D3364" w14:textId="77777777" w:rsidR="000C3659" w:rsidRDefault="000C3659" w:rsidP="000C3659">
      <w:pPr>
        <w:rPr>
          <w:rFonts w:ascii="Noto Sans" w:hAnsi="Noto Sans" w:cs="Noto Sans"/>
          <w:sz w:val="22"/>
          <w:lang w:val="fr"/>
        </w:rPr>
      </w:pPr>
      <w:r w:rsidRPr="000C3659">
        <w:rPr>
          <w:rFonts w:ascii="Noto Sans" w:hAnsi="Noto Sans" w:cs="Noto Sans"/>
          <w:sz w:val="22"/>
          <w:lang w:val="fr"/>
        </w:rPr>
        <w:t>Les emballages connectés représentent une étape importante vers des soins de santé centrés sur le patient. À mesure que les outils numériques s'intègrent dans les soins de santé, les patients s'impliquent plus activement dans la gestion de leur traitement. Points de communication essentiels et tangibles entre fabricants et patients, les emballages pharmaceutiques constituent une plateforme logique et pratique pour fournir des informations pertinentes en temps voulu.</w:t>
      </w:r>
    </w:p>
    <w:p w14:paraId="505DF5FF" w14:textId="77777777" w:rsidR="00992B25" w:rsidRPr="000C3659" w:rsidRDefault="00992B25" w:rsidP="000C3659">
      <w:pPr>
        <w:rPr>
          <w:rFonts w:ascii="Noto Sans" w:hAnsi="Noto Sans" w:cs="Noto Sans"/>
          <w:sz w:val="22"/>
          <w:lang w:val="fr-FR"/>
        </w:rPr>
      </w:pPr>
    </w:p>
    <w:p w14:paraId="7FF9839A" w14:textId="77777777" w:rsidR="000C3659" w:rsidRDefault="000C3659" w:rsidP="000C3659">
      <w:pPr>
        <w:rPr>
          <w:rFonts w:ascii="Noto Sans" w:hAnsi="Noto Sans" w:cs="Noto Sans"/>
          <w:sz w:val="22"/>
          <w:lang w:val="fr"/>
        </w:rPr>
      </w:pPr>
      <w:r w:rsidRPr="000C3659">
        <w:rPr>
          <w:rFonts w:ascii="Noto Sans" w:hAnsi="Noto Sans" w:cs="Noto Sans"/>
          <w:sz w:val="22"/>
          <w:lang w:val="fr"/>
        </w:rPr>
        <w:t>Associés à des outils numériques et à des plateformes connectées, les emballages intelligents peuvent rendre les soins pharmaceutiques plus réactifs, personnalisés et sûrs. En associant des codes 2D intelligents à des outils numériques et autres plateformes connectées, les fabricants ont la possibilité d’améliorer l'accès à l'information, réduire les risques et soutenir les patients plus efficacement tout au long de leur traitement.</w:t>
      </w:r>
    </w:p>
    <w:p w14:paraId="574CFD7A" w14:textId="77777777" w:rsidR="00992B25" w:rsidRPr="000C3659" w:rsidRDefault="00992B25" w:rsidP="000C3659">
      <w:pPr>
        <w:rPr>
          <w:rFonts w:ascii="Noto Sans" w:hAnsi="Noto Sans" w:cs="Noto Sans"/>
          <w:sz w:val="22"/>
          <w:lang w:val="fr-FR"/>
        </w:rPr>
      </w:pPr>
    </w:p>
    <w:p w14:paraId="223AA9F3" w14:textId="77777777" w:rsidR="000C3659" w:rsidRPr="000C3659" w:rsidRDefault="000C3659" w:rsidP="000C3659">
      <w:pPr>
        <w:rPr>
          <w:rFonts w:ascii="Noto Sans" w:hAnsi="Noto Sans" w:cs="Noto Sans"/>
          <w:sz w:val="22"/>
          <w:lang w:val="fr-FR"/>
        </w:rPr>
      </w:pPr>
      <w:r w:rsidRPr="000C3659">
        <w:rPr>
          <w:rFonts w:ascii="Noto Sans" w:hAnsi="Noto Sans" w:cs="Noto Sans"/>
          <w:sz w:val="22"/>
          <w:lang w:val="fr"/>
        </w:rPr>
        <w:t>Les fabricants d'emballages pharmaceutiques peuvent désormais aller au-delà des minimums réglementaires et de positionner l'emballage comme un atout stratégique pour offrir de meilleurs résultats aux patients. De la ligne d'emballage au point de service, l'emballage connecté offre un moyen tangible de donner la priorité aux patients en améliorant la sécurité, la compréhension et la confiance, de la boîte jusqu'au chevet du patient.</w:t>
      </w:r>
    </w:p>
    <w:p w14:paraId="53EB7C38" w14:textId="77777777" w:rsidR="005524DB" w:rsidRDefault="005524DB" w:rsidP="00C44603">
      <w:pPr>
        <w:rPr>
          <w:rFonts w:ascii="Noto Sans" w:hAnsi="Noto Sans" w:cs="Noto Sans"/>
          <w:sz w:val="22"/>
          <w:lang w:val="fr-FR"/>
        </w:rPr>
      </w:pPr>
    </w:p>
    <w:p w14:paraId="6EB59AFB" w14:textId="660FB0B2" w:rsidR="000C3659" w:rsidRDefault="000C3659" w:rsidP="00C44603">
      <w:pPr>
        <w:rPr>
          <w:rFonts w:ascii="Noto Sans" w:hAnsi="Noto Sans" w:cs="Noto Sans"/>
          <w:sz w:val="22"/>
          <w:lang w:val="fr-FR"/>
        </w:rPr>
      </w:pPr>
      <w:r>
        <w:rPr>
          <w:rFonts w:ascii="Noto Sans" w:hAnsi="Noto Sans" w:cs="Noto Sans"/>
          <w:sz w:val="22"/>
          <w:lang w:val="fr-FR"/>
        </w:rPr>
        <w:t>&lt;</w:t>
      </w:r>
      <w:r w:rsidRPr="000C3659">
        <w:rPr>
          <w:rFonts w:ascii="Noto Sans" w:hAnsi="Noto Sans" w:cs="Noto Sans"/>
          <w:b/>
          <w:bCs/>
          <w:sz w:val="22"/>
          <w:lang w:val="fr-FR"/>
        </w:rPr>
        <w:t>FIN</w:t>
      </w:r>
      <w:r>
        <w:rPr>
          <w:rFonts w:ascii="Noto Sans" w:hAnsi="Noto Sans" w:cs="Noto Sans"/>
          <w:sz w:val="22"/>
          <w:lang w:val="fr-FR"/>
        </w:rPr>
        <w:t>&gt;</w:t>
      </w:r>
    </w:p>
    <w:p w14:paraId="6288AA85" w14:textId="77777777" w:rsidR="000C3659" w:rsidRDefault="000C3659" w:rsidP="00C44603">
      <w:pPr>
        <w:rPr>
          <w:rFonts w:ascii="Noto Sans" w:eastAsia="Gill Sans" w:hAnsi="Noto Sans" w:cs="Noto Sans"/>
          <w:b/>
          <w:bCs/>
          <w:sz w:val="20"/>
          <w:szCs w:val="20"/>
          <w:lang w:val="fr-FR"/>
        </w:rPr>
      </w:pPr>
      <w:bookmarkStart w:id="7" w:name="_Hlk46133219"/>
    </w:p>
    <w:p w14:paraId="6321852A" w14:textId="35FDBEAC" w:rsidR="000C3659" w:rsidRPr="000C3659" w:rsidRDefault="000C3659" w:rsidP="00C44603">
      <w:pPr>
        <w:rPr>
          <w:rFonts w:ascii="Noto Sans" w:hAnsi="Noto Sans" w:cs="Noto Sans"/>
          <w:sz w:val="22"/>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w:t>
      </w:r>
      <w:r w:rsidRPr="00E06028">
        <w:rPr>
          <w:rFonts w:ascii="Noto Sans" w:hAnsi="Noto Sans" w:cs="Noto Sans"/>
          <w:sz w:val="20"/>
          <w:szCs w:val="20"/>
          <w:lang w:val="fr-FR"/>
        </w:rPr>
        <w:lastRenderedPageBreak/>
        <w:t xml:space="preserve">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lastRenderedPageBreak/>
        <w:br/>
      </w:r>
      <w:bookmarkStart w:id="8"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8"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r>
      <w:r w:rsidRPr="00E06028">
        <w:rPr>
          <w:rFonts w:ascii="Noto Sans" w:hAnsi="Noto Sans" w:cs="Noto Sans"/>
          <w:sz w:val="20"/>
          <w:szCs w:val="20"/>
          <w:lang w:val="fr-FR"/>
        </w:rPr>
        <w:lastRenderedPageBreak/>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9" w:history="1">
        <w:r w:rsidRPr="000C3659">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7"/>
      <w:bookmarkEnd w:id="8"/>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0" w:history="1">
        <w:r w:rsidRPr="00E06028">
          <w:rPr>
            <w:rStyle w:val="Hyperlink"/>
            <w:rFonts w:ascii="Noto Sans" w:hAnsi="Noto Sans" w:cs="Noto Sans"/>
            <w:sz w:val="20"/>
            <w:szCs w:val="20"/>
            <w:lang w:val="fr-FR"/>
          </w:rPr>
          <w:t>delphine.baudesson@domino-marquage.com</w:t>
        </w:r>
      </w:hyperlink>
    </w:p>
    <w:sectPr w:rsidR="000C3659" w:rsidRPr="000C3659"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C3659"/>
    <w:rsid w:val="000F6D00"/>
    <w:rsid w:val="00113106"/>
    <w:rsid w:val="001D743C"/>
    <w:rsid w:val="00270266"/>
    <w:rsid w:val="002766D9"/>
    <w:rsid w:val="002C3337"/>
    <w:rsid w:val="002D5447"/>
    <w:rsid w:val="00372E92"/>
    <w:rsid w:val="005272B1"/>
    <w:rsid w:val="005524DB"/>
    <w:rsid w:val="005741C7"/>
    <w:rsid w:val="00647055"/>
    <w:rsid w:val="00660F46"/>
    <w:rsid w:val="00785717"/>
    <w:rsid w:val="008220B7"/>
    <w:rsid w:val="00823B77"/>
    <w:rsid w:val="008916A8"/>
    <w:rsid w:val="008B6461"/>
    <w:rsid w:val="008F3E38"/>
    <w:rsid w:val="00931996"/>
    <w:rsid w:val="00992B2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uments.gs1us.org/adobe/assets/deliver/urn:aaid:aem:41015dba-6bb7-4a40-9e94-6a4e6b9efa6e/Position-Paper-Powering-the-Future-of-Retail.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3390/healthcare13111227"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elphine.baudesson@domino-marquage.com" TargetMode="External"/><Relationship Id="rId4" Type="http://schemas.openxmlformats.org/officeDocument/2006/relationships/footnotes" Target="footnote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8</TotalTime>
  <Pages>7</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2025-10-01T09:50:00Z</dcterms:created>
  <dcterms:modified xsi:type="dcterms:W3CDTF">2025-10-01T09:55:00Z</dcterms:modified>
</cp:coreProperties>
</file>