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02D7" w14:textId="77777777" w:rsidR="00104F58" w:rsidRPr="00104F58" w:rsidRDefault="00104F58" w:rsidP="00104F58">
      <w:pPr>
        <w:jc w:val="center"/>
        <w:rPr>
          <w:rFonts w:eastAsia="MS Gothic" w:cs="Arial (Headings)"/>
          <w:b/>
          <w:caps/>
          <w:noProof/>
          <w:color w:val="219CDC"/>
          <w:sz w:val="36"/>
          <w:szCs w:val="36"/>
          <w:lang w:val="pl-PL"/>
          <w14:textFill>
            <w14:gradFill>
              <w14:gsLst>
                <w14:gs w14:pos="50000">
                  <w14:srgbClr w14:val="219CDC"/>
                </w14:gs>
                <w14:gs w14:pos="0">
                  <w14:srgbClr w14:val="17428C"/>
                </w14:gs>
                <w14:gs w14:pos="100000">
                  <w14:srgbClr w14:val="67B9B0"/>
                </w14:gs>
              </w14:gsLst>
              <w14:lin w14:ang="0" w14:scaled="0"/>
            </w14:gradFill>
          </w14:textFill>
        </w:rPr>
      </w:pPr>
      <w:r w:rsidRPr="00104F58">
        <w:rPr>
          <w:rFonts w:eastAsia="MS Gothic" w:cs="Arial (Headings)"/>
          <w:b/>
          <w:caps/>
          <w:noProof/>
          <w:color w:val="219CDC"/>
          <w:sz w:val="36"/>
          <w:szCs w:val="36"/>
          <w:lang w:val="pl-PL"/>
          <w14:textFill>
            <w14:gradFill>
              <w14:gsLst>
                <w14:gs w14:pos="50000">
                  <w14:srgbClr w14:val="219CDC"/>
                </w14:gs>
                <w14:gs w14:pos="0">
                  <w14:srgbClr w14:val="17428C"/>
                </w14:gs>
                <w14:gs w14:pos="100000">
                  <w14:srgbClr w14:val="67B9B0"/>
                </w14:gs>
              </w14:gsLst>
              <w14:lin w14:ang="0" w14:scaled="0"/>
            </w14:gradFill>
          </w14:textFill>
        </w:rPr>
        <w:t xml:space="preserve">NOWY PLAN STRATEGICZNY LEAD&amp;GROW </w:t>
      </w:r>
    </w:p>
    <w:p w14:paraId="733ABAA2" w14:textId="77777777" w:rsidR="00104F58" w:rsidRPr="00104F58" w:rsidRDefault="00104F58" w:rsidP="00104F58">
      <w:pPr>
        <w:jc w:val="center"/>
        <w:rPr>
          <w:rFonts w:cs="Arial (Headings)"/>
          <w:caps/>
          <w:noProof/>
          <w:sz w:val="36"/>
          <w:szCs w:val="36"/>
          <w:lang w:val="pl-PL"/>
        </w:rPr>
      </w:pPr>
      <w:r w:rsidRPr="00104F58">
        <w:rPr>
          <w:rFonts w:eastAsia="MS Gothic" w:cs="Arial (Headings)"/>
          <w:b/>
          <w:caps/>
          <w:noProof/>
          <w:color w:val="219CDC"/>
          <w:sz w:val="36"/>
          <w:szCs w:val="36"/>
          <w:lang w:val="pl-PL"/>
          <w14:textFill>
            <w14:gradFill>
              <w14:gsLst>
                <w14:gs w14:pos="50000">
                  <w14:srgbClr w14:val="219CDC"/>
                </w14:gs>
                <w14:gs w14:pos="0">
                  <w14:srgbClr w14:val="17428C"/>
                </w14:gs>
                <w14:gs w14:pos="100000">
                  <w14:srgbClr w14:val="67B9B0"/>
                </w14:gs>
              </w14:gsLst>
              <w14:lin w14:ang="0" w14:scaled="0"/>
            </w14:gradFill>
          </w14:textFill>
        </w:rPr>
        <w:t>SAINT-GOBAIN WYKORZYSTUJE POZYCJĘ LIDERA, ABY PRZYSPIESZYĆ TEMPO SWOJEGO RENTOWNEGO WZROSTU</w:t>
      </w:r>
    </w:p>
    <w:p w14:paraId="468B0C75" w14:textId="3AA62819" w:rsidR="00104F58" w:rsidRDefault="00104F58" w:rsidP="00977E6B">
      <w:pPr>
        <w:ind w:right="136"/>
        <w:jc w:val="both"/>
        <w:rPr>
          <w:color w:val="17428B"/>
          <w:sz w:val="21"/>
          <w:szCs w:val="21"/>
          <w:lang w:val="pl-PL"/>
        </w:rPr>
      </w:pPr>
      <w:r w:rsidRPr="00230FD0">
        <w:rPr>
          <w:color w:val="17428B"/>
          <w:sz w:val="21"/>
          <w:szCs w:val="21"/>
          <w:lang w:val="pl-PL"/>
        </w:rPr>
        <w:t>Po sukcesie poprzedniego planu (</w:t>
      </w:r>
      <w:r>
        <w:rPr>
          <w:color w:val="17428B"/>
          <w:sz w:val="21"/>
          <w:szCs w:val="21"/>
          <w:lang w:val="pl-PL"/>
        </w:rPr>
        <w:t>„</w:t>
      </w:r>
      <w:r w:rsidRPr="00230FD0">
        <w:rPr>
          <w:color w:val="17428B"/>
          <w:sz w:val="21"/>
          <w:szCs w:val="21"/>
          <w:lang w:val="pl-PL"/>
        </w:rPr>
        <w:t>Grow&amp;Impact”)</w:t>
      </w:r>
      <w:r w:rsidR="00977E6B">
        <w:rPr>
          <w:color w:val="17428B"/>
          <w:sz w:val="21"/>
          <w:szCs w:val="21"/>
          <w:lang w:val="pl-PL"/>
        </w:rPr>
        <w:t xml:space="preserve"> </w:t>
      </w:r>
      <w:r w:rsidR="00977E6B">
        <w:rPr>
          <w:b/>
          <w:color w:val="17428B"/>
          <w:sz w:val="21"/>
          <w:szCs w:val="21"/>
          <w:lang w:val="pl-PL"/>
        </w:rPr>
        <w:t>–</w:t>
      </w:r>
      <w:r w:rsidR="00977E6B">
        <w:rPr>
          <w:color w:val="17428B"/>
          <w:sz w:val="21"/>
          <w:szCs w:val="21"/>
          <w:lang w:val="pl-PL"/>
        </w:rPr>
        <w:t xml:space="preserve"> </w:t>
      </w:r>
      <w:r w:rsidRPr="00230FD0">
        <w:rPr>
          <w:b/>
          <w:color w:val="17428B"/>
          <w:sz w:val="21"/>
          <w:szCs w:val="21"/>
          <w:lang w:val="pl-PL"/>
        </w:rPr>
        <w:t>Saint-Gobain, światowy lider w dziedzinie lekkiego i zrównoważonego budownictwa</w:t>
      </w:r>
      <w:r w:rsidR="00977E6B">
        <w:rPr>
          <w:b/>
          <w:color w:val="17428B"/>
          <w:sz w:val="21"/>
          <w:szCs w:val="21"/>
          <w:lang w:val="pl-PL"/>
        </w:rPr>
        <w:t xml:space="preserve"> –</w:t>
      </w:r>
      <w:r w:rsidRPr="00230FD0">
        <w:rPr>
          <w:b/>
          <w:color w:val="17428B"/>
          <w:sz w:val="21"/>
          <w:szCs w:val="21"/>
          <w:lang w:val="pl-PL"/>
        </w:rPr>
        <w:t xml:space="preserve"> ogłasza swój nowy plan strategiczny</w:t>
      </w:r>
      <w:r w:rsidRPr="00230FD0">
        <w:rPr>
          <w:b/>
          <w:color w:val="17428B"/>
          <w:spacing w:val="-6"/>
          <w:sz w:val="21"/>
          <w:szCs w:val="21"/>
          <w:lang w:val="pl-PL"/>
        </w:rPr>
        <w:t xml:space="preserve"> </w:t>
      </w:r>
      <w:r>
        <w:rPr>
          <w:b/>
          <w:color w:val="17428B"/>
          <w:sz w:val="21"/>
          <w:szCs w:val="21"/>
          <w:lang w:val="pl-PL"/>
        </w:rPr>
        <w:t>„</w:t>
      </w:r>
      <w:r w:rsidRPr="00230FD0">
        <w:rPr>
          <w:b/>
          <w:color w:val="17428B"/>
          <w:sz w:val="21"/>
          <w:szCs w:val="21"/>
          <w:lang w:val="pl-PL"/>
        </w:rPr>
        <w:t>Lead&amp;Grow”</w:t>
      </w:r>
      <w:r w:rsidRPr="00230FD0">
        <w:rPr>
          <w:color w:val="17428B"/>
          <w:sz w:val="21"/>
          <w:szCs w:val="21"/>
          <w:lang w:val="pl-PL"/>
        </w:rPr>
        <w:t>.</w:t>
      </w:r>
      <w:r w:rsidRPr="00230FD0">
        <w:rPr>
          <w:color w:val="17428B"/>
          <w:spacing w:val="-7"/>
          <w:sz w:val="21"/>
          <w:szCs w:val="21"/>
          <w:lang w:val="pl-PL"/>
        </w:rPr>
        <w:t xml:space="preserve"> </w:t>
      </w:r>
      <w:r w:rsidRPr="00230FD0">
        <w:rPr>
          <w:b/>
          <w:color w:val="17428B"/>
          <w:sz w:val="21"/>
          <w:szCs w:val="21"/>
          <w:lang w:val="pl-PL"/>
        </w:rPr>
        <w:t>Zajmując pierwsze miejsce w każdym regionie i bazując na modelu operacyjnym opartym na krajach</w:t>
      </w:r>
      <w:r w:rsidRPr="00230FD0">
        <w:rPr>
          <w:color w:val="17428B"/>
          <w:sz w:val="21"/>
          <w:szCs w:val="21"/>
          <w:lang w:val="pl-PL"/>
        </w:rPr>
        <w:t>, świetnie dostosowanym do specyfiki rynków lokalnych i zdeglobalizowanego świata,</w:t>
      </w:r>
      <w:r w:rsidRPr="00230FD0">
        <w:rPr>
          <w:color w:val="17428B"/>
          <w:spacing w:val="-16"/>
          <w:sz w:val="21"/>
          <w:szCs w:val="21"/>
          <w:lang w:val="pl-PL"/>
        </w:rPr>
        <w:t xml:space="preserve"> </w:t>
      </w:r>
      <w:r w:rsidRPr="005155FF">
        <w:rPr>
          <w:b/>
          <w:bCs/>
          <w:color w:val="17428B"/>
          <w:sz w:val="21"/>
          <w:szCs w:val="21"/>
          <w:lang w:val="pl-PL"/>
        </w:rPr>
        <w:t>Grupa</w:t>
      </w:r>
      <w:r w:rsidRPr="00230FD0">
        <w:rPr>
          <w:color w:val="17428B"/>
          <w:spacing w:val="-16"/>
          <w:sz w:val="21"/>
          <w:szCs w:val="21"/>
          <w:lang w:val="pl-PL"/>
        </w:rPr>
        <w:t xml:space="preserve"> </w:t>
      </w:r>
      <w:r w:rsidRPr="00230FD0">
        <w:rPr>
          <w:b/>
          <w:color w:val="17428B"/>
          <w:sz w:val="21"/>
          <w:szCs w:val="21"/>
          <w:lang w:val="pl-PL"/>
        </w:rPr>
        <w:t>podwyższa swoją trajektorię rentownego wzrostu</w:t>
      </w:r>
      <w:r w:rsidRPr="00230FD0">
        <w:rPr>
          <w:color w:val="17428B"/>
          <w:sz w:val="21"/>
          <w:szCs w:val="21"/>
          <w:lang w:val="pl-PL"/>
        </w:rPr>
        <w:t>, stawiając sobie za cel:</w:t>
      </w:r>
    </w:p>
    <w:p w14:paraId="2AFB97AC" w14:textId="77777777" w:rsidR="00104F58" w:rsidRPr="00230FD0" w:rsidRDefault="00104F58" w:rsidP="00977E6B">
      <w:pPr>
        <w:pStyle w:val="Akapitzlist"/>
        <w:numPr>
          <w:ilvl w:val="0"/>
          <w:numId w:val="5"/>
        </w:numPr>
        <w:tabs>
          <w:tab w:val="left" w:pos="1428"/>
        </w:tabs>
        <w:spacing w:before="212" w:line="237" w:lineRule="auto"/>
        <w:ind w:right="138"/>
        <w:jc w:val="both"/>
        <w:rPr>
          <w:b/>
          <w:sz w:val="21"/>
          <w:szCs w:val="21"/>
          <w:lang w:val="pl-PL"/>
        </w:rPr>
      </w:pPr>
      <w:r w:rsidRPr="00230FD0">
        <w:rPr>
          <w:b/>
          <w:color w:val="17428B"/>
          <w:sz w:val="21"/>
          <w:szCs w:val="21"/>
          <w:lang w:val="pl-PL"/>
        </w:rPr>
        <w:t xml:space="preserve">Osiągnięcie przewagi </w:t>
      </w:r>
      <w:r w:rsidRPr="00230FD0">
        <w:rPr>
          <w:color w:val="17428B"/>
          <w:sz w:val="21"/>
          <w:szCs w:val="21"/>
          <w:lang w:val="pl-PL"/>
        </w:rPr>
        <w:t xml:space="preserve">dzięki </w:t>
      </w:r>
      <w:r w:rsidRPr="00230FD0">
        <w:rPr>
          <w:b/>
          <w:color w:val="17428B"/>
          <w:sz w:val="21"/>
          <w:szCs w:val="21"/>
          <w:lang w:val="pl-PL"/>
        </w:rPr>
        <w:t>bezkonkurencyjnemu pakietowi rozwiązań</w:t>
      </w:r>
      <w:r w:rsidRPr="00230FD0">
        <w:rPr>
          <w:color w:val="17428B"/>
          <w:sz w:val="21"/>
          <w:szCs w:val="21"/>
          <w:lang w:val="pl-PL"/>
        </w:rPr>
        <w:t xml:space="preserve">, zapewniającemu budynkom wysoką efektywność i zrównoważoną charakterystykę oraz umożliwiającemu Grupie zwiększenie swojej ekspozycji na </w:t>
      </w:r>
      <w:r w:rsidRPr="00230FD0">
        <w:rPr>
          <w:b/>
          <w:color w:val="17428B"/>
          <w:sz w:val="21"/>
          <w:szCs w:val="21"/>
          <w:lang w:val="pl-PL"/>
        </w:rPr>
        <w:t>budownictwo niemieszkalne i infrastrukturalne</w:t>
      </w:r>
      <w:r w:rsidRPr="00230FD0">
        <w:rPr>
          <w:bCs/>
          <w:color w:val="17428B"/>
          <w:sz w:val="21"/>
          <w:szCs w:val="21"/>
          <w:lang w:val="pl-PL"/>
        </w:rPr>
        <w:t>.</w:t>
      </w:r>
    </w:p>
    <w:p w14:paraId="10F677E1" w14:textId="77777777" w:rsidR="00104F58" w:rsidRPr="00230FD0" w:rsidRDefault="00104F58" w:rsidP="00977E6B">
      <w:pPr>
        <w:pStyle w:val="Akapitzlist"/>
        <w:numPr>
          <w:ilvl w:val="0"/>
          <w:numId w:val="5"/>
        </w:numPr>
        <w:tabs>
          <w:tab w:val="left" w:pos="1428"/>
        </w:tabs>
        <w:spacing w:before="210" w:line="268" w:lineRule="exact"/>
        <w:jc w:val="both"/>
        <w:rPr>
          <w:b/>
          <w:color w:val="17428B"/>
          <w:sz w:val="21"/>
          <w:szCs w:val="21"/>
          <w:lang w:val="pl-PL"/>
        </w:rPr>
      </w:pPr>
      <w:r w:rsidRPr="00230FD0">
        <w:rPr>
          <w:b/>
          <w:bCs/>
          <w:color w:val="17428B"/>
          <w:sz w:val="21"/>
          <w:szCs w:val="21"/>
          <w:lang w:val="pl-PL"/>
        </w:rPr>
        <w:t>Strategię skoncentrowaną na wzroście i tworzeniu wartości</w:t>
      </w:r>
      <w:r w:rsidRPr="00230FD0">
        <w:rPr>
          <w:b/>
          <w:color w:val="17428B"/>
          <w:spacing w:val="-3"/>
          <w:sz w:val="21"/>
          <w:szCs w:val="21"/>
          <w:lang w:val="pl-PL"/>
        </w:rPr>
        <w:t xml:space="preserve"> </w:t>
      </w:r>
      <w:r w:rsidRPr="00230FD0">
        <w:rPr>
          <w:color w:val="17428B"/>
          <w:spacing w:val="-2"/>
          <w:sz w:val="21"/>
          <w:szCs w:val="21"/>
          <w:lang w:val="pl-PL"/>
        </w:rPr>
        <w:t>poprzez:</w:t>
      </w:r>
    </w:p>
    <w:p w14:paraId="2071801C" w14:textId="77777777" w:rsidR="00FA3D3B" w:rsidRPr="00FA3D3B" w:rsidRDefault="00104F58" w:rsidP="00977E6B">
      <w:pPr>
        <w:pStyle w:val="Akapitzlist"/>
        <w:numPr>
          <w:ilvl w:val="1"/>
          <w:numId w:val="5"/>
        </w:numPr>
        <w:tabs>
          <w:tab w:val="left" w:pos="2147"/>
        </w:tabs>
        <w:spacing w:line="262" w:lineRule="exact"/>
        <w:ind w:left="2147" w:hanging="359"/>
        <w:jc w:val="both"/>
        <w:rPr>
          <w:sz w:val="21"/>
          <w:szCs w:val="21"/>
          <w:lang w:val="pl-PL"/>
        </w:rPr>
      </w:pPr>
      <w:r w:rsidRPr="00230FD0">
        <w:rPr>
          <w:b/>
          <w:bCs/>
          <w:color w:val="17428B"/>
          <w:sz w:val="21"/>
          <w:szCs w:val="21"/>
          <w:lang w:val="pl-PL"/>
        </w:rPr>
        <w:t xml:space="preserve">nakłady inwestycyjne i przejęcia </w:t>
      </w:r>
      <w:r w:rsidRPr="00230FD0">
        <w:rPr>
          <w:color w:val="17428B"/>
          <w:sz w:val="21"/>
          <w:szCs w:val="21"/>
          <w:lang w:val="pl-PL"/>
        </w:rPr>
        <w:t xml:space="preserve">zorientowane na wzrost </w:t>
      </w:r>
      <w:r w:rsidRPr="00230FD0">
        <w:rPr>
          <w:b/>
          <w:bCs/>
          <w:color w:val="17428B"/>
          <w:sz w:val="21"/>
          <w:szCs w:val="21"/>
          <w:lang w:val="pl-PL"/>
        </w:rPr>
        <w:t>o wartości ok.</w:t>
      </w:r>
      <w:r w:rsidRPr="00230FD0">
        <w:rPr>
          <w:color w:val="17428B"/>
          <w:spacing w:val="-5"/>
          <w:sz w:val="21"/>
          <w:szCs w:val="21"/>
          <w:lang w:val="pl-PL"/>
        </w:rPr>
        <w:t xml:space="preserve"> </w:t>
      </w:r>
    </w:p>
    <w:p w14:paraId="5A61B6C6" w14:textId="4E3D4AF5" w:rsidR="00104F58" w:rsidRPr="00230FD0" w:rsidRDefault="00104F58" w:rsidP="00FA3D3B">
      <w:pPr>
        <w:pStyle w:val="Akapitzlist"/>
        <w:tabs>
          <w:tab w:val="left" w:pos="2147"/>
        </w:tabs>
        <w:spacing w:line="262" w:lineRule="exact"/>
        <w:ind w:left="2147" w:firstLine="0"/>
        <w:jc w:val="both"/>
        <w:rPr>
          <w:sz w:val="21"/>
          <w:szCs w:val="21"/>
          <w:lang w:val="pl-PL"/>
        </w:rPr>
      </w:pPr>
      <w:r w:rsidRPr="00230FD0">
        <w:rPr>
          <w:b/>
          <w:color w:val="17428B"/>
          <w:sz w:val="21"/>
          <w:szCs w:val="21"/>
          <w:lang w:val="pl-PL"/>
        </w:rPr>
        <w:t>12 mld EUR</w:t>
      </w:r>
      <w:r>
        <w:rPr>
          <w:rStyle w:val="Odwoanieprzypisudolnego"/>
          <w:b/>
          <w:color w:val="17428B"/>
          <w:sz w:val="21"/>
          <w:szCs w:val="21"/>
          <w:lang w:val="pl-PL"/>
        </w:rPr>
        <w:footnoteReference w:id="1"/>
      </w:r>
      <w:r>
        <w:rPr>
          <w:b/>
          <w:bCs/>
          <w:color w:val="17428B"/>
          <w:sz w:val="21"/>
          <w:szCs w:val="21"/>
          <w:lang w:val="pl-PL"/>
        </w:rPr>
        <w:t xml:space="preserve"> </w:t>
      </w:r>
      <w:r w:rsidRPr="00230FD0">
        <w:rPr>
          <w:color w:val="17428B"/>
          <w:sz w:val="21"/>
          <w:szCs w:val="21"/>
          <w:lang w:val="pl-PL"/>
        </w:rPr>
        <w:t>w latach</w:t>
      </w:r>
      <w:r w:rsidRPr="00230FD0">
        <w:rPr>
          <w:color w:val="17428B"/>
          <w:spacing w:val="-6"/>
          <w:sz w:val="21"/>
          <w:szCs w:val="21"/>
          <w:lang w:val="pl-PL"/>
        </w:rPr>
        <w:t xml:space="preserve"> </w:t>
      </w:r>
      <w:r w:rsidRPr="00230FD0">
        <w:rPr>
          <w:color w:val="17428B"/>
          <w:sz w:val="21"/>
          <w:szCs w:val="21"/>
          <w:lang w:val="pl-PL"/>
        </w:rPr>
        <w:t>2026–</w:t>
      </w:r>
      <w:r w:rsidRPr="00230FD0">
        <w:rPr>
          <w:color w:val="17428B"/>
          <w:spacing w:val="-4"/>
          <w:sz w:val="21"/>
          <w:szCs w:val="21"/>
          <w:lang w:val="pl-PL"/>
        </w:rPr>
        <w:t>2030</w:t>
      </w:r>
      <w:r>
        <w:rPr>
          <w:color w:val="17428B"/>
          <w:spacing w:val="-4"/>
          <w:sz w:val="21"/>
          <w:szCs w:val="21"/>
          <w:lang w:val="pl-PL"/>
        </w:rPr>
        <w:t>,</w:t>
      </w:r>
    </w:p>
    <w:p w14:paraId="71ADA112" w14:textId="77777777" w:rsidR="00104F58" w:rsidRPr="00230FD0" w:rsidRDefault="00104F58" w:rsidP="00977E6B">
      <w:pPr>
        <w:pStyle w:val="Akapitzlist"/>
        <w:numPr>
          <w:ilvl w:val="1"/>
          <w:numId w:val="5"/>
        </w:numPr>
        <w:tabs>
          <w:tab w:val="left" w:pos="2148"/>
        </w:tabs>
        <w:spacing w:before="4" w:line="223" w:lineRule="auto"/>
        <w:ind w:right="141"/>
        <w:jc w:val="both"/>
        <w:rPr>
          <w:sz w:val="21"/>
          <w:szCs w:val="21"/>
          <w:lang w:val="pl-PL"/>
        </w:rPr>
      </w:pPr>
      <w:r w:rsidRPr="00230FD0">
        <w:rPr>
          <w:color w:val="17428B"/>
          <w:sz w:val="21"/>
          <w:szCs w:val="21"/>
          <w:lang w:val="pl-PL"/>
        </w:rPr>
        <w:t>dalszą</w:t>
      </w:r>
      <w:r w:rsidRPr="00230FD0">
        <w:rPr>
          <w:color w:val="17428B"/>
          <w:spacing w:val="34"/>
          <w:sz w:val="21"/>
          <w:szCs w:val="21"/>
          <w:lang w:val="pl-PL"/>
        </w:rPr>
        <w:t xml:space="preserve"> </w:t>
      </w:r>
      <w:r w:rsidRPr="00230FD0">
        <w:rPr>
          <w:b/>
          <w:color w:val="17428B"/>
          <w:sz w:val="21"/>
          <w:szCs w:val="21"/>
          <w:lang w:val="pl-PL"/>
        </w:rPr>
        <w:t>optymalizację profilu</w:t>
      </w:r>
      <w:r w:rsidRPr="00230FD0">
        <w:rPr>
          <w:b/>
          <w:color w:val="17428B"/>
          <w:spacing w:val="31"/>
          <w:sz w:val="21"/>
          <w:szCs w:val="21"/>
          <w:lang w:val="pl-PL"/>
        </w:rPr>
        <w:t xml:space="preserve"> </w:t>
      </w:r>
      <w:r w:rsidRPr="00230FD0">
        <w:rPr>
          <w:b/>
          <w:color w:val="17428B"/>
          <w:sz w:val="21"/>
          <w:szCs w:val="21"/>
          <w:lang w:val="pl-PL"/>
        </w:rPr>
        <w:t>Grupy</w:t>
      </w:r>
      <w:r w:rsidRPr="00230FD0">
        <w:rPr>
          <w:b/>
          <w:color w:val="17428B"/>
          <w:spacing w:val="35"/>
          <w:sz w:val="21"/>
          <w:szCs w:val="21"/>
          <w:lang w:val="pl-PL"/>
        </w:rPr>
        <w:t xml:space="preserve"> </w:t>
      </w:r>
      <w:r w:rsidRPr="00230FD0">
        <w:rPr>
          <w:color w:val="17428B"/>
          <w:sz w:val="21"/>
          <w:szCs w:val="21"/>
          <w:lang w:val="pl-PL"/>
        </w:rPr>
        <w:t xml:space="preserve">z przewidywaną rotacją aktywów na poziomie ponad </w:t>
      </w:r>
      <w:r w:rsidRPr="00230FD0">
        <w:rPr>
          <w:b/>
          <w:color w:val="17428B"/>
          <w:sz w:val="21"/>
          <w:szCs w:val="21"/>
          <w:lang w:val="pl-PL"/>
        </w:rPr>
        <w:t xml:space="preserve">20% </w:t>
      </w:r>
      <w:r w:rsidRPr="00230FD0">
        <w:rPr>
          <w:color w:val="17428B"/>
          <w:sz w:val="21"/>
          <w:szCs w:val="21"/>
          <w:lang w:val="pl-PL"/>
        </w:rPr>
        <w:t>wartości sprzedaży do roku 2030.</w:t>
      </w:r>
    </w:p>
    <w:p w14:paraId="2D0912E5" w14:textId="77777777" w:rsidR="00104F58" w:rsidRPr="00230FD0" w:rsidRDefault="00104F58" w:rsidP="00977E6B">
      <w:pPr>
        <w:pStyle w:val="Akapitzlist"/>
        <w:numPr>
          <w:ilvl w:val="0"/>
          <w:numId w:val="5"/>
        </w:numPr>
        <w:tabs>
          <w:tab w:val="left" w:pos="1428"/>
        </w:tabs>
        <w:spacing w:before="209" w:line="268" w:lineRule="exact"/>
        <w:jc w:val="both"/>
        <w:rPr>
          <w:sz w:val="21"/>
          <w:szCs w:val="21"/>
          <w:lang w:val="pl-PL"/>
        </w:rPr>
      </w:pPr>
      <w:r w:rsidRPr="00230FD0">
        <w:rPr>
          <w:b/>
          <w:color w:val="17428B"/>
          <w:sz w:val="21"/>
          <w:szCs w:val="21"/>
          <w:lang w:val="pl-PL"/>
        </w:rPr>
        <w:t>Ambitną trajektorię finansową</w:t>
      </w:r>
      <w:r w:rsidRPr="00230FD0">
        <w:rPr>
          <w:b/>
          <w:color w:val="17428B"/>
          <w:spacing w:val="-6"/>
          <w:sz w:val="21"/>
          <w:szCs w:val="21"/>
          <w:lang w:val="pl-PL"/>
        </w:rPr>
        <w:t xml:space="preserve"> </w:t>
      </w:r>
      <w:r w:rsidRPr="00230FD0">
        <w:rPr>
          <w:color w:val="17428B"/>
          <w:sz w:val="21"/>
          <w:szCs w:val="21"/>
          <w:lang w:val="pl-PL"/>
        </w:rPr>
        <w:t>w latach 2026–2030 z podwyższonymi celami</w:t>
      </w:r>
      <w:r w:rsidRPr="00230FD0">
        <w:rPr>
          <w:color w:val="17428B"/>
          <w:spacing w:val="-2"/>
          <w:sz w:val="21"/>
          <w:szCs w:val="21"/>
          <w:lang w:val="pl-PL"/>
        </w:rPr>
        <w:t>:</w:t>
      </w:r>
    </w:p>
    <w:p w14:paraId="5026AFA3" w14:textId="1FBA0ADD" w:rsidR="00104F58" w:rsidRPr="00230FD0" w:rsidRDefault="00104F58" w:rsidP="00977E6B">
      <w:pPr>
        <w:pStyle w:val="Akapitzlist"/>
        <w:numPr>
          <w:ilvl w:val="1"/>
          <w:numId w:val="5"/>
        </w:numPr>
        <w:tabs>
          <w:tab w:val="left" w:pos="2147"/>
        </w:tabs>
        <w:spacing w:line="262" w:lineRule="exact"/>
        <w:ind w:left="2147" w:hanging="359"/>
        <w:jc w:val="both"/>
        <w:rPr>
          <w:sz w:val="21"/>
          <w:szCs w:val="21"/>
          <w:lang w:val="pl-PL"/>
        </w:rPr>
      </w:pPr>
      <w:r w:rsidRPr="00230FD0">
        <w:rPr>
          <w:b/>
          <w:color w:val="17428B"/>
          <w:sz w:val="21"/>
          <w:szCs w:val="21"/>
          <w:lang w:val="pl-PL"/>
        </w:rPr>
        <w:t>Wzrost sprzedaży na poziomie średniej wartości jednocyfrowej</w:t>
      </w:r>
      <w:r w:rsidR="00FA3D3B">
        <w:rPr>
          <w:b/>
          <w:color w:val="17428B"/>
          <w:spacing w:val="75"/>
          <w:sz w:val="21"/>
          <w:szCs w:val="21"/>
          <w:lang w:val="pl-PL"/>
        </w:rPr>
        <w:t xml:space="preserve"> </w:t>
      </w:r>
      <w:r w:rsidRPr="00230FD0">
        <w:rPr>
          <w:color w:val="17428B"/>
          <w:sz w:val="21"/>
          <w:szCs w:val="21"/>
          <w:lang w:val="pl-PL"/>
        </w:rPr>
        <w:t>w walutach lokalnych</w:t>
      </w:r>
      <w:r>
        <w:rPr>
          <w:rStyle w:val="Odwoanieprzypisudolnego"/>
          <w:color w:val="17428B"/>
          <w:sz w:val="21"/>
          <w:szCs w:val="21"/>
          <w:lang w:val="pl-PL"/>
        </w:rPr>
        <w:footnoteReference w:id="2"/>
      </w:r>
      <w:r w:rsidRPr="00230FD0">
        <w:rPr>
          <w:color w:val="17428B"/>
          <w:spacing w:val="75"/>
          <w:sz w:val="21"/>
          <w:szCs w:val="21"/>
          <w:lang w:val="pl-PL"/>
        </w:rPr>
        <w:t>,</w:t>
      </w:r>
      <w:r w:rsidRPr="00230FD0">
        <w:rPr>
          <w:b/>
          <w:color w:val="17428B"/>
          <w:sz w:val="21"/>
          <w:szCs w:val="21"/>
          <w:lang w:val="pl-PL"/>
        </w:rPr>
        <w:t xml:space="preserve"> o</w:t>
      </w:r>
      <w:r w:rsidRPr="00230FD0">
        <w:rPr>
          <w:b/>
          <w:color w:val="17428B"/>
          <w:spacing w:val="-3"/>
          <w:sz w:val="21"/>
          <w:szCs w:val="21"/>
          <w:lang w:val="pl-PL"/>
        </w:rPr>
        <w:t xml:space="preserve"> </w:t>
      </w:r>
      <w:r w:rsidRPr="00230FD0">
        <w:rPr>
          <w:b/>
          <w:color w:val="17428B"/>
          <w:sz w:val="21"/>
          <w:szCs w:val="21"/>
          <w:lang w:val="pl-PL"/>
        </w:rPr>
        <w:t>1</w:t>
      </w:r>
      <w:r w:rsidRPr="00230FD0">
        <w:rPr>
          <w:b/>
          <w:color w:val="17428B"/>
          <w:spacing w:val="-4"/>
          <w:sz w:val="21"/>
          <w:szCs w:val="21"/>
          <w:lang w:val="pl-PL"/>
        </w:rPr>
        <w:t xml:space="preserve">- </w:t>
      </w:r>
      <w:r w:rsidRPr="00230FD0">
        <w:rPr>
          <w:b/>
          <w:color w:val="17428B"/>
          <w:sz w:val="21"/>
          <w:szCs w:val="21"/>
          <w:lang w:val="pl-PL"/>
        </w:rPr>
        <w:t>2</w:t>
      </w:r>
      <w:r w:rsidRPr="00230FD0">
        <w:rPr>
          <w:b/>
          <w:color w:val="17428B"/>
          <w:spacing w:val="-1"/>
          <w:sz w:val="21"/>
          <w:szCs w:val="21"/>
          <w:lang w:val="pl-PL"/>
        </w:rPr>
        <w:t xml:space="preserve"> </w:t>
      </w:r>
      <w:r w:rsidRPr="00230FD0">
        <w:rPr>
          <w:b/>
          <w:color w:val="17428B"/>
          <w:spacing w:val="-2"/>
          <w:sz w:val="21"/>
          <w:szCs w:val="21"/>
          <w:lang w:val="pl-PL"/>
        </w:rPr>
        <w:t>punkty procentowe ponad wzrost rynku.</w:t>
      </w:r>
    </w:p>
    <w:p w14:paraId="772CCEE3" w14:textId="5E17CC48" w:rsidR="00104F58" w:rsidRPr="00230FD0" w:rsidRDefault="00104F58" w:rsidP="00977E6B">
      <w:pPr>
        <w:pStyle w:val="Akapitzlist"/>
        <w:numPr>
          <w:ilvl w:val="1"/>
          <w:numId w:val="5"/>
        </w:numPr>
        <w:tabs>
          <w:tab w:val="left" w:pos="2147"/>
        </w:tabs>
        <w:spacing w:line="263" w:lineRule="exact"/>
        <w:ind w:left="2147" w:hanging="359"/>
        <w:jc w:val="both"/>
        <w:rPr>
          <w:sz w:val="21"/>
          <w:szCs w:val="21"/>
          <w:lang w:val="pl-PL"/>
        </w:rPr>
      </w:pPr>
      <w:r w:rsidRPr="00230FD0">
        <w:rPr>
          <w:b/>
          <w:color w:val="17428B"/>
          <w:sz w:val="21"/>
          <w:szCs w:val="21"/>
          <w:lang w:val="pl-PL"/>
        </w:rPr>
        <w:t>Marża zysku EBITDA w przedziale</w:t>
      </w:r>
      <w:r w:rsidRPr="00230FD0">
        <w:rPr>
          <w:b/>
          <w:color w:val="17428B"/>
          <w:spacing w:val="-3"/>
          <w:sz w:val="21"/>
          <w:szCs w:val="21"/>
          <w:lang w:val="pl-PL"/>
        </w:rPr>
        <w:t xml:space="preserve"> </w:t>
      </w:r>
      <w:r w:rsidRPr="00230FD0">
        <w:rPr>
          <w:b/>
          <w:color w:val="17428B"/>
          <w:sz w:val="21"/>
          <w:szCs w:val="21"/>
          <w:lang w:val="pl-PL"/>
        </w:rPr>
        <w:t>15%</w:t>
      </w:r>
      <w:r w:rsidRPr="00230FD0">
        <w:rPr>
          <w:b/>
          <w:color w:val="17428B"/>
          <w:spacing w:val="-6"/>
          <w:sz w:val="21"/>
          <w:szCs w:val="21"/>
          <w:lang w:val="pl-PL"/>
        </w:rPr>
        <w:t xml:space="preserve"> </w:t>
      </w:r>
      <w:r w:rsidRPr="00230FD0">
        <w:rPr>
          <w:b/>
          <w:color w:val="17428B"/>
          <w:sz w:val="21"/>
          <w:szCs w:val="21"/>
          <w:lang w:val="pl-PL"/>
        </w:rPr>
        <w:t>do</w:t>
      </w:r>
      <w:r w:rsidRPr="00230FD0">
        <w:rPr>
          <w:b/>
          <w:color w:val="17428B"/>
          <w:spacing w:val="-3"/>
          <w:sz w:val="21"/>
          <w:szCs w:val="21"/>
          <w:lang w:val="pl-PL"/>
        </w:rPr>
        <w:t xml:space="preserve"> </w:t>
      </w:r>
      <w:r w:rsidRPr="00230FD0">
        <w:rPr>
          <w:b/>
          <w:color w:val="17428B"/>
          <w:spacing w:val="-4"/>
          <w:sz w:val="21"/>
          <w:szCs w:val="21"/>
          <w:lang w:val="pl-PL"/>
        </w:rPr>
        <w:t>18%</w:t>
      </w:r>
      <w:r>
        <w:rPr>
          <w:rStyle w:val="Odwoanieprzypisudolnego"/>
          <w:b/>
          <w:color w:val="17428B"/>
          <w:spacing w:val="-4"/>
          <w:sz w:val="21"/>
          <w:szCs w:val="21"/>
          <w:lang w:val="pl-PL"/>
        </w:rPr>
        <w:footnoteReference w:id="3"/>
      </w:r>
      <w:r w:rsidRPr="00A3574D">
        <w:rPr>
          <w:lang w:val="pl-PL"/>
        </w:rPr>
        <w:t>.</w:t>
      </w:r>
    </w:p>
    <w:p w14:paraId="0D09D008" w14:textId="77777777" w:rsidR="00104F58" w:rsidRPr="00A3574D" w:rsidRDefault="00104F58" w:rsidP="00977E6B">
      <w:pPr>
        <w:pStyle w:val="Akapitzlist"/>
        <w:numPr>
          <w:ilvl w:val="1"/>
          <w:numId w:val="5"/>
        </w:numPr>
        <w:tabs>
          <w:tab w:val="left" w:pos="2147"/>
        </w:tabs>
        <w:spacing w:line="253" w:lineRule="exact"/>
        <w:ind w:left="2147" w:hanging="359"/>
        <w:jc w:val="both"/>
        <w:rPr>
          <w:b/>
          <w:sz w:val="21"/>
          <w:szCs w:val="21"/>
        </w:rPr>
      </w:pPr>
      <w:r w:rsidRPr="00A3574D">
        <w:rPr>
          <w:b/>
          <w:color w:val="17428B"/>
          <w:sz w:val="21"/>
          <w:szCs w:val="21"/>
        </w:rPr>
        <w:t>Wskaźnik gotówki (</w:t>
      </w:r>
      <w:r w:rsidRPr="00A3574D">
        <w:rPr>
          <w:b/>
          <w:i/>
          <w:iCs/>
          <w:color w:val="17428B"/>
          <w:sz w:val="21"/>
          <w:szCs w:val="21"/>
        </w:rPr>
        <w:t>Free</w:t>
      </w:r>
      <w:r w:rsidRPr="00A3574D">
        <w:rPr>
          <w:b/>
          <w:i/>
          <w:iCs/>
          <w:color w:val="17428B"/>
          <w:spacing w:val="-4"/>
          <w:sz w:val="21"/>
          <w:szCs w:val="21"/>
        </w:rPr>
        <w:t xml:space="preserve"> </w:t>
      </w:r>
      <w:r w:rsidRPr="00A3574D">
        <w:rPr>
          <w:b/>
          <w:i/>
          <w:iCs/>
          <w:color w:val="17428B"/>
          <w:sz w:val="21"/>
          <w:szCs w:val="21"/>
        </w:rPr>
        <w:t>cash</w:t>
      </w:r>
      <w:r w:rsidRPr="00A3574D">
        <w:rPr>
          <w:b/>
          <w:i/>
          <w:iCs/>
          <w:color w:val="17428B"/>
          <w:spacing w:val="-6"/>
          <w:sz w:val="21"/>
          <w:szCs w:val="21"/>
        </w:rPr>
        <w:t xml:space="preserve"> </w:t>
      </w:r>
      <w:r w:rsidRPr="00A3574D">
        <w:rPr>
          <w:b/>
          <w:i/>
          <w:iCs/>
          <w:color w:val="17428B"/>
          <w:sz w:val="21"/>
          <w:szCs w:val="21"/>
        </w:rPr>
        <w:t>flow</w:t>
      </w:r>
      <w:r w:rsidRPr="00A3574D">
        <w:rPr>
          <w:b/>
          <w:i/>
          <w:iCs/>
          <w:color w:val="17428B"/>
          <w:spacing w:val="-5"/>
          <w:sz w:val="21"/>
          <w:szCs w:val="21"/>
        </w:rPr>
        <w:t xml:space="preserve"> </w:t>
      </w:r>
      <w:r w:rsidRPr="00A3574D">
        <w:rPr>
          <w:b/>
          <w:i/>
          <w:iCs/>
          <w:color w:val="17428B"/>
          <w:sz w:val="21"/>
          <w:szCs w:val="21"/>
        </w:rPr>
        <w:t>conversion</w:t>
      </w:r>
      <w:r w:rsidRPr="00A3574D">
        <w:rPr>
          <w:b/>
          <w:i/>
          <w:iCs/>
          <w:color w:val="17428B"/>
          <w:spacing w:val="-4"/>
          <w:sz w:val="21"/>
          <w:szCs w:val="21"/>
        </w:rPr>
        <w:t xml:space="preserve"> </w:t>
      </w:r>
      <w:r w:rsidRPr="00A3574D">
        <w:rPr>
          <w:b/>
          <w:i/>
          <w:iCs/>
          <w:color w:val="17428B"/>
          <w:sz w:val="21"/>
          <w:szCs w:val="21"/>
        </w:rPr>
        <w:t>ratio</w:t>
      </w:r>
      <w:r w:rsidRPr="00A3574D">
        <w:rPr>
          <w:b/>
          <w:color w:val="17428B"/>
          <w:sz w:val="21"/>
          <w:szCs w:val="21"/>
        </w:rPr>
        <w:t>)</w:t>
      </w:r>
      <w:r w:rsidRPr="00A3574D">
        <w:rPr>
          <w:b/>
          <w:color w:val="17428B"/>
          <w:spacing w:val="-6"/>
          <w:sz w:val="21"/>
          <w:szCs w:val="21"/>
        </w:rPr>
        <w:t xml:space="preserve"> </w:t>
      </w:r>
      <w:r w:rsidRPr="00A3574D">
        <w:rPr>
          <w:b/>
          <w:color w:val="17428B"/>
          <w:sz w:val="21"/>
          <w:szCs w:val="21"/>
        </w:rPr>
        <w:t>powyżej</w:t>
      </w:r>
      <w:r w:rsidRPr="00A3574D">
        <w:rPr>
          <w:b/>
          <w:color w:val="17428B"/>
          <w:spacing w:val="-5"/>
          <w:sz w:val="21"/>
          <w:szCs w:val="21"/>
        </w:rPr>
        <w:t xml:space="preserve"> 50%.</w:t>
      </w:r>
    </w:p>
    <w:p w14:paraId="4C7E763B" w14:textId="77777777" w:rsidR="00104F58" w:rsidRPr="00230FD0" w:rsidRDefault="00104F58" w:rsidP="00977E6B">
      <w:pPr>
        <w:pStyle w:val="Akapitzlist"/>
        <w:numPr>
          <w:ilvl w:val="1"/>
          <w:numId w:val="5"/>
        </w:numPr>
        <w:tabs>
          <w:tab w:val="left" w:pos="2147"/>
        </w:tabs>
        <w:spacing w:line="262" w:lineRule="exact"/>
        <w:ind w:left="2147" w:hanging="359"/>
        <w:jc w:val="both"/>
        <w:rPr>
          <w:b/>
          <w:sz w:val="21"/>
          <w:szCs w:val="21"/>
          <w:lang w:val="pl-PL"/>
        </w:rPr>
      </w:pPr>
      <w:r w:rsidRPr="00230FD0">
        <w:rPr>
          <w:b/>
          <w:color w:val="17428B"/>
          <w:sz w:val="21"/>
          <w:szCs w:val="21"/>
          <w:lang w:val="pl-PL"/>
        </w:rPr>
        <w:t>Wskaźnik rentowności zaangażowanego kapitału (ROCE)</w:t>
      </w:r>
      <w:r w:rsidRPr="00230FD0">
        <w:rPr>
          <w:b/>
          <w:color w:val="17428B"/>
          <w:spacing w:val="-4"/>
          <w:sz w:val="21"/>
          <w:szCs w:val="21"/>
          <w:lang w:val="pl-PL"/>
        </w:rPr>
        <w:t xml:space="preserve"> powyżej </w:t>
      </w:r>
      <w:r w:rsidRPr="00230FD0">
        <w:rPr>
          <w:b/>
          <w:color w:val="17428B"/>
          <w:spacing w:val="-5"/>
          <w:sz w:val="21"/>
          <w:szCs w:val="21"/>
          <w:lang w:val="pl-PL"/>
        </w:rPr>
        <w:t>13%.</w:t>
      </w:r>
    </w:p>
    <w:p w14:paraId="21AD9358" w14:textId="2A74BC61" w:rsidR="00104F58" w:rsidRPr="00104F58" w:rsidRDefault="00104F58" w:rsidP="00977E6B">
      <w:pPr>
        <w:pStyle w:val="Akapitzlist"/>
        <w:numPr>
          <w:ilvl w:val="0"/>
          <w:numId w:val="5"/>
        </w:numPr>
        <w:tabs>
          <w:tab w:val="left" w:pos="1428"/>
        </w:tabs>
        <w:spacing w:before="190" w:line="237" w:lineRule="auto"/>
        <w:ind w:right="140"/>
        <w:jc w:val="both"/>
        <w:rPr>
          <w:sz w:val="21"/>
          <w:szCs w:val="21"/>
          <w:lang w:val="pl-PL"/>
        </w:rPr>
      </w:pPr>
      <w:r w:rsidRPr="00230FD0">
        <w:rPr>
          <w:b/>
          <w:color w:val="17428B"/>
          <w:sz w:val="21"/>
          <w:szCs w:val="21"/>
          <w:lang w:val="pl-PL"/>
        </w:rPr>
        <w:t xml:space="preserve">Atrakcyjne zyski dla akcjonariuszy </w:t>
      </w:r>
      <w:r w:rsidRPr="00230FD0">
        <w:rPr>
          <w:color w:val="17428B"/>
          <w:sz w:val="21"/>
          <w:szCs w:val="21"/>
          <w:lang w:val="pl-PL"/>
        </w:rPr>
        <w:t xml:space="preserve">z przewidywaną kwotą rzędu </w:t>
      </w:r>
      <w:r w:rsidRPr="00230FD0">
        <w:rPr>
          <w:b/>
          <w:color w:val="17428B"/>
          <w:sz w:val="21"/>
          <w:szCs w:val="21"/>
          <w:lang w:val="pl-PL"/>
        </w:rPr>
        <w:t xml:space="preserve">8 mld EUR </w:t>
      </w:r>
      <w:r w:rsidRPr="00230FD0">
        <w:rPr>
          <w:color w:val="17428B"/>
          <w:sz w:val="21"/>
          <w:szCs w:val="21"/>
          <w:lang w:val="pl-PL"/>
        </w:rPr>
        <w:t>do wypłaty w formie dywidend i wykupu akcji do 2030 r</w:t>
      </w:r>
      <w:r>
        <w:rPr>
          <w:color w:val="17428B"/>
          <w:sz w:val="21"/>
          <w:szCs w:val="21"/>
          <w:lang w:val="pl-PL"/>
        </w:rPr>
        <w:t>oku</w:t>
      </w:r>
      <w:r w:rsidRPr="00230FD0">
        <w:rPr>
          <w:color w:val="17428B"/>
          <w:sz w:val="21"/>
          <w:szCs w:val="21"/>
          <w:lang w:val="pl-PL"/>
        </w:rPr>
        <w:t>.</w:t>
      </w:r>
    </w:p>
    <w:p w14:paraId="4CFD45E0" w14:textId="77777777" w:rsidR="00104F58" w:rsidRDefault="00104F58" w:rsidP="00977E6B">
      <w:pPr>
        <w:jc w:val="both"/>
        <w:rPr>
          <w:rFonts w:ascii="Arial" w:eastAsia="Arial" w:hAnsi="Arial" w:cs="Arial"/>
          <w:b/>
          <w:color w:val="67B8AF"/>
          <w:sz w:val="21"/>
          <w:szCs w:val="21"/>
          <w:lang w:val="pl-PL"/>
        </w:rPr>
      </w:pPr>
    </w:p>
    <w:p w14:paraId="3E2B1574" w14:textId="5B6BADF4" w:rsidR="00104F58" w:rsidRDefault="00104F58" w:rsidP="00977E6B">
      <w:pPr>
        <w:jc w:val="both"/>
        <w:rPr>
          <w:lang w:val="pl-PL"/>
        </w:rPr>
      </w:pPr>
      <w:r w:rsidRPr="00104F58">
        <w:rPr>
          <w:rFonts w:ascii="Arial" w:eastAsia="Arial" w:hAnsi="Arial" w:cs="Arial"/>
          <w:b/>
          <w:color w:val="67B8AF"/>
          <w:sz w:val="21"/>
          <w:szCs w:val="21"/>
          <w:lang w:val="pl-PL"/>
        </w:rPr>
        <w:t>Benoit Bazin, Prezes i CEO, komentuje:</w:t>
      </w:r>
    </w:p>
    <w:p w14:paraId="46C41EF5" w14:textId="0006BFFE" w:rsidR="00104F58" w:rsidRPr="00230FD0" w:rsidRDefault="00104F58" w:rsidP="00977E6B">
      <w:pPr>
        <w:ind w:right="136"/>
        <w:jc w:val="both"/>
        <w:rPr>
          <w:i/>
          <w:color w:val="17428B"/>
          <w:sz w:val="20"/>
          <w:szCs w:val="20"/>
          <w:lang w:val="pl-PL"/>
        </w:rPr>
      </w:pPr>
      <w:r w:rsidRPr="00230FD0">
        <w:rPr>
          <w:i/>
          <w:color w:val="17428B"/>
          <w:sz w:val="20"/>
          <w:szCs w:val="20"/>
          <w:lang w:val="pl-PL"/>
        </w:rPr>
        <w:t>Jako światowy lider w dziedzinie lekkiego i zrównoważonego budownictwa, Saint-Gobain znajduje się</w:t>
      </w:r>
      <w:r w:rsidR="00FA3D3B">
        <w:rPr>
          <w:i/>
          <w:color w:val="17428B"/>
          <w:sz w:val="20"/>
          <w:szCs w:val="20"/>
          <w:lang w:val="pl-PL"/>
        </w:rPr>
        <w:t xml:space="preserve"> w </w:t>
      </w:r>
      <w:r w:rsidRPr="00230FD0">
        <w:rPr>
          <w:i/>
          <w:color w:val="17428B"/>
          <w:sz w:val="20"/>
          <w:szCs w:val="20"/>
          <w:lang w:val="pl-PL"/>
        </w:rPr>
        <w:t xml:space="preserve">optymalnej pozycji, aby sprostać </w:t>
      </w:r>
      <w:r>
        <w:rPr>
          <w:i/>
          <w:color w:val="17428B"/>
          <w:sz w:val="20"/>
          <w:szCs w:val="20"/>
          <w:lang w:val="pl-PL"/>
        </w:rPr>
        <w:t>największym</w:t>
      </w:r>
      <w:r w:rsidRPr="00230FD0">
        <w:rPr>
          <w:i/>
          <w:color w:val="17428B"/>
          <w:sz w:val="20"/>
          <w:szCs w:val="20"/>
          <w:lang w:val="pl-PL"/>
        </w:rPr>
        <w:t xml:space="preserve"> wyzwaniom sektora budowlanego dzięki pełnej gamie innowacyjnych i zrównoważonych rozwiązań. W ciągu ostatnich kilku lat Grupa udowodniła siłę swojego nowego profilu i zdolność do realizacji planu strategicznego „Grow&amp;Impact”. Wraz z planem „Lead&amp;Grow”</w:t>
      </w:r>
      <w:r>
        <w:rPr>
          <w:i/>
          <w:color w:val="17428B"/>
          <w:sz w:val="20"/>
          <w:szCs w:val="20"/>
          <w:lang w:val="pl-PL"/>
        </w:rPr>
        <w:t xml:space="preserve"> </w:t>
      </w:r>
      <w:r w:rsidRPr="00230FD0">
        <w:rPr>
          <w:i/>
          <w:color w:val="17428B"/>
          <w:sz w:val="20"/>
          <w:szCs w:val="20"/>
          <w:lang w:val="pl-PL"/>
        </w:rPr>
        <w:t>podnosimy jeszcze wyżej poprzeczkę w zakresie wzrostu, rentowności i tworzenia wartości dla swoich akcjonariuszy i klientów. W obecnej sytuacji geopolitycznej Saint-Gobain korzysta z potężnego modelu operacyjnego, który został opracowany i zoptymalizowany dla poszczególnych krajów w oparciu o lokalne łańcuchy wartości.</w:t>
      </w:r>
    </w:p>
    <w:p w14:paraId="1345B2EE" w14:textId="77777777" w:rsidR="00104F58" w:rsidRDefault="00104F58" w:rsidP="00977E6B">
      <w:pPr>
        <w:spacing w:before="1"/>
        <w:ind w:right="137"/>
        <w:jc w:val="both"/>
        <w:rPr>
          <w:i/>
          <w:color w:val="17428B"/>
          <w:sz w:val="20"/>
          <w:szCs w:val="20"/>
          <w:lang w:val="pl-PL"/>
        </w:rPr>
      </w:pPr>
      <w:r w:rsidRPr="00230FD0">
        <w:rPr>
          <w:i/>
          <w:color w:val="17428B"/>
          <w:sz w:val="20"/>
          <w:szCs w:val="20"/>
          <w:lang w:val="pl-PL"/>
        </w:rPr>
        <w:t xml:space="preserve">Jestem przekonany, że dzięki wiedzy i zaangażowaniu naszych zespołów osiągniemy ponadprzeciętne wyniki w każdym regionie geograficznym i wykorzystamy najważniejsze szanse: w Azji i krajach o wysokim </w:t>
      </w:r>
      <w:r w:rsidRPr="00230FD0">
        <w:rPr>
          <w:i/>
          <w:color w:val="17428B"/>
          <w:sz w:val="20"/>
          <w:szCs w:val="20"/>
          <w:lang w:val="pl-PL"/>
        </w:rPr>
        <w:lastRenderedPageBreak/>
        <w:t xml:space="preserve">wzroście gospodarczym, stymulowanym przez demografię i urbanizację, w Ameryce Północnej, gdzie występują duże potrzeby strukturalne, oraz w Europie, gdzie istnieje znaczny potencjał ożywienia gospodarczego. Będziemy również rozszerzać działalność o nowe rosnące rynki: budownictwa infrastrukturalnego, szczególnie dzięki naszej ugruntowanej pozycji lidera w dziedzinie chemii budowlanej, oraz sektora niemieszkalnego, w którym Grupa posiada </w:t>
      </w:r>
      <w:r w:rsidRPr="00104F58">
        <w:rPr>
          <w:i/>
          <w:color w:val="17428B"/>
          <w:sz w:val="20"/>
          <w:szCs w:val="20"/>
          <w:lang w:val="pl-PL"/>
        </w:rPr>
        <w:t>kluczowe</w:t>
      </w:r>
      <w:r w:rsidRPr="00230FD0">
        <w:rPr>
          <w:i/>
          <w:color w:val="17428B"/>
          <w:sz w:val="20"/>
          <w:szCs w:val="20"/>
          <w:lang w:val="pl-PL"/>
        </w:rPr>
        <w:t xml:space="preserve"> atuty. Budujemy świat dnia dzisiejszego i jutra z ambicjami i odpowiedzialnością.</w:t>
      </w:r>
    </w:p>
    <w:p w14:paraId="4EF97E6D" w14:textId="3D0711BF" w:rsidR="00104F58" w:rsidRPr="00A3574D" w:rsidRDefault="00104F58" w:rsidP="00977E6B">
      <w:pPr>
        <w:jc w:val="both"/>
        <w:rPr>
          <w:lang w:val="pl-PL"/>
        </w:rPr>
      </w:pPr>
      <w:bookmarkStart w:id="0" w:name="_Hlk210813270"/>
      <w:bookmarkStart w:id="1" w:name="_Hlk210813271"/>
      <w:bookmarkStart w:id="2" w:name="_Hlk210813274"/>
      <w:bookmarkStart w:id="3" w:name="_Hlk210813275"/>
      <w:bookmarkStart w:id="4" w:name="_Hlk210813276"/>
      <w:bookmarkStart w:id="5" w:name="_Hlk210813277"/>
      <w:bookmarkStart w:id="6" w:name="_Hlk210813278"/>
      <w:bookmarkStart w:id="7" w:name="_Hlk210813279"/>
      <w:r>
        <w:rPr>
          <w:rFonts w:eastAsia="MS Gothic" w:cs="Arial (Headings)"/>
          <w:b/>
          <w:noProof/>
          <w:color w:val="219CDC"/>
          <w:sz w:val="28"/>
          <w:szCs w:val="34"/>
          <w:lang w:val="pl-PL"/>
          <w14:textFill>
            <w14:gradFill>
              <w14:gsLst>
                <w14:gs w14:pos="50000">
                  <w14:srgbClr w14:val="219CDC"/>
                </w14:gs>
                <w14:gs w14:pos="0">
                  <w14:srgbClr w14:val="17428C"/>
                </w14:gs>
                <w14:gs w14:pos="100000">
                  <w14:srgbClr w14:val="67B9B0"/>
                </w14:gs>
              </w14:gsLst>
              <w14:lin w14:ang="0" w14:scaled="0"/>
            </w14:gradFill>
          </w14:textFill>
        </w:rPr>
        <w:t>Nr 1 na świecie w dziedzinie lekkiego i zrównoważonego</w:t>
      </w:r>
      <w:r>
        <w:rPr>
          <w:rFonts w:eastAsia="MS Gothic" w:cs="Arial (Headings)"/>
          <w:b/>
          <w:noProof/>
          <w:color w:val="219CDC"/>
          <w:sz w:val="28"/>
          <w:szCs w:val="34"/>
          <w:lang w:val="pl-PL"/>
          <w14:textFill>
            <w14:gradFill>
              <w14:gsLst>
                <w14:gs w14:pos="50000">
                  <w14:srgbClr w14:val="219CDC"/>
                </w14:gs>
                <w14:gs w14:pos="0">
                  <w14:srgbClr w14:val="17428C"/>
                </w14:gs>
                <w14:gs w14:pos="100000">
                  <w14:srgbClr w14:val="67B9B0"/>
                </w14:gs>
              </w14:gsLst>
              <w14:lin w14:ang="0" w14:scaled="0"/>
            </w14:gradFill>
          </w14:textFill>
        </w:rPr>
        <w:t xml:space="preserve"> </w:t>
      </w:r>
      <w:r>
        <w:rPr>
          <w:rFonts w:eastAsia="MS Gothic" w:cs="Arial (Headings)"/>
          <w:b/>
          <w:noProof/>
          <w:color w:val="219CDC"/>
          <w:sz w:val="28"/>
          <w:szCs w:val="34"/>
          <w:lang w:val="pl-PL"/>
          <w14:textFill>
            <w14:gradFill>
              <w14:gsLst>
                <w14:gs w14:pos="50000">
                  <w14:srgbClr w14:val="219CDC"/>
                </w14:gs>
                <w14:gs w14:pos="0">
                  <w14:srgbClr w14:val="17428C"/>
                </w14:gs>
                <w14:gs w14:pos="100000">
                  <w14:srgbClr w14:val="67B9B0"/>
                </w14:gs>
              </w14:gsLst>
              <w14:lin w14:ang="0" w14:scaled="0"/>
            </w14:gradFill>
          </w14:textFill>
        </w:rPr>
        <w:t>budownictwa…</w:t>
      </w:r>
      <w:bookmarkEnd w:id="0"/>
      <w:bookmarkEnd w:id="1"/>
      <w:bookmarkEnd w:id="2"/>
      <w:bookmarkEnd w:id="3"/>
      <w:bookmarkEnd w:id="4"/>
      <w:bookmarkEnd w:id="5"/>
      <w:bookmarkEnd w:id="6"/>
      <w:bookmarkEnd w:id="7"/>
    </w:p>
    <w:p w14:paraId="71E4F681" w14:textId="639FF0CC" w:rsidR="00104F58" w:rsidRPr="00230FD0" w:rsidRDefault="00104F58" w:rsidP="00977E6B">
      <w:pPr>
        <w:ind w:right="136"/>
        <w:jc w:val="both"/>
        <w:rPr>
          <w:sz w:val="21"/>
          <w:szCs w:val="21"/>
          <w:lang w:val="pl-PL"/>
        </w:rPr>
      </w:pPr>
      <w:r w:rsidRPr="00230FD0">
        <w:rPr>
          <w:b/>
          <w:color w:val="17428B"/>
          <w:sz w:val="21"/>
          <w:szCs w:val="21"/>
          <w:lang w:val="pl-PL"/>
        </w:rPr>
        <w:t xml:space="preserve">Saint-Gobain jest jedyną firmą oferującą kompleksowy zestaw rozwiązań optymalizujących efektywność i </w:t>
      </w:r>
      <w:r>
        <w:rPr>
          <w:b/>
          <w:color w:val="17428B"/>
          <w:sz w:val="21"/>
          <w:szCs w:val="21"/>
          <w:lang w:val="pl-PL"/>
        </w:rPr>
        <w:t xml:space="preserve">orientację na zrównoważony rozwój </w:t>
      </w:r>
      <w:r w:rsidRPr="00230FD0">
        <w:rPr>
          <w:b/>
          <w:color w:val="17428B"/>
          <w:sz w:val="21"/>
          <w:szCs w:val="21"/>
          <w:lang w:val="pl-PL"/>
        </w:rPr>
        <w:t>w sektorze nowego budownictwa</w:t>
      </w:r>
      <w:r w:rsidR="00FA3D3B">
        <w:rPr>
          <w:b/>
          <w:color w:val="17428B"/>
          <w:sz w:val="21"/>
          <w:szCs w:val="21"/>
          <w:lang w:val="pl-PL"/>
        </w:rPr>
        <w:t xml:space="preserve"> i </w:t>
      </w:r>
      <w:r w:rsidRPr="00230FD0">
        <w:rPr>
          <w:b/>
          <w:color w:val="17428B"/>
          <w:sz w:val="21"/>
          <w:szCs w:val="21"/>
          <w:lang w:val="pl-PL"/>
        </w:rPr>
        <w:t>remontów, a także infrastruktury.</w:t>
      </w:r>
      <w:r w:rsidRPr="00230FD0">
        <w:rPr>
          <w:color w:val="17428B"/>
          <w:sz w:val="21"/>
          <w:szCs w:val="21"/>
          <w:lang w:val="pl-PL"/>
        </w:rPr>
        <w:t xml:space="preserve"> Obejmują one rozwiązania zewnętrzne (pokrycia dachowe, elewacje, przeszklenia), rozwiązania do wnętrz (ścianki działowe z płyt gipsowo-kartonowych, izolacje, sufity), chemię budowlaną (hydroizolacje i uszczelnienia, zaprawy, kleje i powłoki do podłóg </w:t>
      </w:r>
      <w:r>
        <w:rPr>
          <w:color w:val="17428B"/>
          <w:sz w:val="21"/>
          <w:szCs w:val="21"/>
          <w:lang w:val="pl-PL"/>
        </w:rPr>
        <w:t>oraz</w:t>
      </w:r>
      <w:r w:rsidRPr="00230FD0">
        <w:rPr>
          <w:color w:val="17428B"/>
          <w:sz w:val="21"/>
          <w:szCs w:val="21"/>
          <w:lang w:val="pl-PL"/>
        </w:rPr>
        <w:t xml:space="preserve"> ścian, domieszki i dodatki do betonu </w:t>
      </w:r>
      <w:r>
        <w:rPr>
          <w:color w:val="17428B"/>
          <w:sz w:val="21"/>
          <w:szCs w:val="21"/>
          <w:lang w:val="pl-PL"/>
        </w:rPr>
        <w:t>czy</w:t>
      </w:r>
      <w:r w:rsidRPr="00230FD0">
        <w:rPr>
          <w:color w:val="17428B"/>
          <w:sz w:val="21"/>
          <w:szCs w:val="21"/>
          <w:lang w:val="pl-PL"/>
        </w:rPr>
        <w:t xml:space="preserve"> cementu), a także wsparcie sprzedażowe (w tym doradztwo, specyfikacje i usługi cyfrowe).</w:t>
      </w:r>
    </w:p>
    <w:p w14:paraId="77D19F5B" w14:textId="77777777" w:rsidR="00104F58" w:rsidRPr="00230FD0" w:rsidRDefault="00104F58" w:rsidP="00977E6B">
      <w:pPr>
        <w:spacing w:before="251"/>
        <w:ind w:right="137"/>
        <w:jc w:val="both"/>
        <w:rPr>
          <w:sz w:val="21"/>
          <w:szCs w:val="21"/>
          <w:lang w:val="pl-PL"/>
        </w:rPr>
      </w:pPr>
      <w:r w:rsidRPr="00230FD0">
        <w:rPr>
          <w:b/>
          <w:color w:val="17428B"/>
          <w:sz w:val="21"/>
          <w:szCs w:val="21"/>
          <w:lang w:val="pl-PL"/>
        </w:rPr>
        <w:t>Grupa ma globalny rynek zbytu o wartości około 500 miliardów EUR i dużym potencjale wzrostu</w:t>
      </w:r>
      <w:r w:rsidRPr="00230FD0">
        <w:rPr>
          <w:bCs/>
          <w:color w:val="17428B"/>
          <w:sz w:val="21"/>
          <w:szCs w:val="21"/>
          <w:lang w:val="pl-PL"/>
        </w:rPr>
        <w:t>,</w:t>
      </w:r>
      <w:r w:rsidRPr="00230FD0">
        <w:rPr>
          <w:b/>
          <w:color w:val="17428B"/>
          <w:sz w:val="21"/>
          <w:szCs w:val="21"/>
          <w:lang w:val="pl-PL"/>
        </w:rPr>
        <w:t xml:space="preserve"> </w:t>
      </w:r>
      <w:r w:rsidRPr="00230FD0">
        <w:rPr>
          <w:color w:val="17428B"/>
          <w:sz w:val="21"/>
          <w:szCs w:val="21"/>
          <w:lang w:val="pl-PL"/>
        </w:rPr>
        <w:t xml:space="preserve">zarówno w sektorze mieszkaniowym, jak i niemieszkalnym, a także w zakresie infrastruktury. Jej silna pozycja w branży przemysłowej oraz idealne pozycjonowanie w poszczególnych krajach pozwala stawiać czoła </w:t>
      </w:r>
      <w:r>
        <w:rPr>
          <w:color w:val="17428B"/>
          <w:sz w:val="21"/>
          <w:szCs w:val="21"/>
          <w:lang w:val="pl-PL"/>
        </w:rPr>
        <w:t>największym</w:t>
      </w:r>
      <w:r w:rsidRPr="00230FD0">
        <w:rPr>
          <w:color w:val="17428B"/>
          <w:sz w:val="21"/>
          <w:szCs w:val="21"/>
          <w:lang w:val="pl-PL"/>
        </w:rPr>
        <w:t xml:space="preserve"> wyzwaniom budowlanym w każdym z głównych obszarów geograficznych:</w:t>
      </w:r>
    </w:p>
    <w:p w14:paraId="3FDB66DC" w14:textId="77777777" w:rsidR="00104F58" w:rsidRPr="00104F58" w:rsidRDefault="00104F58" w:rsidP="00977E6B">
      <w:pPr>
        <w:pStyle w:val="Akapitzlist"/>
        <w:numPr>
          <w:ilvl w:val="0"/>
          <w:numId w:val="6"/>
        </w:numPr>
        <w:tabs>
          <w:tab w:val="left" w:pos="1427"/>
        </w:tabs>
        <w:spacing w:before="3" w:line="268" w:lineRule="exact"/>
        <w:jc w:val="both"/>
        <w:rPr>
          <w:sz w:val="21"/>
          <w:szCs w:val="21"/>
          <w:lang w:val="pl-PL"/>
        </w:rPr>
      </w:pPr>
      <w:r w:rsidRPr="00104F58">
        <w:rPr>
          <w:b/>
          <w:color w:val="17428B"/>
          <w:sz w:val="21"/>
          <w:szCs w:val="21"/>
          <w:lang w:val="pl-PL"/>
        </w:rPr>
        <w:t>Wzrost liczby ludności i urbanizacja</w:t>
      </w:r>
      <w:r w:rsidRPr="00104F58">
        <w:rPr>
          <w:color w:val="17428B"/>
          <w:sz w:val="21"/>
          <w:szCs w:val="21"/>
          <w:lang w:val="pl-PL"/>
        </w:rPr>
        <w:t>,</w:t>
      </w:r>
      <w:r w:rsidRPr="00104F58">
        <w:rPr>
          <w:color w:val="17428B"/>
          <w:spacing w:val="-7"/>
          <w:sz w:val="21"/>
          <w:szCs w:val="21"/>
          <w:lang w:val="pl-PL"/>
        </w:rPr>
        <w:t xml:space="preserve"> </w:t>
      </w:r>
      <w:r w:rsidRPr="00104F58">
        <w:rPr>
          <w:color w:val="17428B"/>
          <w:sz w:val="21"/>
          <w:szCs w:val="21"/>
          <w:lang w:val="pl-PL"/>
        </w:rPr>
        <w:t>zwłaszcza w Azji i krajach rozwijających się</w:t>
      </w:r>
      <w:r w:rsidRPr="00104F58">
        <w:rPr>
          <w:color w:val="17428B"/>
          <w:spacing w:val="-2"/>
          <w:sz w:val="21"/>
          <w:szCs w:val="21"/>
          <w:lang w:val="pl-PL"/>
        </w:rPr>
        <w:t>;</w:t>
      </w:r>
    </w:p>
    <w:p w14:paraId="49490330" w14:textId="77777777" w:rsidR="00FA3D3B" w:rsidRDefault="00104F58" w:rsidP="00977E6B">
      <w:pPr>
        <w:pStyle w:val="Akapitzlist"/>
        <w:numPr>
          <w:ilvl w:val="0"/>
          <w:numId w:val="6"/>
        </w:numPr>
        <w:tabs>
          <w:tab w:val="left" w:pos="1427"/>
        </w:tabs>
        <w:spacing w:line="267" w:lineRule="exact"/>
        <w:jc w:val="both"/>
        <w:rPr>
          <w:sz w:val="21"/>
          <w:szCs w:val="21"/>
          <w:lang w:val="pl-PL"/>
        </w:rPr>
      </w:pPr>
      <w:r w:rsidRPr="00104F58">
        <w:rPr>
          <w:b/>
          <w:color w:val="17428B"/>
          <w:sz w:val="21"/>
          <w:szCs w:val="21"/>
          <w:lang w:val="pl-PL"/>
        </w:rPr>
        <w:t>Efektywność na placu budowy</w:t>
      </w:r>
      <w:r w:rsidRPr="00104F58">
        <w:rPr>
          <w:b/>
          <w:color w:val="17428B"/>
          <w:spacing w:val="15"/>
          <w:sz w:val="21"/>
          <w:szCs w:val="21"/>
          <w:lang w:val="pl-PL"/>
        </w:rPr>
        <w:t xml:space="preserve"> </w:t>
      </w:r>
      <w:r w:rsidRPr="00104F58">
        <w:rPr>
          <w:color w:val="17428B"/>
          <w:sz w:val="21"/>
          <w:szCs w:val="21"/>
          <w:lang w:val="pl-PL"/>
        </w:rPr>
        <w:t>i</w:t>
      </w:r>
      <w:r w:rsidRPr="00104F58">
        <w:rPr>
          <w:color w:val="17428B"/>
          <w:spacing w:val="14"/>
          <w:sz w:val="21"/>
          <w:szCs w:val="21"/>
          <w:lang w:val="pl-PL"/>
        </w:rPr>
        <w:t xml:space="preserve"> </w:t>
      </w:r>
      <w:r w:rsidRPr="00104F58">
        <w:rPr>
          <w:b/>
          <w:color w:val="17428B"/>
          <w:sz w:val="21"/>
          <w:szCs w:val="21"/>
          <w:lang w:val="pl-PL"/>
        </w:rPr>
        <w:t xml:space="preserve">termomodernizacja </w:t>
      </w:r>
      <w:r w:rsidRPr="00104F58">
        <w:rPr>
          <w:b/>
          <w:color w:val="17428B"/>
          <w:spacing w:val="12"/>
          <w:sz w:val="21"/>
          <w:szCs w:val="21"/>
          <w:lang w:val="pl-PL"/>
        </w:rPr>
        <w:t xml:space="preserve"> </w:t>
      </w:r>
      <w:r w:rsidRPr="00A75A24">
        <w:rPr>
          <w:bCs/>
          <w:color w:val="17428B"/>
          <w:spacing w:val="12"/>
          <w:sz w:val="21"/>
          <w:szCs w:val="21"/>
          <w:lang w:val="pl-PL"/>
        </w:rPr>
        <w:t>(</w:t>
      </w:r>
      <w:r w:rsidRPr="00104F58">
        <w:rPr>
          <w:color w:val="17428B"/>
          <w:sz w:val="21"/>
          <w:szCs w:val="21"/>
          <w:lang w:val="pl-PL"/>
        </w:rPr>
        <w:t>głównie w Europie) przez</w:t>
      </w:r>
      <w:r w:rsidRPr="00104F58">
        <w:rPr>
          <w:sz w:val="21"/>
          <w:szCs w:val="21"/>
          <w:lang w:val="pl-PL"/>
        </w:rPr>
        <w:t xml:space="preserve"> </w:t>
      </w:r>
    </w:p>
    <w:p w14:paraId="00CA7D7B" w14:textId="09E5A073" w:rsidR="00104F58" w:rsidRPr="00104F58" w:rsidRDefault="00104F58" w:rsidP="00FA3D3B">
      <w:pPr>
        <w:pStyle w:val="Akapitzlist"/>
        <w:tabs>
          <w:tab w:val="left" w:pos="1427"/>
        </w:tabs>
        <w:spacing w:line="267" w:lineRule="exact"/>
        <w:ind w:left="720" w:firstLine="0"/>
        <w:jc w:val="both"/>
        <w:rPr>
          <w:sz w:val="21"/>
          <w:szCs w:val="21"/>
          <w:lang w:val="pl-PL"/>
        </w:rPr>
      </w:pPr>
      <w:r w:rsidRPr="00104F58">
        <w:rPr>
          <w:b/>
          <w:color w:val="17428B"/>
          <w:spacing w:val="-2"/>
          <w:sz w:val="21"/>
          <w:szCs w:val="21"/>
          <w:lang w:val="pl-PL"/>
        </w:rPr>
        <w:t>adaptację</w:t>
      </w:r>
      <w:r w:rsidRPr="00104F58">
        <w:rPr>
          <w:b/>
          <w:color w:val="17428B"/>
          <w:spacing w:val="-6"/>
          <w:sz w:val="21"/>
          <w:szCs w:val="21"/>
          <w:lang w:val="pl-PL"/>
        </w:rPr>
        <w:t xml:space="preserve"> </w:t>
      </w:r>
      <w:r w:rsidRPr="00104F58">
        <w:rPr>
          <w:color w:val="17428B"/>
          <w:spacing w:val="-2"/>
          <w:sz w:val="21"/>
          <w:szCs w:val="21"/>
          <w:lang w:val="pl-PL"/>
        </w:rPr>
        <w:t xml:space="preserve">budynków i infrastruktury do </w:t>
      </w:r>
      <w:r w:rsidRPr="00104F58">
        <w:rPr>
          <w:b/>
          <w:color w:val="17428B"/>
          <w:spacing w:val="-2"/>
          <w:sz w:val="21"/>
          <w:szCs w:val="21"/>
          <w:lang w:val="pl-PL"/>
        </w:rPr>
        <w:t>zmian klimatu</w:t>
      </w:r>
      <w:r w:rsidRPr="00104F58">
        <w:rPr>
          <w:color w:val="17428B"/>
          <w:spacing w:val="-5"/>
          <w:sz w:val="21"/>
          <w:szCs w:val="21"/>
          <w:lang w:val="pl-PL"/>
        </w:rPr>
        <w:t xml:space="preserve"> (</w:t>
      </w:r>
      <w:r w:rsidRPr="00104F58">
        <w:rPr>
          <w:color w:val="17428B"/>
          <w:spacing w:val="-2"/>
          <w:sz w:val="21"/>
          <w:szCs w:val="21"/>
          <w:lang w:val="pl-PL"/>
        </w:rPr>
        <w:t>szczególnie w Ameryce Północnej);</w:t>
      </w:r>
    </w:p>
    <w:p w14:paraId="733C7E6B" w14:textId="77777777" w:rsidR="00104F58" w:rsidRPr="00104F58" w:rsidRDefault="00104F58" w:rsidP="00977E6B">
      <w:pPr>
        <w:pStyle w:val="Akapitzlist"/>
        <w:numPr>
          <w:ilvl w:val="0"/>
          <w:numId w:val="6"/>
        </w:numPr>
        <w:tabs>
          <w:tab w:val="left" w:pos="1427"/>
        </w:tabs>
        <w:spacing w:before="1" w:line="269" w:lineRule="exact"/>
        <w:jc w:val="both"/>
        <w:rPr>
          <w:sz w:val="21"/>
          <w:szCs w:val="21"/>
          <w:lang w:val="pl-PL"/>
        </w:rPr>
      </w:pPr>
      <w:r w:rsidRPr="00104F58">
        <w:rPr>
          <w:b/>
          <w:color w:val="17428B"/>
          <w:sz w:val="21"/>
          <w:szCs w:val="21"/>
          <w:lang w:val="pl-PL"/>
        </w:rPr>
        <w:t>Powrót produkcji przemysłowej do krajów pochodzenia</w:t>
      </w:r>
      <w:r w:rsidRPr="00104F58">
        <w:rPr>
          <w:b/>
          <w:color w:val="17428B"/>
          <w:spacing w:val="-7"/>
          <w:sz w:val="21"/>
          <w:szCs w:val="21"/>
          <w:lang w:val="pl-PL"/>
        </w:rPr>
        <w:t xml:space="preserve"> </w:t>
      </w:r>
      <w:r w:rsidRPr="00104F58">
        <w:rPr>
          <w:color w:val="17428B"/>
          <w:sz w:val="21"/>
          <w:szCs w:val="21"/>
          <w:lang w:val="pl-PL"/>
        </w:rPr>
        <w:t xml:space="preserve">w następstwie </w:t>
      </w:r>
      <w:r w:rsidRPr="00104F58">
        <w:rPr>
          <w:color w:val="17428B"/>
          <w:spacing w:val="-2"/>
          <w:sz w:val="21"/>
          <w:szCs w:val="21"/>
          <w:lang w:val="pl-PL"/>
        </w:rPr>
        <w:t>deglobalizacji;</w:t>
      </w:r>
    </w:p>
    <w:p w14:paraId="72CACB8D" w14:textId="77777777" w:rsidR="00104F58" w:rsidRPr="00104F58" w:rsidRDefault="00104F58" w:rsidP="00977E6B">
      <w:pPr>
        <w:pStyle w:val="Akapitzlist"/>
        <w:numPr>
          <w:ilvl w:val="0"/>
          <w:numId w:val="6"/>
        </w:numPr>
        <w:tabs>
          <w:tab w:val="left" w:pos="1427"/>
        </w:tabs>
        <w:spacing w:line="269" w:lineRule="exact"/>
        <w:jc w:val="both"/>
        <w:rPr>
          <w:sz w:val="21"/>
          <w:szCs w:val="21"/>
          <w:lang w:val="pl-PL"/>
        </w:rPr>
      </w:pPr>
      <w:r w:rsidRPr="00104F58">
        <w:rPr>
          <w:b/>
          <w:color w:val="17428B"/>
          <w:sz w:val="21"/>
          <w:szCs w:val="21"/>
          <w:lang w:val="pl-PL"/>
        </w:rPr>
        <w:t>Gospodarka o obiegu zamkniętym</w:t>
      </w:r>
      <w:r w:rsidRPr="00104F58">
        <w:rPr>
          <w:bCs/>
          <w:color w:val="17428B"/>
          <w:sz w:val="21"/>
          <w:szCs w:val="21"/>
          <w:lang w:val="pl-PL"/>
        </w:rPr>
        <w:t>,</w:t>
      </w:r>
      <w:r w:rsidRPr="00104F58">
        <w:rPr>
          <w:b/>
          <w:color w:val="17428B"/>
          <w:spacing w:val="-7"/>
          <w:sz w:val="21"/>
          <w:szCs w:val="21"/>
          <w:lang w:val="pl-PL"/>
        </w:rPr>
        <w:t xml:space="preserve"> </w:t>
      </w:r>
      <w:r w:rsidRPr="00104F58">
        <w:rPr>
          <w:color w:val="17428B"/>
          <w:sz w:val="21"/>
          <w:szCs w:val="21"/>
          <w:lang w:val="pl-PL"/>
        </w:rPr>
        <w:t>aby rozwiązać problem niedoboru zasobów</w:t>
      </w:r>
      <w:r w:rsidRPr="00104F58">
        <w:rPr>
          <w:color w:val="17428B"/>
          <w:spacing w:val="-2"/>
          <w:sz w:val="21"/>
          <w:szCs w:val="21"/>
          <w:lang w:val="pl-PL"/>
        </w:rPr>
        <w:t>.</w:t>
      </w:r>
    </w:p>
    <w:p w14:paraId="68EFCF30" w14:textId="05F28FE7" w:rsidR="00104F58" w:rsidRPr="00230FD0" w:rsidRDefault="00104F58" w:rsidP="00977E6B">
      <w:pPr>
        <w:spacing w:before="250"/>
        <w:ind w:right="134"/>
        <w:jc w:val="both"/>
        <w:rPr>
          <w:sz w:val="21"/>
          <w:szCs w:val="21"/>
          <w:lang w:val="pl-PL"/>
        </w:rPr>
      </w:pPr>
      <w:r w:rsidRPr="00230FD0">
        <w:rPr>
          <w:b/>
          <w:color w:val="17428B"/>
          <w:sz w:val="21"/>
          <w:szCs w:val="21"/>
          <w:lang w:val="pl-PL"/>
        </w:rPr>
        <w:t>Saint-Gobain czerpie korzyści ze swojej atrakcyjnej lokalizacji geograficznej</w:t>
      </w:r>
      <w:r w:rsidRPr="00230FD0">
        <w:rPr>
          <w:bCs/>
          <w:color w:val="17428B"/>
          <w:sz w:val="21"/>
          <w:szCs w:val="21"/>
          <w:lang w:val="pl-PL"/>
        </w:rPr>
        <w:t>,</w:t>
      </w:r>
      <w:r w:rsidRPr="00230FD0">
        <w:rPr>
          <w:b/>
          <w:color w:val="17428B"/>
          <w:spacing w:val="-10"/>
          <w:sz w:val="21"/>
          <w:szCs w:val="21"/>
          <w:lang w:val="pl-PL"/>
        </w:rPr>
        <w:t xml:space="preserve"> </w:t>
      </w:r>
      <w:r w:rsidRPr="00230FD0">
        <w:rPr>
          <w:color w:val="17428B"/>
          <w:sz w:val="21"/>
          <w:szCs w:val="21"/>
          <w:lang w:val="pl-PL"/>
        </w:rPr>
        <w:t xml:space="preserve">obejmującej Europę Zachodnią, z dużym potencjałem ożywienia gospodarczego, Amerykę Północną, gdzie rynek jest stabilny strukturalnie, oraz Azję i kraje wschodzące, w których motorem wzrostu są zmiany demograficzne i urbanizacja. </w:t>
      </w:r>
      <w:r w:rsidRPr="00230FD0">
        <w:rPr>
          <w:b/>
          <w:color w:val="17428B"/>
          <w:sz w:val="21"/>
          <w:szCs w:val="21"/>
          <w:lang w:val="pl-PL"/>
        </w:rPr>
        <w:t xml:space="preserve">Dzięki „Lead&amp;Grow” Grupa zamierza zwiększyć swoją ekspozycję na rynki o wysokim wzroście gospodarczym </w:t>
      </w:r>
      <w:r w:rsidRPr="00230FD0">
        <w:rPr>
          <w:color w:val="17428B"/>
          <w:sz w:val="21"/>
          <w:szCs w:val="21"/>
          <w:lang w:val="pl-PL"/>
        </w:rPr>
        <w:t xml:space="preserve">– Amerykę Północną, Azję i Pacyfik oraz kraje wschodzące – które według prognoz będą odpowiadać za blisko </w:t>
      </w:r>
      <w:r w:rsidRPr="00230FD0">
        <w:rPr>
          <w:b/>
          <w:color w:val="17428B"/>
          <w:sz w:val="21"/>
          <w:szCs w:val="21"/>
          <w:lang w:val="pl-PL"/>
        </w:rPr>
        <w:t>60% wartości sprzedaży</w:t>
      </w:r>
      <w:r w:rsidR="00FA3D3B">
        <w:rPr>
          <w:b/>
          <w:color w:val="17428B"/>
          <w:sz w:val="21"/>
          <w:szCs w:val="21"/>
          <w:lang w:val="pl-PL"/>
        </w:rPr>
        <w:t xml:space="preserve"> w </w:t>
      </w:r>
      <w:r w:rsidRPr="00230FD0">
        <w:rPr>
          <w:color w:val="17428B"/>
          <w:sz w:val="21"/>
          <w:szCs w:val="21"/>
          <w:lang w:val="pl-PL"/>
        </w:rPr>
        <w:t>perspektywie długoterminowej</w:t>
      </w:r>
      <w:r>
        <w:rPr>
          <w:color w:val="17428B"/>
          <w:sz w:val="21"/>
          <w:szCs w:val="21"/>
          <w:lang w:val="pl-PL"/>
        </w:rPr>
        <w:t xml:space="preserve"> (obecnie jest to około 50%)</w:t>
      </w:r>
      <w:r w:rsidRPr="00230FD0">
        <w:rPr>
          <w:color w:val="17428B"/>
          <w:sz w:val="21"/>
          <w:szCs w:val="21"/>
          <w:lang w:val="pl-PL"/>
        </w:rPr>
        <w:t>.</w:t>
      </w:r>
    </w:p>
    <w:p w14:paraId="51EEF879" w14:textId="77777777" w:rsidR="00104F58" w:rsidRPr="00230FD0" w:rsidRDefault="00104F58" w:rsidP="00977E6B">
      <w:pPr>
        <w:ind w:right="138"/>
        <w:jc w:val="both"/>
        <w:rPr>
          <w:sz w:val="21"/>
          <w:szCs w:val="21"/>
          <w:lang w:val="pl-PL"/>
        </w:rPr>
      </w:pPr>
      <w:r>
        <w:rPr>
          <w:b/>
          <w:color w:val="17428B"/>
          <w:sz w:val="21"/>
          <w:szCs w:val="21"/>
          <w:lang w:val="pl-PL"/>
        </w:rPr>
        <w:t xml:space="preserve">Organizacje </w:t>
      </w:r>
      <w:r w:rsidRPr="00230FD0">
        <w:rPr>
          <w:b/>
          <w:color w:val="17428B"/>
          <w:sz w:val="21"/>
          <w:szCs w:val="21"/>
          <w:lang w:val="pl-PL"/>
        </w:rPr>
        <w:t xml:space="preserve"> krajowe mają kluczowe znaczenie dla sukcesu modelu biznesowego Grupy</w:t>
      </w:r>
      <w:r>
        <w:rPr>
          <w:color w:val="17428B"/>
          <w:sz w:val="21"/>
          <w:szCs w:val="21"/>
          <w:lang w:val="pl-PL"/>
        </w:rPr>
        <w:t>.</w:t>
      </w:r>
      <w:r w:rsidRPr="00230FD0">
        <w:rPr>
          <w:color w:val="17428B"/>
          <w:sz w:val="21"/>
          <w:szCs w:val="21"/>
          <w:lang w:val="pl-PL"/>
        </w:rPr>
        <w:t xml:space="preserve"> </w:t>
      </w:r>
      <w:r>
        <w:rPr>
          <w:color w:val="17428B"/>
          <w:sz w:val="21"/>
          <w:szCs w:val="21"/>
          <w:lang w:val="pl-PL"/>
        </w:rPr>
        <w:t>B</w:t>
      </w:r>
      <w:r w:rsidRPr="00230FD0">
        <w:rPr>
          <w:color w:val="17428B"/>
          <w:sz w:val="21"/>
          <w:szCs w:val="21"/>
          <w:lang w:val="pl-PL"/>
        </w:rPr>
        <w:t xml:space="preserve">azując na marce Saint-Gobain i bogatej ofercie handlowej, platformy te są </w:t>
      </w:r>
      <w:r w:rsidRPr="00230FD0">
        <w:rPr>
          <w:b/>
          <w:bCs/>
          <w:color w:val="17428B"/>
          <w:sz w:val="21"/>
          <w:szCs w:val="21"/>
          <w:lang w:val="pl-PL"/>
        </w:rPr>
        <w:t>motorami wzrostu</w:t>
      </w:r>
      <w:r w:rsidRPr="00230FD0">
        <w:rPr>
          <w:color w:val="17428B"/>
          <w:sz w:val="21"/>
          <w:szCs w:val="21"/>
          <w:lang w:val="pl-PL"/>
        </w:rPr>
        <w:t xml:space="preserve"> na swoich rynkach, zarządzane przez dyrektorów generalnych pochodzących z danego kraju oraz zespoły w pełni odpowiedzialne za wyniki swojego obszaru (EBITDA, wolne przepływy pieniężne, ROCE).</w:t>
      </w:r>
    </w:p>
    <w:p w14:paraId="5A613405" w14:textId="77777777" w:rsidR="00104F58" w:rsidRDefault="00104F58" w:rsidP="00977E6B">
      <w:pPr>
        <w:ind w:right="135"/>
        <w:jc w:val="both"/>
        <w:rPr>
          <w:color w:val="17428B"/>
          <w:sz w:val="21"/>
          <w:szCs w:val="21"/>
          <w:lang w:val="pl-PL"/>
        </w:rPr>
      </w:pPr>
      <w:r w:rsidRPr="00230FD0">
        <w:rPr>
          <w:color w:val="17428B"/>
          <w:sz w:val="21"/>
          <w:szCs w:val="21"/>
          <w:lang w:val="pl-PL"/>
        </w:rPr>
        <w:t xml:space="preserve">Grupa </w:t>
      </w:r>
      <w:r w:rsidRPr="00230FD0">
        <w:rPr>
          <w:b/>
          <w:bCs/>
          <w:color w:val="17428B"/>
          <w:sz w:val="21"/>
          <w:szCs w:val="21"/>
          <w:lang w:val="pl-PL"/>
        </w:rPr>
        <w:t>wyznacza kierunek transformacji budownictwa</w:t>
      </w:r>
      <w:r w:rsidRPr="00230FD0">
        <w:rPr>
          <w:color w:val="17428B"/>
          <w:sz w:val="21"/>
          <w:szCs w:val="21"/>
          <w:lang w:val="pl-PL"/>
        </w:rPr>
        <w:t xml:space="preserve"> i stała się </w:t>
      </w:r>
      <w:r w:rsidRPr="00230FD0">
        <w:rPr>
          <w:b/>
          <w:bCs/>
          <w:color w:val="17428B"/>
          <w:sz w:val="21"/>
          <w:szCs w:val="21"/>
          <w:lang w:val="pl-PL"/>
        </w:rPr>
        <w:t>punktem odniesienia dzięki swojej ofercie zrównoważonych rozwiązań</w:t>
      </w:r>
      <w:r w:rsidRPr="00230FD0">
        <w:rPr>
          <w:color w:val="17428B"/>
          <w:sz w:val="21"/>
          <w:szCs w:val="21"/>
          <w:lang w:val="pl-PL"/>
        </w:rPr>
        <w:t xml:space="preserve">, które stanowią blisko </w:t>
      </w:r>
      <w:r w:rsidRPr="00230FD0">
        <w:rPr>
          <w:b/>
          <w:bCs/>
          <w:color w:val="17428B"/>
          <w:sz w:val="21"/>
          <w:szCs w:val="21"/>
          <w:lang w:val="pl-PL"/>
        </w:rPr>
        <w:t>75% wartości sprzedaży</w:t>
      </w:r>
      <w:r w:rsidRPr="00230FD0">
        <w:rPr>
          <w:color w:val="17428B"/>
          <w:sz w:val="21"/>
          <w:szCs w:val="21"/>
          <w:lang w:val="pl-PL"/>
        </w:rPr>
        <w:t>. Saint-Gobain ma zdecydowanie pozytywny wpływ na swój łańcuch wartości: rozwiązania sprzedawane przez Grupę w ciągu jednego roku pozwalają uniknąć emisji około 1 mld ton CO</w:t>
      </w:r>
      <w:r w:rsidRPr="00A3574D">
        <w:rPr>
          <w:color w:val="17428B"/>
          <w:sz w:val="21"/>
          <w:szCs w:val="21"/>
          <w:vertAlign w:val="subscript"/>
          <w:lang w:val="pl-PL"/>
        </w:rPr>
        <w:t>2</w:t>
      </w:r>
      <w:r w:rsidRPr="00230FD0">
        <w:rPr>
          <w:color w:val="17428B"/>
          <w:sz w:val="21"/>
          <w:szCs w:val="21"/>
          <w:lang w:val="pl-PL"/>
        </w:rPr>
        <w:t xml:space="preserve"> w całym okresie ich użytkowania. Jeśli chodzi o ścieżkę dekarbonizacji własnej działalności, Grupa Saint-Gobain od 2017 roku zmniejszyła emisje CO</w:t>
      </w:r>
      <w:r w:rsidRPr="00230FD0">
        <w:rPr>
          <w:color w:val="17428B"/>
          <w:sz w:val="21"/>
          <w:szCs w:val="21"/>
          <w:vertAlign w:val="subscript"/>
          <w:lang w:val="pl-PL"/>
        </w:rPr>
        <w:t>2</w:t>
      </w:r>
      <w:r w:rsidRPr="00230FD0">
        <w:rPr>
          <w:color w:val="17428B"/>
          <w:sz w:val="21"/>
          <w:szCs w:val="21"/>
          <w:lang w:val="pl-PL"/>
        </w:rPr>
        <w:t xml:space="preserve"> o 34% i obecnie dąży do</w:t>
      </w:r>
      <w:r>
        <w:rPr>
          <w:color w:val="17428B"/>
          <w:sz w:val="21"/>
          <w:szCs w:val="21"/>
          <w:lang w:val="pl-PL"/>
        </w:rPr>
        <w:t xml:space="preserve"> ich </w:t>
      </w:r>
      <w:r w:rsidRPr="00230FD0">
        <w:rPr>
          <w:b/>
          <w:color w:val="17428B"/>
          <w:position w:val="2"/>
          <w:sz w:val="21"/>
          <w:szCs w:val="21"/>
          <w:lang w:val="pl-PL"/>
        </w:rPr>
        <w:t xml:space="preserve">redukcji </w:t>
      </w:r>
      <w:r w:rsidRPr="00230FD0">
        <w:rPr>
          <w:color w:val="17428B"/>
          <w:sz w:val="21"/>
          <w:szCs w:val="21"/>
          <w:lang w:val="pl-PL"/>
        </w:rPr>
        <w:t>(</w:t>
      </w:r>
      <w:r>
        <w:rPr>
          <w:color w:val="17428B"/>
          <w:sz w:val="21"/>
          <w:szCs w:val="21"/>
          <w:lang w:val="pl-PL"/>
        </w:rPr>
        <w:t>z</w:t>
      </w:r>
      <w:r w:rsidRPr="00230FD0">
        <w:rPr>
          <w:color w:val="17428B"/>
          <w:sz w:val="21"/>
          <w:szCs w:val="21"/>
          <w:lang w:val="pl-PL"/>
        </w:rPr>
        <w:t>akres 1</w:t>
      </w:r>
      <w:r w:rsidRPr="00230FD0">
        <w:rPr>
          <w:color w:val="17428B"/>
          <w:spacing w:val="-2"/>
          <w:sz w:val="21"/>
          <w:szCs w:val="21"/>
          <w:lang w:val="pl-PL"/>
        </w:rPr>
        <w:t xml:space="preserve"> </w:t>
      </w:r>
      <w:r>
        <w:rPr>
          <w:color w:val="17428B"/>
          <w:sz w:val="21"/>
          <w:szCs w:val="21"/>
          <w:lang w:val="pl-PL"/>
        </w:rPr>
        <w:t>i</w:t>
      </w:r>
      <w:r w:rsidRPr="00230FD0">
        <w:rPr>
          <w:color w:val="17428B"/>
          <w:spacing w:val="-2"/>
          <w:sz w:val="21"/>
          <w:szCs w:val="21"/>
          <w:lang w:val="pl-PL"/>
        </w:rPr>
        <w:t xml:space="preserve"> </w:t>
      </w:r>
      <w:r w:rsidRPr="00230FD0">
        <w:rPr>
          <w:color w:val="17428B"/>
          <w:sz w:val="21"/>
          <w:szCs w:val="21"/>
          <w:lang w:val="pl-PL"/>
        </w:rPr>
        <w:t xml:space="preserve">2) </w:t>
      </w:r>
      <w:r w:rsidRPr="00230FD0">
        <w:rPr>
          <w:b/>
          <w:color w:val="17428B"/>
          <w:sz w:val="21"/>
          <w:szCs w:val="21"/>
          <w:lang w:val="pl-PL"/>
        </w:rPr>
        <w:t>rzędu 40% do</w:t>
      </w:r>
      <w:r w:rsidRPr="00230FD0">
        <w:rPr>
          <w:b/>
          <w:color w:val="17428B"/>
          <w:spacing w:val="-2"/>
          <w:sz w:val="21"/>
          <w:szCs w:val="21"/>
          <w:lang w:val="pl-PL"/>
        </w:rPr>
        <w:t xml:space="preserve"> </w:t>
      </w:r>
      <w:r w:rsidRPr="00230FD0">
        <w:rPr>
          <w:b/>
          <w:color w:val="17428B"/>
          <w:sz w:val="21"/>
          <w:szCs w:val="21"/>
          <w:lang w:val="pl-PL"/>
        </w:rPr>
        <w:t>45%</w:t>
      </w:r>
      <w:r w:rsidRPr="00230FD0">
        <w:rPr>
          <w:b/>
          <w:color w:val="17428B"/>
          <w:spacing w:val="-1"/>
          <w:sz w:val="21"/>
          <w:szCs w:val="21"/>
          <w:lang w:val="pl-PL"/>
        </w:rPr>
        <w:t xml:space="preserve"> </w:t>
      </w:r>
      <w:r w:rsidRPr="00230FD0">
        <w:rPr>
          <w:color w:val="17428B"/>
          <w:sz w:val="21"/>
          <w:szCs w:val="21"/>
          <w:lang w:val="pl-PL"/>
        </w:rPr>
        <w:t>do 2035</w:t>
      </w:r>
      <w:r w:rsidRPr="00230FD0">
        <w:rPr>
          <w:color w:val="17428B"/>
          <w:spacing w:val="-2"/>
          <w:sz w:val="21"/>
          <w:szCs w:val="21"/>
          <w:lang w:val="pl-PL"/>
        </w:rPr>
        <w:t xml:space="preserve"> </w:t>
      </w:r>
      <w:r w:rsidRPr="00230FD0">
        <w:rPr>
          <w:color w:val="17428B"/>
          <w:sz w:val="21"/>
          <w:szCs w:val="21"/>
          <w:lang w:val="pl-PL"/>
        </w:rPr>
        <w:t>(w porównaniu do</w:t>
      </w:r>
      <w:r w:rsidRPr="00230FD0">
        <w:rPr>
          <w:color w:val="17428B"/>
          <w:spacing w:val="-1"/>
          <w:sz w:val="21"/>
          <w:szCs w:val="21"/>
          <w:lang w:val="pl-PL"/>
        </w:rPr>
        <w:t xml:space="preserve"> </w:t>
      </w:r>
      <w:r w:rsidRPr="00230FD0">
        <w:rPr>
          <w:color w:val="17428B"/>
          <w:sz w:val="21"/>
          <w:szCs w:val="21"/>
          <w:lang w:val="pl-PL"/>
        </w:rPr>
        <w:t>2017 roku), zgodnie z podjętym zobowiązaniem do osiągnięcia zeroemisyjności netto do 2050 r</w:t>
      </w:r>
      <w:r>
        <w:rPr>
          <w:color w:val="17428B"/>
          <w:sz w:val="21"/>
          <w:szCs w:val="21"/>
          <w:lang w:val="pl-PL"/>
        </w:rPr>
        <w:t>oku</w:t>
      </w:r>
      <w:r w:rsidRPr="00230FD0">
        <w:rPr>
          <w:color w:val="17428B"/>
          <w:sz w:val="21"/>
          <w:szCs w:val="21"/>
          <w:lang w:val="pl-PL"/>
        </w:rPr>
        <w:t>.</w:t>
      </w:r>
    </w:p>
    <w:p w14:paraId="1EA6A60A" w14:textId="5DD0CECE" w:rsidR="00104F58" w:rsidRPr="00104F58" w:rsidRDefault="00A75A24" w:rsidP="00977E6B">
      <w:pPr>
        <w:jc w:val="both"/>
        <w:rPr>
          <w:lang w:val="pl-PL"/>
        </w:rPr>
      </w:pPr>
      <w:r>
        <w:rPr>
          <w:rFonts w:eastAsia="MS Gothic" w:cs="Arial (Headings)"/>
          <w:b/>
          <w:noProof/>
          <w:color w:val="219CDC"/>
          <w:sz w:val="32"/>
          <w:szCs w:val="36"/>
          <w:lang w:val="pl-PL"/>
          <w14:textFill>
            <w14:gradFill>
              <w14:gsLst>
                <w14:gs w14:pos="50000">
                  <w14:srgbClr w14:val="219CDC"/>
                </w14:gs>
                <w14:gs w14:pos="0">
                  <w14:srgbClr w14:val="17428C"/>
                </w14:gs>
                <w14:gs w14:pos="100000">
                  <w14:srgbClr w14:val="67B9B0"/>
                </w14:gs>
              </w14:gsLst>
              <w14:lin w14:ang="0" w14:scaled="0"/>
            </w14:gradFill>
          </w14:textFill>
        </w:rPr>
        <w:br w:type="column"/>
      </w:r>
      <w:r w:rsidR="00104F58" w:rsidRPr="004A06BF">
        <w:rPr>
          <w:rFonts w:eastAsia="MS Gothic" w:cs="Arial (Headings)"/>
          <w:b/>
          <w:noProof/>
          <w:color w:val="219CDC"/>
          <w:sz w:val="32"/>
          <w:szCs w:val="36"/>
          <w:lang w:val="pl-PL"/>
          <w14:textFill>
            <w14:gradFill>
              <w14:gsLst>
                <w14:gs w14:pos="50000">
                  <w14:srgbClr w14:val="219CDC"/>
                </w14:gs>
                <w14:gs w14:pos="0">
                  <w14:srgbClr w14:val="17428C"/>
                </w14:gs>
                <w14:gs w14:pos="100000">
                  <w14:srgbClr w14:val="67B9B0"/>
                </w14:gs>
              </w14:gsLst>
              <w14:lin w14:ang="0" w14:scaled="0"/>
            </w14:gradFill>
          </w14:textFill>
        </w:rPr>
        <w:lastRenderedPageBreak/>
        <w:t>…z jeszcze lepszymi perspektywami wzrostu</w:t>
      </w:r>
    </w:p>
    <w:p w14:paraId="0748FFB4" w14:textId="1D039EF9" w:rsidR="00104F58" w:rsidRPr="00230FD0" w:rsidRDefault="00104F58" w:rsidP="00977E6B">
      <w:pPr>
        <w:ind w:right="135"/>
        <w:jc w:val="both"/>
        <w:rPr>
          <w:color w:val="17428B"/>
          <w:sz w:val="21"/>
          <w:szCs w:val="21"/>
          <w:lang w:val="pl-PL"/>
        </w:rPr>
      </w:pPr>
      <w:r w:rsidRPr="00104F58">
        <w:rPr>
          <w:rFonts w:ascii="Arial" w:eastAsia="Arial" w:hAnsi="Arial" w:cs="Arial"/>
          <w:b/>
          <w:color w:val="67B8AF"/>
          <w:sz w:val="21"/>
          <w:szCs w:val="21"/>
          <w:lang w:val="pl-PL"/>
        </w:rPr>
        <w:t>Rozwiązania: przewaga konkurencyjna Saint-Gobain</w:t>
      </w:r>
    </w:p>
    <w:p w14:paraId="35869E62" w14:textId="7199C563" w:rsidR="00104F58" w:rsidRPr="00230FD0" w:rsidRDefault="00104F58" w:rsidP="00977E6B">
      <w:pPr>
        <w:ind w:right="137"/>
        <w:jc w:val="both"/>
        <w:rPr>
          <w:lang w:val="pl-PL"/>
        </w:rPr>
      </w:pPr>
      <w:r w:rsidRPr="00230FD0">
        <w:rPr>
          <w:color w:val="17428B"/>
          <w:lang w:val="pl-PL"/>
        </w:rPr>
        <w:t xml:space="preserve">Aby sprostać oczekiwaniom klientów w całym łańcuchu wartości, Grupa opracowuje </w:t>
      </w:r>
      <w:r w:rsidRPr="00230FD0">
        <w:rPr>
          <w:b/>
          <w:color w:val="17428B"/>
          <w:lang w:val="pl-PL"/>
        </w:rPr>
        <w:t>kompleksowe i innowacyjne rozwiązania</w:t>
      </w:r>
      <w:r w:rsidRPr="00230FD0">
        <w:rPr>
          <w:bCs/>
          <w:color w:val="17428B"/>
          <w:lang w:val="pl-PL"/>
        </w:rPr>
        <w:t>,</w:t>
      </w:r>
      <w:r w:rsidRPr="00230FD0">
        <w:rPr>
          <w:b/>
          <w:color w:val="17428B"/>
          <w:lang w:val="pl-PL"/>
        </w:rPr>
        <w:t xml:space="preserve"> </w:t>
      </w:r>
      <w:r w:rsidRPr="00230FD0">
        <w:rPr>
          <w:color w:val="17428B"/>
          <w:lang w:val="pl-PL"/>
        </w:rPr>
        <w:t xml:space="preserve">które wspólnie </w:t>
      </w:r>
      <w:r w:rsidRPr="00230FD0">
        <w:rPr>
          <w:b/>
          <w:color w:val="17428B"/>
          <w:lang w:val="pl-PL"/>
        </w:rPr>
        <w:t>zapewniają większe korzyści</w:t>
      </w:r>
      <w:r w:rsidR="00FA3D3B">
        <w:rPr>
          <w:b/>
          <w:color w:val="17428B"/>
          <w:lang w:val="pl-PL"/>
        </w:rPr>
        <w:t xml:space="preserve"> w </w:t>
      </w:r>
      <w:r w:rsidRPr="00230FD0">
        <w:rPr>
          <w:b/>
          <w:color w:val="17428B"/>
          <w:lang w:val="pl-PL"/>
        </w:rPr>
        <w:t>zakresie zrównoważonego rozwoju i wydajności</w:t>
      </w:r>
      <w:r w:rsidRPr="00230FD0">
        <w:rPr>
          <w:color w:val="17428B"/>
          <w:lang w:val="pl-PL"/>
        </w:rPr>
        <w:t>:</w:t>
      </w:r>
    </w:p>
    <w:p w14:paraId="2F4B43B1" w14:textId="77777777" w:rsidR="00104F58" w:rsidRDefault="00104F58" w:rsidP="00977E6B">
      <w:pPr>
        <w:pStyle w:val="Nagwek2"/>
        <w:numPr>
          <w:ilvl w:val="0"/>
          <w:numId w:val="7"/>
        </w:numPr>
        <w:tabs>
          <w:tab w:val="left" w:pos="1428"/>
        </w:tabs>
        <w:spacing w:before="4" w:line="237" w:lineRule="auto"/>
        <w:ind w:right="138"/>
        <w:rPr>
          <w:color w:val="17428B"/>
          <w:lang w:val="pl-PL"/>
        </w:rPr>
      </w:pPr>
      <w:r w:rsidRPr="00230FD0">
        <w:rPr>
          <w:color w:val="17428B"/>
          <w:lang w:val="pl-PL"/>
        </w:rPr>
        <w:t xml:space="preserve">Dla właścicieli nieruchomości: </w:t>
      </w:r>
      <w:r w:rsidRPr="00230FD0">
        <w:rPr>
          <w:b/>
          <w:color w:val="17428B"/>
          <w:lang w:val="pl-PL"/>
        </w:rPr>
        <w:t xml:space="preserve">większa wartość </w:t>
      </w:r>
      <w:r w:rsidRPr="00230FD0">
        <w:rPr>
          <w:color w:val="17428B"/>
          <w:lang w:val="pl-PL"/>
        </w:rPr>
        <w:t xml:space="preserve">(efektywność energetyczna, odporność na zmiany klimatu, rozwiązania </w:t>
      </w:r>
      <w:r>
        <w:rPr>
          <w:color w:val="17428B"/>
          <w:lang w:val="pl-PL"/>
        </w:rPr>
        <w:t xml:space="preserve">o  obniżonym śladzie węglowym </w:t>
      </w:r>
      <w:r w:rsidRPr="00230FD0">
        <w:rPr>
          <w:color w:val="17428B"/>
          <w:lang w:val="pl-PL"/>
        </w:rPr>
        <w:t xml:space="preserve"> i cyrkularność);</w:t>
      </w:r>
    </w:p>
    <w:p w14:paraId="5AF0459C" w14:textId="77777777" w:rsidR="00104F58" w:rsidRDefault="00104F58" w:rsidP="00977E6B">
      <w:pPr>
        <w:pStyle w:val="Nagwek2"/>
        <w:numPr>
          <w:ilvl w:val="0"/>
          <w:numId w:val="7"/>
        </w:numPr>
        <w:tabs>
          <w:tab w:val="left" w:pos="1428"/>
        </w:tabs>
        <w:spacing w:before="4" w:line="237" w:lineRule="auto"/>
        <w:ind w:right="138"/>
        <w:rPr>
          <w:color w:val="17428B"/>
          <w:spacing w:val="-2"/>
          <w:lang w:val="pl-PL"/>
        </w:rPr>
      </w:pPr>
      <w:r w:rsidRPr="00104F58">
        <w:rPr>
          <w:color w:val="17428B"/>
          <w:lang w:val="pl-PL"/>
        </w:rPr>
        <w:t>Dla mieszkańców:</w:t>
      </w:r>
      <w:r w:rsidRPr="00104F58">
        <w:rPr>
          <w:color w:val="17428B"/>
          <w:spacing w:val="80"/>
          <w:lang w:val="pl-PL"/>
        </w:rPr>
        <w:t xml:space="preserve"> </w:t>
      </w:r>
      <w:r w:rsidRPr="00104F58">
        <w:rPr>
          <w:b/>
          <w:color w:val="17428B"/>
          <w:lang w:val="pl-PL"/>
        </w:rPr>
        <w:t>komfort i dobre samopoczucie</w:t>
      </w:r>
      <w:r w:rsidRPr="00104F58">
        <w:rPr>
          <w:b/>
          <w:color w:val="17428B"/>
          <w:spacing w:val="80"/>
          <w:lang w:val="pl-PL"/>
        </w:rPr>
        <w:t xml:space="preserve"> </w:t>
      </w:r>
      <w:r w:rsidRPr="00104F58">
        <w:rPr>
          <w:color w:val="17428B"/>
          <w:lang w:val="pl-PL"/>
        </w:rPr>
        <w:t>(właściwości termiczne, akustyczne, wizualne i jakość powietrza</w:t>
      </w:r>
      <w:r w:rsidRPr="00104F58">
        <w:rPr>
          <w:color w:val="17428B"/>
          <w:spacing w:val="-2"/>
          <w:lang w:val="pl-PL"/>
        </w:rPr>
        <w:t>);</w:t>
      </w:r>
    </w:p>
    <w:p w14:paraId="6F3E545F" w14:textId="762740DD" w:rsidR="00104F58" w:rsidRPr="00104F58" w:rsidRDefault="00104F58" w:rsidP="00977E6B">
      <w:pPr>
        <w:pStyle w:val="Nagwek2"/>
        <w:numPr>
          <w:ilvl w:val="0"/>
          <w:numId w:val="7"/>
        </w:numPr>
        <w:tabs>
          <w:tab w:val="left" w:pos="1428"/>
        </w:tabs>
        <w:spacing w:before="4" w:line="237" w:lineRule="auto"/>
        <w:ind w:right="138"/>
        <w:rPr>
          <w:lang w:val="pl-PL"/>
        </w:rPr>
      </w:pPr>
      <w:r w:rsidRPr="00104F58">
        <w:rPr>
          <w:color w:val="17428B"/>
          <w:lang w:val="pl-PL"/>
        </w:rPr>
        <w:t>Dla architektów i wykonawców:</w:t>
      </w:r>
      <w:r w:rsidRPr="00104F58">
        <w:rPr>
          <w:color w:val="17428B"/>
          <w:spacing w:val="40"/>
          <w:lang w:val="pl-PL"/>
        </w:rPr>
        <w:t xml:space="preserve"> </w:t>
      </w:r>
      <w:r w:rsidRPr="00104F58">
        <w:rPr>
          <w:b/>
          <w:color w:val="17428B"/>
          <w:lang w:val="pl-PL"/>
        </w:rPr>
        <w:t xml:space="preserve">specyfikacja i doradztwo, wydajność </w:t>
      </w:r>
      <w:r w:rsidRPr="00104F58">
        <w:rPr>
          <w:bCs/>
          <w:color w:val="17428B"/>
          <w:lang w:val="pl-PL"/>
        </w:rPr>
        <w:t>na placu budowy,</w:t>
      </w:r>
      <w:r w:rsidRPr="00104F58">
        <w:rPr>
          <w:b/>
          <w:color w:val="17428B"/>
          <w:lang w:val="pl-PL"/>
        </w:rPr>
        <w:t xml:space="preserve"> materiały cyrkularne</w:t>
      </w:r>
      <w:r w:rsidRPr="00104F58">
        <w:rPr>
          <w:color w:val="17428B"/>
          <w:lang w:val="pl-PL"/>
        </w:rPr>
        <w:t>.</w:t>
      </w:r>
    </w:p>
    <w:p w14:paraId="4537C43C" w14:textId="77777777" w:rsidR="00104F58" w:rsidRPr="00230FD0" w:rsidRDefault="00104F58" w:rsidP="00977E6B">
      <w:pPr>
        <w:pStyle w:val="Tekstpodstawowy"/>
        <w:spacing w:before="1"/>
        <w:jc w:val="both"/>
        <w:rPr>
          <w:lang w:val="pl-PL"/>
        </w:rPr>
      </w:pPr>
    </w:p>
    <w:p w14:paraId="0770183A" w14:textId="0B3859D7" w:rsidR="00104F58" w:rsidRPr="00230FD0" w:rsidRDefault="00104F58" w:rsidP="00977E6B">
      <w:pPr>
        <w:ind w:right="135"/>
        <w:jc w:val="both"/>
        <w:rPr>
          <w:color w:val="17428B"/>
          <w:spacing w:val="-7"/>
          <w:lang w:val="pl-PL"/>
        </w:rPr>
      </w:pPr>
      <w:r w:rsidRPr="00230FD0">
        <w:rPr>
          <w:b/>
          <w:color w:val="17428B"/>
          <w:lang w:val="pl-PL"/>
        </w:rPr>
        <w:t>Saint-Gobain przyspiesza tempo wzrostu dzięki cross-sellingowi</w:t>
      </w:r>
      <w:r w:rsidRPr="00230FD0">
        <w:rPr>
          <w:color w:val="17428B"/>
          <w:lang w:val="pl-PL"/>
        </w:rPr>
        <w:t>,</w:t>
      </w:r>
      <w:r w:rsidRPr="00230FD0">
        <w:rPr>
          <w:color w:val="17428B"/>
          <w:spacing w:val="-7"/>
          <w:lang w:val="pl-PL"/>
        </w:rPr>
        <w:t xml:space="preserve"> wzbogacaniu oferty</w:t>
      </w:r>
      <w:r w:rsidR="00FA3D3B">
        <w:rPr>
          <w:color w:val="17428B"/>
          <w:spacing w:val="-7"/>
          <w:lang w:val="pl-PL"/>
        </w:rPr>
        <w:t xml:space="preserve"> o </w:t>
      </w:r>
      <w:r w:rsidRPr="00230FD0">
        <w:rPr>
          <w:color w:val="17428B"/>
          <w:spacing w:val="-7"/>
          <w:lang w:val="pl-PL"/>
        </w:rPr>
        <w:t xml:space="preserve">rozwiązania oferujące </w:t>
      </w:r>
      <w:r w:rsidRPr="00230FD0">
        <w:rPr>
          <w:b/>
          <w:bCs/>
          <w:color w:val="17428B"/>
          <w:spacing w:val="-7"/>
          <w:lang w:val="pl-PL"/>
        </w:rPr>
        <w:t>wysoką wartość dodaną</w:t>
      </w:r>
      <w:r w:rsidRPr="00230FD0">
        <w:rPr>
          <w:color w:val="17428B"/>
          <w:spacing w:val="-7"/>
          <w:lang w:val="pl-PL"/>
        </w:rPr>
        <w:t xml:space="preserve"> i zintegrowane systemy oraz zwiększaniu udziału</w:t>
      </w:r>
      <w:r w:rsidR="00FA3D3B">
        <w:rPr>
          <w:color w:val="17428B"/>
          <w:spacing w:val="-7"/>
          <w:lang w:val="pl-PL"/>
        </w:rPr>
        <w:t xml:space="preserve"> w </w:t>
      </w:r>
      <w:r w:rsidRPr="00230FD0">
        <w:rPr>
          <w:b/>
          <w:bCs/>
          <w:color w:val="17428B"/>
          <w:spacing w:val="-7"/>
          <w:lang w:val="pl-PL"/>
        </w:rPr>
        <w:t>sprzedaży na bazie specyfikacji</w:t>
      </w:r>
      <w:r w:rsidRPr="00230FD0">
        <w:rPr>
          <w:color w:val="17428B"/>
          <w:spacing w:val="-7"/>
          <w:lang w:val="pl-PL"/>
        </w:rPr>
        <w:t xml:space="preserve"> w ramach opartej na rynkach krajowych strategii obsługi kluczowych klientów. Rozwiązania są wdrażane we </w:t>
      </w:r>
      <w:r w:rsidRPr="00230FD0">
        <w:rPr>
          <w:b/>
          <w:bCs/>
          <w:color w:val="17428B"/>
          <w:spacing w:val="-7"/>
          <w:lang w:val="pl-PL"/>
        </w:rPr>
        <w:t>wszystkich kanałach sprzedaży</w:t>
      </w:r>
      <w:r w:rsidRPr="00230FD0">
        <w:rPr>
          <w:color w:val="17428B"/>
          <w:spacing w:val="-7"/>
          <w:lang w:val="pl-PL"/>
        </w:rPr>
        <w:t xml:space="preserve"> (</w:t>
      </w:r>
      <w:r>
        <w:rPr>
          <w:color w:val="17428B"/>
          <w:spacing w:val="-7"/>
          <w:lang w:val="pl-PL"/>
        </w:rPr>
        <w:t>dystrybucja tradycyjna</w:t>
      </w:r>
      <w:r w:rsidRPr="00230FD0">
        <w:rPr>
          <w:color w:val="17428B"/>
          <w:spacing w:val="-7"/>
          <w:lang w:val="pl-PL"/>
        </w:rPr>
        <w:t xml:space="preserve">, dystrybucja DIY, sprzedaż bezpośrednia i cyfrowa), co prowadzi do </w:t>
      </w:r>
      <w:r w:rsidRPr="00230FD0">
        <w:rPr>
          <w:b/>
          <w:bCs/>
          <w:color w:val="17428B"/>
          <w:spacing w:val="-7"/>
          <w:lang w:val="pl-PL"/>
        </w:rPr>
        <w:t>lepszych wyników</w:t>
      </w:r>
      <w:r>
        <w:rPr>
          <w:b/>
          <w:bCs/>
          <w:color w:val="17428B"/>
          <w:spacing w:val="-7"/>
          <w:lang w:val="pl-PL"/>
        </w:rPr>
        <w:t xml:space="preserve"> handlowych</w:t>
      </w:r>
      <w:r w:rsidRPr="00230FD0">
        <w:rPr>
          <w:color w:val="17428B"/>
          <w:spacing w:val="-7"/>
          <w:lang w:val="pl-PL"/>
        </w:rPr>
        <w:t xml:space="preserve">, </w:t>
      </w:r>
      <w:r w:rsidRPr="00230FD0">
        <w:rPr>
          <w:b/>
          <w:bCs/>
          <w:color w:val="17428B"/>
          <w:spacing w:val="-7"/>
          <w:lang w:val="pl-PL"/>
        </w:rPr>
        <w:t>wzbogacenia asortymentu i wyższych marż</w:t>
      </w:r>
      <w:r w:rsidRPr="00230FD0">
        <w:rPr>
          <w:color w:val="17428B"/>
          <w:spacing w:val="-7"/>
          <w:lang w:val="pl-PL"/>
        </w:rPr>
        <w:t>.</w:t>
      </w:r>
    </w:p>
    <w:p w14:paraId="4BEC05AB" w14:textId="77777777" w:rsidR="00104F58" w:rsidRDefault="00104F58" w:rsidP="00977E6B">
      <w:pPr>
        <w:jc w:val="both"/>
        <w:rPr>
          <w:rFonts w:ascii="Arial" w:eastAsia="Arial" w:hAnsi="Arial" w:cs="Arial"/>
          <w:b/>
          <w:color w:val="67B8AF"/>
          <w:sz w:val="21"/>
          <w:szCs w:val="21"/>
          <w:lang w:val="pl-PL"/>
        </w:rPr>
      </w:pPr>
      <w:r w:rsidRPr="00104F58">
        <w:rPr>
          <w:rFonts w:ascii="Arial" w:eastAsia="Arial" w:hAnsi="Arial" w:cs="Arial"/>
          <w:b/>
          <w:color w:val="67B8AF"/>
          <w:sz w:val="21"/>
          <w:szCs w:val="21"/>
          <w:lang w:val="pl-PL"/>
        </w:rPr>
        <w:t>Rynki o wysokim potencjale wzrostu: nieruchomości niemieszkalne i infrastruktura</w:t>
      </w:r>
    </w:p>
    <w:p w14:paraId="2C5399BD" w14:textId="34A6755C" w:rsidR="00104F58" w:rsidRDefault="00104F58" w:rsidP="00977E6B">
      <w:pPr>
        <w:jc w:val="both"/>
        <w:rPr>
          <w:color w:val="17428B"/>
          <w:spacing w:val="-2"/>
          <w:lang w:val="pl-PL"/>
        </w:rPr>
      </w:pPr>
      <w:r w:rsidRPr="00230FD0">
        <w:rPr>
          <w:color w:val="17428B"/>
          <w:spacing w:val="-2"/>
          <w:lang w:val="pl-PL"/>
        </w:rPr>
        <w:t xml:space="preserve">Poszerzenie oferty Grupy w ciągu ostatnich kilku lat otworzyło </w:t>
      </w:r>
      <w:r w:rsidRPr="00230FD0">
        <w:rPr>
          <w:b/>
          <w:bCs/>
          <w:color w:val="17428B"/>
          <w:spacing w:val="-2"/>
          <w:lang w:val="pl-PL"/>
        </w:rPr>
        <w:t>ogromne szanse na wzrost</w:t>
      </w:r>
      <w:r w:rsidR="00FA3D3B">
        <w:rPr>
          <w:b/>
          <w:bCs/>
          <w:color w:val="17428B"/>
          <w:spacing w:val="-2"/>
          <w:lang w:val="pl-PL"/>
        </w:rPr>
        <w:t xml:space="preserve"> w </w:t>
      </w:r>
      <w:r w:rsidRPr="00230FD0">
        <w:rPr>
          <w:b/>
          <w:bCs/>
          <w:color w:val="17428B"/>
          <w:spacing w:val="-2"/>
          <w:lang w:val="pl-PL"/>
        </w:rPr>
        <w:t>sektorze nieruchomości niemieszkalnych</w:t>
      </w:r>
      <w:r w:rsidRPr="00230FD0">
        <w:rPr>
          <w:color w:val="17428B"/>
          <w:spacing w:val="-2"/>
          <w:lang w:val="pl-PL"/>
        </w:rPr>
        <w:t xml:space="preserve"> (w tym placówek edukacyjnych i opieki zdrowotnej, hoteli i centrów danych) </w:t>
      </w:r>
      <w:r w:rsidRPr="00230FD0">
        <w:rPr>
          <w:b/>
          <w:bCs/>
          <w:color w:val="17428B"/>
          <w:spacing w:val="-2"/>
          <w:lang w:val="pl-PL"/>
        </w:rPr>
        <w:t>oraz infrastruktury</w:t>
      </w:r>
      <w:r w:rsidRPr="00230FD0">
        <w:rPr>
          <w:color w:val="17428B"/>
          <w:spacing w:val="-2"/>
          <w:lang w:val="pl-PL"/>
        </w:rPr>
        <w:t xml:space="preserve"> (transport, energetyka). Saint-Gobain generuje 15 mld EUR przychodów na rynku, którego aktualna wartość wynosi</w:t>
      </w:r>
      <w:r>
        <w:rPr>
          <w:color w:val="17428B"/>
          <w:spacing w:val="-2"/>
          <w:lang w:val="pl-PL"/>
        </w:rPr>
        <w:t xml:space="preserve"> </w:t>
      </w:r>
      <w:r w:rsidRPr="00230FD0">
        <w:rPr>
          <w:color w:val="17428B"/>
          <w:spacing w:val="-2"/>
          <w:lang w:val="pl-PL"/>
        </w:rPr>
        <w:t>około 250 mld EUR, i opracowuje dostosowane do potrzeb klientów oferty bazujące na zróżnicowanych i innowacyjnych flagowych produktach, które wspierają sprzedaż całej oferty Grupy.</w:t>
      </w:r>
    </w:p>
    <w:p w14:paraId="3A8267D5" w14:textId="77777777" w:rsidR="00104F58" w:rsidRPr="00104F58" w:rsidRDefault="00104F58" w:rsidP="00977E6B">
      <w:pPr>
        <w:pStyle w:val="Akapitzlist"/>
        <w:numPr>
          <w:ilvl w:val="0"/>
          <w:numId w:val="10"/>
        </w:numPr>
        <w:jc w:val="both"/>
        <w:rPr>
          <w:color w:val="17428B"/>
          <w:lang w:val="pl-PL"/>
        </w:rPr>
      </w:pPr>
      <w:r w:rsidRPr="00104F58">
        <w:rPr>
          <w:b/>
          <w:color w:val="17428B"/>
          <w:lang w:val="pl-PL"/>
        </w:rPr>
        <w:t xml:space="preserve">Placówki służby zdrowia: </w:t>
      </w:r>
      <w:r w:rsidRPr="00104F58">
        <w:rPr>
          <w:color w:val="17428B"/>
          <w:lang w:val="pl-PL"/>
        </w:rPr>
        <w:t>rozwiązania zapewniające komfort latem, ochronę przed promieniowaniem rentgenowskim, higienę, jakość powietrza i komfort akustyczny;</w:t>
      </w:r>
    </w:p>
    <w:p w14:paraId="31661F23" w14:textId="77777777" w:rsidR="00104F58" w:rsidRPr="00104F58" w:rsidRDefault="00104F58" w:rsidP="00977E6B">
      <w:pPr>
        <w:pStyle w:val="Akapitzlist"/>
        <w:numPr>
          <w:ilvl w:val="0"/>
          <w:numId w:val="10"/>
        </w:numPr>
        <w:jc w:val="both"/>
        <w:rPr>
          <w:color w:val="17428B"/>
          <w:lang w:val="pl-PL"/>
        </w:rPr>
      </w:pPr>
      <w:r w:rsidRPr="00104F58">
        <w:rPr>
          <w:b/>
          <w:color w:val="17428B"/>
          <w:lang w:val="pl-PL"/>
        </w:rPr>
        <w:t>Centra danych i czyste gałęzie przemysłu:</w:t>
      </w:r>
      <w:r w:rsidRPr="00104F58">
        <w:rPr>
          <w:b/>
          <w:color w:val="17428B"/>
          <w:spacing w:val="40"/>
          <w:lang w:val="pl-PL"/>
        </w:rPr>
        <w:t xml:space="preserve"> </w:t>
      </w:r>
      <w:r w:rsidRPr="00104F58">
        <w:rPr>
          <w:color w:val="17428B"/>
          <w:lang w:val="pl-PL"/>
        </w:rPr>
        <w:t>rozwiązania zapewniające szybką budowę, ściany działowe i beton o obniżonym śladzie węglowym, zarządzanie przepływem powietrza oraz lepszą izolację termiczną;</w:t>
      </w:r>
    </w:p>
    <w:p w14:paraId="633AF3A3" w14:textId="1CAAEB84" w:rsidR="00104F58" w:rsidRPr="00104F58" w:rsidRDefault="00104F58" w:rsidP="00977E6B">
      <w:pPr>
        <w:pStyle w:val="Akapitzlist"/>
        <w:numPr>
          <w:ilvl w:val="0"/>
          <w:numId w:val="10"/>
        </w:numPr>
        <w:jc w:val="both"/>
        <w:rPr>
          <w:color w:val="17428B"/>
          <w:lang w:val="pl-PL"/>
        </w:rPr>
      </w:pPr>
      <w:r w:rsidRPr="00104F58">
        <w:rPr>
          <w:b/>
          <w:color w:val="17428B"/>
          <w:lang w:val="pl-PL"/>
        </w:rPr>
        <w:t>Mosty i tunele:</w:t>
      </w:r>
      <w:r w:rsidRPr="00104F58">
        <w:rPr>
          <w:b/>
          <w:color w:val="17428B"/>
          <w:spacing w:val="40"/>
          <w:lang w:val="pl-PL"/>
        </w:rPr>
        <w:t xml:space="preserve"> </w:t>
      </w:r>
      <w:r w:rsidRPr="00104F58">
        <w:rPr>
          <w:color w:val="17428B"/>
          <w:lang w:val="pl-PL"/>
        </w:rPr>
        <w:t>hydroizolacje techniczne, domieszki specjalistyczne, zaprawy rozprężne</w:t>
      </w:r>
      <w:r w:rsidR="00FA3D3B">
        <w:rPr>
          <w:color w:val="17428B"/>
          <w:lang w:val="pl-PL"/>
        </w:rPr>
        <w:t xml:space="preserve"> i </w:t>
      </w:r>
      <w:r w:rsidRPr="00104F58">
        <w:rPr>
          <w:color w:val="17428B"/>
          <w:lang w:val="pl-PL"/>
        </w:rPr>
        <w:t>iniekcyjne, zaprawy naprawcze i ochronne;</w:t>
      </w:r>
    </w:p>
    <w:p w14:paraId="6B1263E4" w14:textId="77777777" w:rsidR="00104F58" w:rsidRPr="00104F58" w:rsidRDefault="00104F58" w:rsidP="00977E6B">
      <w:pPr>
        <w:pStyle w:val="Akapitzlist"/>
        <w:numPr>
          <w:ilvl w:val="0"/>
          <w:numId w:val="10"/>
        </w:numPr>
        <w:jc w:val="both"/>
        <w:rPr>
          <w:b/>
          <w:color w:val="67B8AF"/>
          <w:sz w:val="21"/>
          <w:szCs w:val="21"/>
          <w:lang w:val="pl-PL"/>
        </w:rPr>
      </w:pPr>
      <w:r w:rsidRPr="00104F58">
        <w:rPr>
          <w:b/>
          <w:color w:val="17428B"/>
          <w:lang w:val="pl-PL"/>
        </w:rPr>
        <w:t>Lotniska:</w:t>
      </w:r>
      <w:r w:rsidRPr="00104F58">
        <w:rPr>
          <w:b/>
          <w:color w:val="17428B"/>
          <w:spacing w:val="40"/>
          <w:lang w:val="pl-PL"/>
        </w:rPr>
        <w:t xml:space="preserve"> </w:t>
      </w:r>
      <w:r w:rsidRPr="00104F58">
        <w:rPr>
          <w:color w:val="17428B"/>
          <w:lang w:val="pl-PL"/>
        </w:rPr>
        <w:t>zbrojenia pasów startowych, szkło ognioodporne, , fasady z kontrolą nasłonecznienia, podłogi techniczne i przegrody akustyczne.</w:t>
      </w:r>
    </w:p>
    <w:p w14:paraId="23D6AF82" w14:textId="77777777" w:rsidR="00FA3D3B" w:rsidRDefault="00FA3D3B" w:rsidP="00977E6B">
      <w:pPr>
        <w:jc w:val="both"/>
        <w:rPr>
          <w:b/>
          <w:color w:val="17428B"/>
          <w:lang w:val="pl-PL"/>
        </w:rPr>
      </w:pPr>
    </w:p>
    <w:p w14:paraId="1B47EEF6" w14:textId="0FED760E" w:rsidR="00104F58" w:rsidRDefault="00104F58" w:rsidP="00977E6B">
      <w:pPr>
        <w:jc w:val="both"/>
        <w:rPr>
          <w:b/>
          <w:color w:val="17428B"/>
          <w:spacing w:val="-2"/>
          <w:lang w:val="pl-PL"/>
        </w:rPr>
      </w:pPr>
      <w:r w:rsidRPr="00104F58">
        <w:rPr>
          <w:b/>
          <w:color w:val="17428B"/>
          <w:lang w:val="pl-PL"/>
        </w:rPr>
        <w:t>Grupa dysponuje wyjątkowymi atutami, które pozwolą jej rozwijać się na tych perspektywicznych rynkach</w:t>
      </w:r>
      <w:r w:rsidRPr="00104F58">
        <w:rPr>
          <w:b/>
          <w:color w:val="17428B"/>
          <w:spacing w:val="-2"/>
          <w:lang w:val="pl-PL"/>
        </w:rPr>
        <w:t>:</w:t>
      </w:r>
    </w:p>
    <w:p w14:paraId="45B64E55" w14:textId="77777777" w:rsidR="00104F58" w:rsidRPr="00104F58" w:rsidRDefault="00104F58" w:rsidP="00977E6B">
      <w:pPr>
        <w:pStyle w:val="Akapitzlist"/>
        <w:numPr>
          <w:ilvl w:val="0"/>
          <w:numId w:val="11"/>
        </w:numPr>
        <w:jc w:val="both"/>
        <w:rPr>
          <w:color w:val="17428B"/>
          <w:lang w:val="pl-PL"/>
        </w:rPr>
      </w:pPr>
      <w:r w:rsidRPr="00104F58">
        <w:rPr>
          <w:b/>
          <w:color w:val="17428B"/>
          <w:lang w:val="pl-PL"/>
        </w:rPr>
        <w:t>Zespoły ds. specyfikacji</w:t>
      </w:r>
      <w:r w:rsidRPr="00104F58">
        <w:rPr>
          <w:b/>
          <w:color w:val="17428B"/>
          <w:spacing w:val="-15"/>
          <w:lang w:val="pl-PL"/>
        </w:rPr>
        <w:t xml:space="preserve"> </w:t>
      </w:r>
      <w:r w:rsidRPr="00104F58">
        <w:rPr>
          <w:color w:val="17428B"/>
          <w:lang w:val="pl-PL"/>
        </w:rPr>
        <w:t>w poszczególnych krajach, specjalizujące się w kompleksowych i wielkoskalowych projektach, wykorzystujące relacje z kluczowymi klientami i flagowe produkty;</w:t>
      </w:r>
    </w:p>
    <w:p w14:paraId="612AEDBD" w14:textId="75C7E01C" w:rsidR="00104F58" w:rsidRPr="00104F58" w:rsidRDefault="00104F58" w:rsidP="00977E6B">
      <w:pPr>
        <w:pStyle w:val="Akapitzlist"/>
        <w:numPr>
          <w:ilvl w:val="0"/>
          <w:numId w:val="11"/>
        </w:numPr>
        <w:jc w:val="both"/>
        <w:rPr>
          <w:color w:val="17428B"/>
          <w:lang w:val="pl-PL"/>
        </w:rPr>
      </w:pPr>
      <w:r w:rsidRPr="00104F58">
        <w:rPr>
          <w:b/>
          <w:color w:val="17428B"/>
          <w:lang w:val="pl-PL"/>
        </w:rPr>
        <w:t>Potencjał innowacyjny</w:t>
      </w:r>
      <w:r w:rsidRPr="00104F58">
        <w:rPr>
          <w:color w:val="17428B"/>
          <w:lang w:val="pl-PL"/>
        </w:rPr>
        <w:t>, wspierany przez specjalistyczną wiedzę z zakresu budownictwa</w:t>
      </w:r>
      <w:r w:rsidR="00FA3D3B">
        <w:rPr>
          <w:color w:val="17428B"/>
          <w:lang w:val="pl-PL"/>
        </w:rPr>
        <w:t xml:space="preserve"> i </w:t>
      </w:r>
      <w:r w:rsidRPr="00104F58">
        <w:rPr>
          <w:color w:val="17428B"/>
          <w:lang w:val="pl-PL"/>
        </w:rPr>
        <w:t>sztuczną inteligencję, który pozwala Saint-Gobain odgrywać pionierską rolę</w:t>
      </w:r>
      <w:r w:rsidR="00FA3D3B">
        <w:rPr>
          <w:color w:val="17428B"/>
          <w:lang w:val="pl-PL"/>
        </w:rPr>
        <w:t xml:space="preserve"> i </w:t>
      </w:r>
      <w:r w:rsidRPr="00104F58">
        <w:rPr>
          <w:color w:val="17428B"/>
          <w:lang w:val="pl-PL"/>
        </w:rPr>
        <w:t>dostosowywać swoje rozwiązania do specyfiki każdego lokalnego rynku,</w:t>
      </w:r>
      <w:r w:rsidR="00FA3D3B">
        <w:rPr>
          <w:color w:val="17428B"/>
          <w:lang w:val="pl-PL"/>
        </w:rPr>
        <w:t xml:space="preserve"> z </w:t>
      </w:r>
      <w:r w:rsidRPr="00104F58">
        <w:rPr>
          <w:color w:val="17428B"/>
          <w:lang w:val="pl-PL"/>
        </w:rPr>
        <w:t>wykorzystaniem regionalnych ośrodków badawczo-rozwojowych;</w:t>
      </w:r>
    </w:p>
    <w:p w14:paraId="759C1C23" w14:textId="442F2F00" w:rsidR="00104F58" w:rsidRPr="00104F58" w:rsidRDefault="00104F58" w:rsidP="00977E6B">
      <w:pPr>
        <w:pStyle w:val="Akapitzlist"/>
        <w:numPr>
          <w:ilvl w:val="0"/>
          <w:numId w:val="11"/>
        </w:numPr>
        <w:jc w:val="both"/>
        <w:rPr>
          <w:b/>
          <w:color w:val="67B8AF"/>
          <w:sz w:val="21"/>
          <w:szCs w:val="21"/>
          <w:lang w:val="pl-PL"/>
        </w:rPr>
      </w:pPr>
      <w:r w:rsidRPr="00104F58">
        <w:rPr>
          <w:b/>
          <w:color w:val="17428B"/>
          <w:lang w:val="pl-PL"/>
        </w:rPr>
        <w:t>Wiodąca pozycja w branży chemii budowlanej</w:t>
      </w:r>
      <w:r w:rsidRPr="00104F58">
        <w:rPr>
          <w:color w:val="17428B"/>
          <w:lang w:val="pl-PL"/>
        </w:rPr>
        <w:t xml:space="preserve">, gdzie Grupa planuje zwiększyć sprzedaż </w:t>
      </w:r>
      <w:r w:rsidRPr="00104F58">
        <w:rPr>
          <w:color w:val="17428B"/>
          <w:lang w:val="pl-PL"/>
        </w:rPr>
        <w:lastRenderedPageBreak/>
        <w:t xml:space="preserve">z obecnych 6,5 mld EUR do </w:t>
      </w:r>
      <w:r w:rsidRPr="00104F58">
        <w:rPr>
          <w:b/>
          <w:bCs/>
          <w:color w:val="17428B"/>
          <w:lang w:val="pl-PL"/>
        </w:rPr>
        <w:t>ponad 9 mld EUR</w:t>
      </w:r>
      <w:r w:rsidRPr="00104F58">
        <w:rPr>
          <w:color w:val="17428B"/>
          <w:lang w:val="pl-PL"/>
        </w:rPr>
        <w:t xml:space="preserve"> do 2030 roku,</w:t>
      </w:r>
      <w:r w:rsidRPr="00104F58">
        <w:rPr>
          <w:b/>
          <w:bCs/>
          <w:color w:val="17428B"/>
          <w:lang w:val="pl-PL"/>
        </w:rPr>
        <w:t xml:space="preserve"> wzmacniając swoją ekspozycję na segment budownictwa infrastrukturalnego.</w:t>
      </w:r>
    </w:p>
    <w:p w14:paraId="387F426C" w14:textId="77777777" w:rsidR="00104F58" w:rsidRDefault="00104F58" w:rsidP="00977E6B">
      <w:pPr>
        <w:jc w:val="both"/>
        <w:rPr>
          <w:lang w:val="pl-PL"/>
        </w:rPr>
      </w:pPr>
    </w:p>
    <w:p w14:paraId="1FFD26D7" w14:textId="3C15CDB7" w:rsidR="00104F58" w:rsidRPr="00104F58" w:rsidRDefault="00104F58" w:rsidP="00977E6B">
      <w:pPr>
        <w:jc w:val="both"/>
        <w:rPr>
          <w:lang w:val="pl-PL"/>
        </w:rPr>
      </w:pPr>
      <w:r w:rsidRPr="004A06BF">
        <w:rPr>
          <w:rFonts w:eastAsia="MS Gothic" w:cs="Arial (Headings)"/>
          <w:b/>
          <w:noProof/>
          <w:color w:val="219CDC"/>
          <w:sz w:val="32"/>
          <w:szCs w:val="36"/>
          <w:lang w:val="pl-PL"/>
          <w14:textFill>
            <w14:gradFill>
              <w14:gsLst>
                <w14:gs w14:pos="50000">
                  <w14:srgbClr w14:val="219CDC"/>
                </w14:gs>
                <w14:gs w14:pos="0">
                  <w14:srgbClr w14:val="17428C"/>
                </w14:gs>
                <w14:gs w14:pos="100000">
                  <w14:srgbClr w14:val="67B9B0"/>
                </w14:gs>
              </w14:gsLst>
              <w14:lin w14:ang="0" w14:scaled="0"/>
            </w14:gradFill>
          </w14:textFill>
        </w:rPr>
        <w:t>Strategia atrakcyjna dla akcjonariuszy</w:t>
      </w:r>
    </w:p>
    <w:p w14:paraId="1776701C" w14:textId="77777777" w:rsidR="00104F58" w:rsidRDefault="00104F58" w:rsidP="00977E6B">
      <w:pPr>
        <w:pStyle w:val="Tekstpodstawowy"/>
        <w:spacing w:before="176" w:line="256" w:lineRule="auto"/>
        <w:ind w:right="136"/>
        <w:jc w:val="both"/>
        <w:rPr>
          <w:b/>
          <w:color w:val="67B8AF"/>
          <w:sz w:val="21"/>
          <w:szCs w:val="21"/>
          <w:lang w:val="pl-PL"/>
        </w:rPr>
      </w:pPr>
      <w:r w:rsidRPr="00104F58">
        <w:rPr>
          <w:b/>
          <w:color w:val="67B8AF"/>
          <w:sz w:val="21"/>
          <w:szCs w:val="21"/>
          <w:lang w:val="pl-PL"/>
        </w:rPr>
        <w:t>Alokacja kapitału skoncentrowana na wzroście i tworzeniu wartości</w:t>
      </w:r>
    </w:p>
    <w:p w14:paraId="0D685C41" w14:textId="77777777" w:rsidR="00104F58" w:rsidRDefault="00104F58" w:rsidP="00977E6B">
      <w:pPr>
        <w:pStyle w:val="Tekstpodstawowy"/>
        <w:spacing w:before="176" w:line="256" w:lineRule="auto"/>
        <w:ind w:right="136"/>
        <w:jc w:val="both"/>
        <w:rPr>
          <w:color w:val="17428B"/>
          <w:sz w:val="21"/>
          <w:szCs w:val="21"/>
          <w:shd w:val="clear" w:color="auto" w:fill="FFFFFF"/>
          <w:lang w:val="pl-PL"/>
        </w:rPr>
      </w:pPr>
      <w:r w:rsidRPr="00104F58">
        <w:rPr>
          <w:color w:val="17428B"/>
          <w:sz w:val="21"/>
          <w:szCs w:val="21"/>
          <w:shd w:val="clear" w:color="auto" w:fill="FFFFFF"/>
          <w:lang w:val="pl-PL"/>
        </w:rPr>
        <w:t xml:space="preserve">Dzięki zdolności do generowania „gotówki” Saint-Gobain planuje alokację około </w:t>
      </w:r>
      <w:r w:rsidRPr="00104F58">
        <w:rPr>
          <w:b/>
          <w:bCs/>
          <w:color w:val="17428B"/>
          <w:sz w:val="21"/>
          <w:szCs w:val="21"/>
          <w:shd w:val="clear" w:color="auto" w:fill="FFFFFF"/>
          <w:lang w:val="pl-PL"/>
        </w:rPr>
        <w:t>20 mld EUR kapitału w latach 2026–2030</w:t>
      </w:r>
      <w:r w:rsidRPr="00104F58">
        <w:rPr>
          <w:color w:val="17428B"/>
          <w:sz w:val="21"/>
          <w:szCs w:val="21"/>
          <w:shd w:val="clear" w:color="auto" w:fill="FFFFFF"/>
          <w:lang w:val="pl-PL"/>
        </w:rPr>
        <w:t xml:space="preserve">, łącząc wzrost z atrakcyjnymi zyskami dla akcjonariuszy przy jednoczesnym utrzymaniu </w:t>
      </w:r>
      <w:r w:rsidRPr="00104F58">
        <w:rPr>
          <w:b/>
          <w:bCs/>
          <w:color w:val="17428B"/>
          <w:sz w:val="21"/>
          <w:szCs w:val="21"/>
          <w:shd w:val="clear" w:color="auto" w:fill="FFFFFF"/>
          <w:lang w:val="pl-PL"/>
        </w:rPr>
        <w:t>solidnego bilansu i wskaźnika zadłużenia netto do EBITDA na poziomie od 1,5x do 2,0x</w:t>
      </w:r>
      <w:r w:rsidRPr="00104F58">
        <w:rPr>
          <w:color w:val="17428B"/>
          <w:sz w:val="21"/>
          <w:szCs w:val="21"/>
          <w:shd w:val="clear" w:color="auto" w:fill="FFFFFF"/>
          <w:lang w:val="pl-PL"/>
        </w:rPr>
        <w:t>:</w:t>
      </w:r>
    </w:p>
    <w:p w14:paraId="368F1BEC" w14:textId="6A0C7DEC" w:rsidR="00104F58" w:rsidRDefault="00104F58" w:rsidP="00977E6B">
      <w:pPr>
        <w:pStyle w:val="Tekstpodstawowy"/>
        <w:numPr>
          <w:ilvl w:val="0"/>
          <w:numId w:val="12"/>
        </w:numPr>
        <w:spacing w:before="176" w:line="256" w:lineRule="auto"/>
        <w:ind w:right="136"/>
        <w:jc w:val="both"/>
        <w:rPr>
          <w:color w:val="17428B"/>
          <w:sz w:val="21"/>
          <w:szCs w:val="21"/>
          <w:shd w:val="clear" w:color="auto" w:fill="FFFFFF"/>
          <w:lang w:val="pl-PL"/>
        </w:rPr>
      </w:pPr>
      <w:r w:rsidRPr="00104F58">
        <w:rPr>
          <w:b/>
          <w:bCs/>
          <w:color w:val="17428B"/>
          <w:sz w:val="21"/>
          <w:szCs w:val="21"/>
          <w:shd w:val="clear" w:color="auto" w:fill="FFFFFF"/>
          <w:lang w:val="pl-PL"/>
        </w:rPr>
        <w:t>Około 12 mld EUR przeznaczone zostanie na inwestycje w rozwój i przejęcia</w:t>
      </w:r>
      <w:r w:rsidRPr="00104F58">
        <w:rPr>
          <w:color w:val="17428B"/>
          <w:sz w:val="21"/>
          <w:szCs w:val="21"/>
          <w:shd w:val="clear" w:color="auto" w:fill="FFFFFF"/>
          <w:lang w:val="pl-PL"/>
        </w:rPr>
        <w:t xml:space="preserve"> (netto po uwzględnieniu zbycia aktywów), przy zastosowaniu rygorystycznych kryteriów, zarówno</w:t>
      </w:r>
      <w:r w:rsidR="00FA3D3B">
        <w:rPr>
          <w:color w:val="17428B"/>
          <w:sz w:val="21"/>
          <w:szCs w:val="21"/>
          <w:shd w:val="clear" w:color="auto" w:fill="FFFFFF"/>
          <w:lang w:val="pl-PL"/>
        </w:rPr>
        <w:t xml:space="preserve"> w </w:t>
      </w:r>
      <w:r w:rsidRPr="00104F58">
        <w:rPr>
          <w:color w:val="17428B"/>
          <w:sz w:val="21"/>
          <w:szCs w:val="21"/>
          <w:shd w:val="clear" w:color="auto" w:fill="FFFFFF"/>
          <w:lang w:val="pl-PL"/>
        </w:rPr>
        <w:t xml:space="preserve">przypadku inwestycji w dodatkowe moce produkcyjne (IRR &gt; 20%), jak i przejęć (tworzenie wartości przy ROCE &gt; WACC w ciągu 3 lat). Nacisk zostanie położony na </w:t>
      </w:r>
      <w:r w:rsidRPr="00104F58">
        <w:rPr>
          <w:b/>
          <w:bCs/>
          <w:color w:val="17428B"/>
          <w:sz w:val="21"/>
          <w:szCs w:val="21"/>
          <w:shd w:val="clear" w:color="auto" w:fill="FFFFFF"/>
          <w:lang w:val="pl-PL"/>
        </w:rPr>
        <w:t>umocnienie pozycji lidera, rynki o wysokim wzroście gospodarczym i sektor chemii budowlanej</w:t>
      </w:r>
      <w:r w:rsidRPr="00104F58">
        <w:rPr>
          <w:color w:val="17428B"/>
          <w:sz w:val="21"/>
          <w:szCs w:val="21"/>
          <w:shd w:val="clear" w:color="auto" w:fill="FFFFFF"/>
          <w:lang w:val="pl-PL"/>
        </w:rPr>
        <w:t>.</w:t>
      </w:r>
    </w:p>
    <w:p w14:paraId="75E315C5" w14:textId="0408AEDC" w:rsidR="00104F58" w:rsidRDefault="00104F58" w:rsidP="00977E6B">
      <w:pPr>
        <w:pStyle w:val="Tekstpodstawowy"/>
        <w:numPr>
          <w:ilvl w:val="0"/>
          <w:numId w:val="12"/>
        </w:numPr>
        <w:spacing w:before="176" w:line="256" w:lineRule="auto"/>
        <w:ind w:right="136"/>
        <w:jc w:val="both"/>
        <w:rPr>
          <w:color w:val="17428B"/>
          <w:sz w:val="21"/>
          <w:szCs w:val="21"/>
          <w:shd w:val="clear" w:color="auto" w:fill="FFFFFF"/>
          <w:lang w:val="pl-PL"/>
        </w:rPr>
      </w:pPr>
      <w:r w:rsidRPr="00104F58">
        <w:rPr>
          <w:b/>
          <w:bCs/>
          <w:color w:val="17428B"/>
          <w:sz w:val="21"/>
          <w:szCs w:val="21"/>
          <w:shd w:val="clear" w:color="auto" w:fill="FFFFFF"/>
          <w:lang w:val="pl-PL"/>
        </w:rPr>
        <w:t>Aktywna optymalizacja profilu Grupy</w:t>
      </w:r>
      <w:r w:rsidRPr="00104F58">
        <w:rPr>
          <w:color w:val="17428B"/>
          <w:sz w:val="21"/>
          <w:szCs w:val="21"/>
          <w:shd w:val="clear" w:color="auto" w:fill="FFFFFF"/>
          <w:lang w:val="pl-PL"/>
        </w:rPr>
        <w:t xml:space="preserve"> w celu kontynuowania wzrostu, rentowności</w:t>
      </w:r>
      <w:r w:rsidR="00FA3D3B">
        <w:rPr>
          <w:color w:val="17428B"/>
          <w:sz w:val="21"/>
          <w:szCs w:val="21"/>
          <w:shd w:val="clear" w:color="auto" w:fill="FFFFFF"/>
          <w:lang w:val="pl-PL"/>
        </w:rPr>
        <w:t xml:space="preserve"> i </w:t>
      </w:r>
      <w:r w:rsidRPr="00104F58">
        <w:rPr>
          <w:color w:val="17428B"/>
          <w:sz w:val="21"/>
          <w:szCs w:val="21"/>
          <w:shd w:val="clear" w:color="auto" w:fill="FFFFFF"/>
          <w:lang w:val="pl-PL"/>
        </w:rPr>
        <w:t xml:space="preserve">tworzenia wartości, </w:t>
      </w:r>
      <w:r w:rsidRPr="00104F58">
        <w:rPr>
          <w:b/>
          <w:bCs/>
          <w:color w:val="17428B"/>
          <w:sz w:val="21"/>
          <w:szCs w:val="21"/>
          <w:shd w:val="clear" w:color="auto" w:fill="FFFFFF"/>
          <w:lang w:val="pl-PL"/>
        </w:rPr>
        <w:t>z docelową rotacją aktywów na poziomie ponad 20% wartości sprzedaży do 2030 roku</w:t>
      </w:r>
      <w:r w:rsidRPr="00104F58">
        <w:rPr>
          <w:color w:val="17428B"/>
          <w:sz w:val="21"/>
          <w:szCs w:val="21"/>
          <w:shd w:val="clear" w:color="auto" w:fill="FFFFFF"/>
          <w:lang w:val="pl-PL"/>
        </w:rPr>
        <w:t xml:space="preserve"> (zbycia i przejęcia).</w:t>
      </w:r>
    </w:p>
    <w:p w14:paraId="53AA592D" w14:textId="60E2BFC0" w:rsidR="00104F58" w:rsidRPr="00104F58" w:rsidRDefault="00104F58" w:rsidP="00977E6B">
      <w:pPr>
        <w:pStyle w:val="Tekstpodstawowy"/>
        <w:numPr>
          <w:ilvl w:val="0"/>
          <w:numId w:val="12"/>
        </w:numPr>
        <w:spacing w:before="176" w:line="256" w:lineRule="auto"/>
        <w:ind w:right="136"/>
        <w:jc w:val="both"/>
        <w:rPr>
          <w:b/>
          <w:bCs/>
          <w:color w:val="17428B"/>
          <w:sz w:val="21"/>
          <w:szCs w:val="21"/>
          <w:shd w:val="clear" w:color="auto" w:fill="FFFFFF"/>
          <w:lang w:val="pl-PL"/>
        </w:rPr>
      </w:pPr>
      <w:r w:rsidRPr="00104F58">
        <w:rPr>
          <w:b/>
          <w:bCs/>
          <w:color w:val="17428B"/>
          <w:sz w:val="21"/>
          <w:szCs w:val="21"/>
          <w:shd w:val="clear" w:color="auto" w:fill="FFFFFF"/>
          <w:lang w:val="pl-PL"/>
        </w:rPr>
        <w:t>Wyższy zwrot z inwestycji dla akcjonariuszy, szacowany na około 8 mld EUR</w:t>
      </w:r>
    </w:p>
    <w:p w14:paraId="30101B01" w14:textId="77777777" w:rsidR="00104F58" w:rsidRDefault="00104F58" w:rsidP="00977E6B">
      <w:pPr>
        <w:pStyle w:val="Tekstpodstawowy"/>
        <w:numPr>
          <w:ilvl w:val="0"/>
          <w:numId w:val="13"/>
        </w:numPr>
        <w:spacing w:before="176" w:line="256" w:lineRule="auto"/>
        <w:ind w:left="1134" w:right="136"/>
        <w:jc w:val="both"/>
        <w:rPr>
          <w:color w:val="17428B"/>
          <w:sz w:val="21"/>
          <w:szCs w:val="21"/>
          <w:shd w:val="clear" w:color="auto" w:fill="FFFFFF"/>
          <w:lang w:val="pl-PL"/>
        </w:rPr>
      </w:pPr>
      <w:r w:rsidRPr="00104F58">
        <w:rPr>
          <w:b/>
          <w:bCs/>
          <w:color w:val="17428B"/>
          <w:sz w:val="21"/>
          <w:szCs w:val="21"/>
          <w:shd w:val="clear" w:color="auto" w:fill="FFFFFF"/>
          <w:lang w:val="pl-PL"/>
        </w:rPr>
        <w:t>Około 6 mld EUR</w:t>
      </w:r>
      <w:r w:rsidRPr="00104F58">
        <w:rPr>
          <w:color w:val="17428B"/>
          <w:sz w:val="21"/>
          <w:szCs w:val="21"/>
          <w:shd w:val="clear" w:color="auto" w:fill="FFFFFF"/>
          <w:lang w:val="pl-PL"/>
        </w:rPr>
        <w:t xml:space="preserve"> zostanie rozdzielone między akcjonariuszy w formie dywidendy, przy czym celem jest regularny wzrost wartości </w:t>
      </w:r>
      <w:r w:rsidRPr="00104F58">
        <w:rPr>
          <w:b/>
          <w:bCs/>
          <w:color w:val="17428B"/>
          <w:sz w:val="21"/>
          <w:szCs w:val="21"/>
          <w:shd w:val="clear" w:color="auto" w:fill="FFFFFF"/>
          <w:lang w:val="pl-PL"/>
        </w:rPr>
        <w:t>dywidendy</w:t>
      </w:r>
      <w:r w:rsidRPr="00104F58">
        <w:rPr>
          <w:color w:val="17428B"/>
          <w:sz w:val="21"/>
          <w:szCs w:val="21"/>
          <w:shd w:val="clear" w:color="auto" w:fill="FFFFFF"/>
          <w:lang w:val="pl-PL"/>
        </w:rPr>
        <w:t xml:space="preserve"> na akcję;</w:t>
      </w:r>
    </w:p>
    <w:p w14:paraId="6810EA70" w14:textId="6F8DDACF" w:rsidR="00104F58" w:rsidRDefault="00104F58" w:rsidP="00977E6B">
      <w:pPr>
        <w:pStyle w:val="Tekstpodstawowy"/>
        <w:numPr>
          <w:ilvl w:val="0"/>
          <w:numId w:val="13"/>
        </w:numPr>
        <w:spacing w:before="176" w:line="256" w:lineRule="auto"/>
        <w:ind w:left="1134" w:right="136"/>
        <w:jc w:val="both"/>
        <w:rPr>
          <w:color w:val="17428B"/>
          <w:sz w:val="21"/>
          <w:szCs w:val="21"/>
          <w:shd w:val="clear" w:color="auto" w:fill="FFFFFF"/>
          <w:lang w:val="pl-PL"/>
        </w:rPr>
      </w:pPr>
      <w:r w:rsidRPr="00104F58">
        <w:rPr>
          <w:b/>
          <w:bCs/>
          <w:color w:val="17428B"/>
          <w:sz w:val="21"/>
          <w:szCs w:val="21"/>
          <w:shd w:val="clear" w:color="auto" w:fill="FFFFFF"/>
          <w:lang w:val="pl-PL"/>
        </w:rPr>
        <w:t>2 mld EUR</w:t>
      </w:r>
      <w:r w:rsidRPr="00104F58">
        <w:rPr>
          <w:color w:val="17428B"/>
          <w:sz w:val="21"/>
          <w:szCs w:val="21"/>
          <w:shd w:val="clear" w:color="auto" w:fill="FFFFFF"/>
          <w:lang w:val="pl-PL"/>
        </w:rPr>
        <w:t xml:space="preserve"> zostanie przeznaczone na </w:t>
      </w:r>
      <w:r w:rsidRPr="00104F58">
        <w:rPr>
          <w:b/>
          <w:bCs/>
          <w:color w:val="17428B"/>
          <w:sz w:val="21"/>
          <w:szCs w:val="21"/>
          <w:shd w:val="clear" w:color="auto" w:fill="FFFFFF"/>
          <w:lang w:val="pl-PL"/>
        </w:rPr>
        <w:t>wykup akcji</w:t>
      </w:r>
      <w:r w:rsidRPr="00104F58">
        <w:rPr>
          <w:color w:val="17428B"/>
          <w:sz w:val="21"/>
          <w:szCs w:val="21"/>
          <w:shd w:val="clear" w:color="auto" w:fill="FFFFFF"/>
          <w:lang w:val="pl-PL"/>
        </w:rPr>
        <w:t>.</w:t>
      </w:r>
    </w:p>
    <w:p w14:paraId="57A7ACFC" w14:textId="1BEE0B73" w:rsidR="00104F58" w:rsidRDefault="00104F58" w:rsidP="00977E6B">
      <w:pPr>
        <w:pStyle w:val="Tekstpodstawowy"/>
        <w:spacing w:before="176" w:line="256" w:lineRule="auto"/>
        <w:ind w:right="136"/>
        <w:jc w:val="both"/>
        <w:rPr>
          <w:b/>
          <w:color w:val="67B8AF"/>
          <w:sz w:val="21"/>
          <w:szCs w:val="21"/>
          <w:lang w:val="pl-PL"/>
        </w:rPr>
      </w:pPr>
      <w:r w:rsidRPr="00104F58">
        <w:rPr>
          <w:b/>
          <w:color w:val="67B8AF"/>
          <w:sz w:val="21"/>
          <w:szCs w:val="21"/>
          <w:lang w:val="pl-PL"/>
        </w:rPr>
        <w:t>Podwyższone cele finansowe: ambitna trajektoria na lata 2026–2030:</w:t>
      </w:r>
    </w:p>
    <w:p w14:paraId="46765979" w14:textId="3B4286D0" w:rsidR="00977E6B" w:rsidRPr="00977E6B" w:rsidRDefault="00977E6B" w:rsidP="00977E6B">
      <w:pPr>
        <w:pStyle w:val="Tekstpodstawowy"/>
        <w:numPr>
          <w:ilvl w:val="0"/>
          <w:numId w:val="15"/>
        </w:numPr>
        <w:spacing w:before="176" w:line="256" w:lineRule="auto"/>
        <w:ind w:right="136"/>
        <w:jc w:val="both"/>
        <w:rPr>
          <w:b/>
          <w:bCs/>
          <w:noProof/>
          <w:color w:val="17428C" w:themeColor="accent1"/>
          <w:lang w:val="pl-PL"/>
        </w:rPr>
      </w:pPr>
      <w:r w:rsidRPr="00977E6B">
        <w:rPr>
          <w:b/>
          <w:bCs/>
          <w:noProof/>
          <w:color w:val="17428C" w:themeColor="accent1"/>
          <w:lang w:val="pl-PL"/>
        </w:rPr>
        <w:t xml:space="preserve">Wzrost sprzedaży na poziomie średniej wartości jednocyfrowej </w:t>
      </w:r>
      <w:r w:rsidRPr="00977E6B">
        <w:rPr>
          <w:noProof/>
          <w:color w:val="17428C" w:themeColor="accent1"/>
          <w:lang w:val="pl-PL"/>
        </w:rPr>
        <w:t>w walutach lokalnych</w:t>
      </w:r>
      <w:r>
        <w:rPr>
          <w:rStyle w:val="Odwoanieprzypisudolnego"/>
          <w:noProof/>
          <w:color w:val="17428C" w:themeColor="accent1"/>
          <w:lang w:val="pl-PL"/>
        </w:rPr>
        <w:footnoteReference w:id="4"/>
      </w:r>
      <w:r w:rsidRPr="00977E6B">
        <w:rPr>
          <w:b/>
          <w:bCs/>
          <w:noProof/>
          <w:color w:val="17428C" w:themeColor="accent1"/>
          <w:lang w:val="pl-PL"/>
        </w:rPr>
        <w:t>, około 1–2 punkty procentowe ponad wzrost rynku;</w:t>
      </w:r>
    </w:p>
    <w:p w14:paraId="152541CE" w14:textId="635DAD21" w:rsidR="00977E6B" w:rsidRPr="00977E6B" w:rsidRDefault="00977E6B" w:rsidP="00977E6B">
      <w:pPr>
        <w:pStyle w:val="Tekstpodstawowy"/>
        <w:numPr>
          <w:ilvl w:val="0"/>
          <w:numId w:val="15"/>
        </w:numPr>
        <w:spacing w:before="176" w:line="256" w:lineRule="auto"/>
        <w:ind w:right="136"/>
        <w:jc w:val="both"/>
        <w:rPr>
          <w:b/>
          <w:bCs/>
          <w:noProof/>
          <w:color w:val="17428C" w:themeColor="accent1"/>
          <w:lang w:val="pl-PL"/>
        </w:rPr>
      </w:pPr>
      <w:r w:rsidRPr="00977E6B">
        <w:rPr>
          <w:b/>
          <w:bCs/>
          <w:noProof/>
          <w:color w:val="17428C" w:themeColor="accent1"/>
          <w:lang w:val="pl-PL"/>
        </w:rPr>
        <w:t>Marża EBITDA w przedziale od 15% do 18%</w:t>
      </w:r>
      <w:r>
        <w:rPr>
          <w:rStyle w:val="Odwoanieprzypisudolnego"/>
          <w:b/>
          <w:bCs/>
          <w:noProof/>
          <w:color w:val="17428C" w:themeColor="accent1"/>
          <w:lang w:val="pl-PL"/>
        </w:rPr>
        <w:footnoteReference w:id="5"/>
      </w:r>
      <w:r w:rsidRPr="00977E6B">
        <w:rPr>
          <w:b/>
          <w:bCs/>
          <w:noProof/>
          <w:color w:val="17428C" w:themeColor="accent1"/>
          <w:lang w:val="pl-PL"/>
        </w:rPr>
        <w:t>;</w:t>
      </w:r>
    </w:p>
    <w:p w14:paraId="1B999A63" w14:textId="77777777" w:rsidR="00977E6B" w:rsidRPr="00977E6B" w:rsidRDefault="00977E6B" w:rsidP="00977E6B">
      <w:pPr>
        <w:pStyle w:val="Tekstpodstawowy"/>
        <w:numPr>
          <w:ilvl w:val="0"/>
          <w:numId w:val="15"/>
        </w:numPr>
        <w:spacing w:before="176" w:line="256" w:lineRule="auto"/>
        <w:ind w:right="136"/>
        <w:jc w:val="both"/>
        <w:rPr>
          <w:b/>
          <w:bCs/>
          <w:noProof/>
          <w:color w:val="17428C" w:themeColor="accent1"/>
          <w:lang w:val="pl-PL"/>
        </w:rPr>
      </w:pPr>
      <w:r w:rsidRPr="00977E6B">
        <w:rPr>
          <w:b/>
          <w:bCs/>
          <w:noProof/>
          <w:color w:val="17428C" w:themeColor="accent1"/>
          <w:lang w:val="pl-PL"/>
        </w:rPr>
        <w:t>Wskaźnik konwersji wolnych przepływów pieniężnych powyżej 50%;</w:t>
      </w:r>
    </w:p>
    <w:p w14:paraId="099A0BB1" w14:textId="010818D3" w:rsidR="00104F58" w:rsidRDefault="00977E6B" w:rsidP="00977E6B">
      <w:pPr>
        <w:pStyle w:val="Tekstpodstawowy"/>
        <w:numPr>
          <w:ilvl w:val="0"/>
          <w:numId w:val="15"/>
        </w:numPr>
        <w:spacing w:before="176" w:line="256" w:lineRule="auto"/>
        <w:ind w:right="136"/>
        <w:jc w:val="both"/>
        <w:rPr>
          <w:b/>
          <w:bCs/>
          <w:noProof/>
          <w:color w:val="17428C" w:themeColor="accent1"/>
          <w:lang w:val="pl-PL"/>
        </w:rPr>
      </w:pPr>
      <w:r w:rsidRPr="00977E6B">
        <w:rPr>
          <w:b/>
          <w:bCs/>
          <w:noProof/>
          <w:color w:val="17428C" w:themeColor="accent1"/>
          <w:lang w:val="pl-PL"/>
        </w:rPr>
        <w:t>Wskaźnik rentowności zaangażowanego kapitału (ROCE) powyżej 13%.</w:t>
      </w:r>
    </w:p>
    <w:p w14:paraId="4144B053" w14:textId="2C2EB8CF" w:rsidR="00977E6B" w:rsidRDefault="00977E6B" w:rsidP="00977E6B">
      <w:pPr>
        <w:pStyle w:val="Tekstpodstawowy"/>
        <w:spacing w:before="176" w:line="256" w:lineRule="auto"/>
        <w:ind w:right="136"/>
        <w:jc w:val="both"/>
        <w:rPr>
          <w:b/>
          <w:bCs/>
          <w:noProof/>
          <w:color w:val="17428C" w:themeColor="accent1"/>
          <w:lang w:val="pl-PL"/>
        </w:rPr>
      </w:pPr>
      <w:r>
        <w:rPr>
          <w:b/>
          <w:bCs/>
          <w:noProof/>
          <w:color w:val="17428C" w:themeColor="accent1"/>
          <w:lang w:val="pl-PL"/>
        </w:rPr>
        <w:t>***</w:t>
      </w:r>
    </w:p>
    <w:p w14:paraId="413CDECD" w14:textId="77777777" w:rsidR="00977E6B" w:rsidRDefault="00977E6B" w:rsidP="00977E6B">
      <w:pPr>
        <w:jc w:val="both"/>
        <w:rPr>
          <w:b/>
          <w:color w:val="17428B"/>
          <w:lang w:val="pl-PL"/>
        </w:rPr>
      </w:pPr>
      <w:r w:rsidRPr="00230FD0">
        <w:rPr>
          <w:b/>
          <w:color w:val="17428B"/>
          <w:lang w:val="pl-PL"/>
        </w:rPr>
        <w:t>Saint-Gobain podtrzymuje swoją prognozę dotyczącą marży operacyjnej na poziomie powyżej 11,0% za cały rok 2025.</w:t>
      </w:r>
    </w:p>
    <w:p w14:paraId="0B93DBFA" w14:textId="77777777" w:rsidR="00977E6B" w:rsidRDefault="00977E6B" w:rsidP="00977E6B">
      <w:pPr>
        <w:jc w:val="both"/>
        <w:rPr>
          <w:b/>
          <w:color w:val="17428B"/>
          <w:lang w:val="pl-PL"/>
        </w:rPr>
      </w:pPr>
      <w:r>
        <w:rPr>
          <w:b/>
          <w:color w:val="17428B"/>
          <w:lang w:val="pl-PL"/>
        </w:rPr>
        <w:t>***</w:t>
      </w:r>
    </w:p>
    <w:p w14:paraId="20AF325A" w14:textId="251A11B9" w:rsidR="00977E6B" w:rsidRPr="00977E6B" w:rsidRDefault="00977E6B" w:rsidP="00977E6B">
      <w:pPr>
        <w:jc w:val="both"/>
        <w:rPr>
          <w:b/>
          <w:color w:val="17428B"/>
          <w:lang w:val="pl-PL"/>
        </w:rPr>
      </w:pPr>
      <w:r w:rsidRPr="00230FD0">
        <w:rPr>
          <w:color w:val="17428B"/>
          <w:lang w:val="pl-PL"/>
        </w:rPr>
        <w:t xml:space="preserve">Dzień Rynków Kapitałowych </w:t>
      </w:r>
      <w:r>
        <w:rPr>
          <w:color w:val="17428B"/>
          <w:lang w:val="pl-PL"/>
        </w:rPr>
        <w:t>odbył się 6 października br.</w:t>
      </w:r>
      <w:r w:rsidRPr="00230FD0">
        <w:rPr>
          <w:color w:val="17428B"/>
          <w:lang w:val="pl-PL"/>
        </w:rPr>
        <w:t xml:space="preserve"> zarówno w formie stacjonarnej, jak</w:t>
      </w:r>
      <w:r w:rsidR="00FA3D3B">
        <w:rPr>
          <w:color w:val="17428B"/>
          <w:lang w:val="pl-PL"/>
        </w:rPr>
        <w:t xml:space="preserve"> i </w:t>
      </w:r>
      <w:r w:rsidRPr="00230FD0">
        <w:rPr>
          <w:color w:val="17428B"/>
          <w:lang w:val="pl-PL"/>
        </w:rPr>
        <w:t xml:space="preserve">online. Prezentacja </w:t>
      </w:r>
      <w:r>
        <w:rPr>
          <w:color w:val="17428B"/>
          <w:lang w:val="pl-PL"/>
        </w:rPr>
        <w:t>rozpoczęła</w:t>
      </w:r>
      <w:r w:rsidRPr="00230FD0">
        <w:rPr>
          <w:color w:val="17428B"/>
          <w:lang w:val="pl-PL"/>
        </w:rPr>
        <w:t xml:space="preserve"> się o godz. 14:00 czasu środkowoeuropejskiego i </w:t>
      </w:r>
      <w:r>
        <w:rPr>
          <w:color w:val="17428B"/>
          <w:lang w:val="pl-PL"/>
        </w:rPr>
        <w:t>obejmowała</w:t>
      </w:r>
      <w:r w:rsidRPr="00230FD0">
        <w:rPr>
          <w:color w:val="17428B"/>
          <w:lang w:val="pl-PL"/>
        </w:rPr>
        <w:t xml:space="preserve"> </w:t>
      </w:r>
      <w:r w:rsidRPr="00230FD0">
        <w:rPr>
          <w:color w:val="17428B"/>
          <w:lang w:val="pl-PL"/>
        </w:rPr>
        <w:lastRenderedPageBreak/>
        <w:t xml:space="preserve">sesję pytań i odpowiedzi dla analityków i inwestorów. Dokumentacja i transmisja </w:t>
      </w:r>
      <w:r>
        <w:rPr>
          <w:color w:val="17428B"/>
          <w:lang w:val="pl-PL"/>
        </w:rPr>
        <w:t>są</w:t>
      </w:r>
      <w:r w:rsidRPr="00230FD0">
        <w:rPr>
          <w:color w:val="17428B"/>
          <w:lang w:val="pl-PL"/>
        </w:rPr>
        <w:t xml:space="preserve"> dostępne na stronie internetowej</w:t>
      </w:r>
      <w:r>
        <w:rPr>
          <w:color w:val="17428B"/>
          <w:lang w:val="pl-PL"/>
        </w:rPr>
        <w:t xml:space="preserve"> </w:t>
      </w:r>
      <w:r w:rsidRPr="00230FD0">
        <w:rPr>
          <w:color w:val="17428B"/>
          <w:lang w:val="pl-PL"/>
        </w:rPr>
        <w:t>Saint-Gobain:</w:t>
      </w:r>
      <w:r>
        <w:rPr>
          <w:color w:val="17428B"/>
          <w:lang w:val="pl-PL"/>
        </w:rPr>
        <w:t xml:space="preserve"> </w:t>
      </w:r>
      <w:hyperlink r:id="rId11" w:history="1">
        <w:r w:rsidRPr="00A56507">
          <w:rPr>
            <w:rStyle w:val="Hipercze"/>
            <w:spacing w:val="-2"/>
            <w:lang w:val="pl-PL"/>
          </w:rPr>
          <w:t>https://www.saint-gobain.com/en/finance/cmd-</w:t>
        </w:r>
        <w:r w:rsidRPr="00A56507">
          <w:rPr>
            <w:rStyle w:val="Hipercze"/>
            <w:spacing w:val="-4"/>
            <w:lang w:val="pl-PL"/>
          </w:rPr>
          <w:t>2025</w:t>
        </w:r>
      </w:hyperlink>
      <w:r>
        <w:rPr>
          <w:color w:val="67B8AF"/>
          <w:spacing w:val="-2"/>
          <w:lang w:val="pl-PL"/>
        </w:rPr>
        <w:t>.</w:t>
      </w:r>
    </w:p>
    <w:p w14:paraId="5074EA35" w14:textId="77777777" w:rsidR="00977E6B" w:rsidRDefault="00977E6B" w:rsidP="00977E6B">
      <w:pPr>
        <w:pStyle w:val="Tekstpodstawowy"/>
        <w:spacing w:before="176" w:line="256" w:lineRule="auto"/>
        <w:ind w:right="136"/>
        <w:jc w:val="both"/>
        <w:rPr>
          <w:b/>
          <w:bCs/>
          <w:noProof/>
          <w:color w:val="17428C" w:themeColor="accent1"/>
          <w:sz w:val="14"/>
          <w:szCs w:val="14"/>
          <w:lang w:val="pl-PL"/>
        </w:rPr>
      </w:pPr>
    </w:p>
    <w:p w14:paraId="2CCCBEEB" w14:textId="7F112993" w:rsidR="00977E6B" w:rsidRPr="00977E6B" w:rsidRDefault="00977E6B" w:rsidP="00977E6B">
      <w:pPr>
        <w:pStyle w:val="Tekstpodstawowy"/>
        <w:spacing w:before="176" w:line="256" w:lineRule="auto"/>
        <w:ind w:right="136"/>
        <w:jc w:val="both"/>
        <w:rPr>
          <w:b/>
          <w:bCs/>
          <w:noProof/>
          <w:color w:val="17428C" w:themeColor="accent1"/>
          <w:sz w:val="14"/>
          <w:szCs w:val="14"/>
          <w:lang w:val="pl-PL"/>
        </w:rPr>
      </w:pPr>
      <w:r w:rsidRPr="00977E6B">
        <w:rPr>
          <w:b/>
          <w:bCs/>
          <w:noProof/>
          <w:color w:val="17428C" w:themeColor="accent1"/>
          <w:sz w:val="14"/>
          <w:szCs w:val="14"/>
          <w:lang w:val="pl-PL"/>
        </w:rPr>
        <w:t>Glosariusz:</w:t>
      </w:r>
    </w:p>
    <w:p w14:paraId="45C513D7" w14:textId="2CCCF2A9"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w:t>
      </w:r>
      <w:r w:rsidRPr="00977E6B">
        <w:rPr>
          <w:noProof/>
          <w:color w:val="17428C" w:themeColor="accent1"/>
          <w:sz w:val="14"/>
          <w:szCs w:val="14"/>
          <w:lang w:val="pl-PL"/>
        </w:rPr>
        <w:t xml:space="preserve"> </w:t>
      </w:r>
      <w:r w:rsidRPr="00977E6B">
        <w:rPr>
          <w:noProof/>
          <w:color w:val="17428C" w:themeColor="accent1"/>
          <w:sz w:val="14"/>
          <w:szCs w:val="14"/>
          <w:lang w:val="pl-PL"/>
        </w:rPr>
        <w:t>Zmiany w walutach lokalnych prezentują rzeczywiste wartości przy zastosowaniu kursów wymiany z poprzedniego okresu w odniesieniu do wartości za okres objęty przeglądem.</w:t>
      </w:r>
    </w:p>
    <w:p w14:paraId="3496EA1C" w14:textId="2AB21BEE"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w:t>
      </w:r>
      <w:r w:rsidRPr="00977E6B">
        <w:rPr>
          <w:noProof/>
          <w:color w:val="17428C" w:themeColor="accent1"/>
          <w:sz w:val="14"/>
          <w:szCs w:val="14"/>
          <w:lang w:val="pl-PL"/>
        </w:rPr>
        <w:t xml:space="preserve"> </w:t>
      </w:r>
      <w:r w:rsidRPr="00977E6B">
        <w:rPr>
          <w:noProof/>
          <w:color w:val="17428C" w:themeColor="accent1"/>
          <w:sz w:val="14"/>
          <w:szCs w:val="14"/>
          <w:lang w:val="pl-PL"/>
        </w:rPr>
        <w:t>EBITDA: zysk operacyjny powiększony o amortyzację operacyjną, pomniejszony o koszty nieoperacyjne.</w:t>
      </w:r>
    </w:p>
    <w:p w14:paraId="1CA00732" w14:textId="55284466"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w:t>
      </w:r>
      <w:r w:rsidRPr="00977E6B">
        <w:rPr>
          <w:noProof/>
          <w:color w:val="17428C" w:themeColor="accent1"/>
          <w:sz w:val="14"/>
          <w:szCs w:val="14"/>
          <w:lang w:val="pl-PL"/>
        </w:rPr>
        <w:t xml:space="preserve"> </w:t>
      </w:r>
      <w:r w:rsidRPr="00977E6B">
        <w:rPr>
          <w:noProof/>
          <w:color w:val="17428C" w:themeColor="accent1"/>
          <w:sz w:val="14"/>
          <w:szCs w:val="14"/>
          <w:lang w:val="pl-PL"/>
        </w:rPr>
        <w:t>Marża EBITDA: zysk EBITDA podzielony przez przychody ze sprzedaży.</w:t>
      </w:r>
    </w:p>
    <w:p w14:paraId="4240C688" w14:textId="746A3F2E"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w:t>
      </w:r>
      <w:r w:rsidRPr="00977E6B">
        <w:rPr>
          <w:noProof/>
          <w:color w:val="17428C" w:themeColor="accent1"/>
          <w:sz w:val="14"/>
          <w:szCs w:val="14"/>
          <w:lang w:val="pl-PL"/>
        </w:rPr>
        <w:t xml:space="preserve"> </w:t>
      </w:r>
      <w:r w:rsidRPr="00977E6B">
        <w:rPr>
          <w:noProof/>
          <w:color w:val="17428C" w:themeColor="accent1"/>
          <w:sz w:val="14"/>
          <w:szCs w:val="14"/>
          <w:lang w:val="pl-PL"/>
        </w:rPr>
        <w:t>Marża operacyjna: zysk operacyjny podzielony przez przychody ze sprzedaży.</w:t>
      </w:r>
    </w:p>
    <w:p w14:paraId="4A0D202E" w14:textId="3BD768DC"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w:t>
      </w:r>
      <w:r w:rsidRPr="00977E6B">
        <w:rPr>
          <w:noProof/>
          <w:color w:val="17428C" w:themeColor="accent1"/>
          <w:sz w:val="14"/>
          <w:szCs w:val="14"/>
          <w:lang w:val="pl-PL"/>
        </w:rPr>
        <w:t xml:space="preserve"> </w:t>
      </w:r>
      <w:r w:rsidRPr="00977E6B">
        <w:rPr>
          <w:noProof/>
          <w:color w:val="17428C" w:themeColor="accent1"/>
          <w:sz w:val="14"/>
          <w:szCs w:val="14"/>
          <w:lang w:val="pl-PL"/>
        </w:rPr>
        <w:t>Wolne przepływy pieniężne (FCF) = Zysk EBITDA pomniejszony o amortyzację aktywów z tytułu prawa do użytkowania, powiększony o koszty finansowe netto i podatek dochodowy, pomniejszony o nakłady inwestycyjne z wyłączeniem dodatkowych inwestycji w moce produkcyjne i powiększony o zmianę zapotrzebowania na kapitał obrotowy w okresie 12 miesięcy.</w:t>
      </w:r>
    </w:p>
    <w:p w14:paraId="74985734" w14:textId="629B4C92"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w:t>
      </w:r>
      <w:r w:rsidRPr="00977E6B">
        <w:rPr>
          <w:noProof/>
          <w:color w:val="17428C" w:themeColor="accent1"/>
          <w:sz w:val="14"/>
          <w:szCs w:val="14"/>
          <w:lang w:val="pl-PL"/>
        </w:rPr>
        <w:t xml:space="preserve"> </w:t>
      </w:r>
      <w:r w:rsidRPr="00977E6B">
        <w:rPr>
          <w:noProof/>
          <w:color w:val="17428C" w:themeColor="accent1"/>
          <w:sz w:val="14"/>
          <w:szCs w:val="14"/>
          <w:lang w:val="pl-PL"/>
        </w:rPr>
        <w:t>Wskaźnik konwersji wolnych przepływów pieniężnych: wolne przepływy pieniężne podzielone przez zysk EBITDA pomniejszony o amortyzację aktywów z tytułu prawa do użytkowania.</w:t>
      </w:r>
    </w:p>
    <w:p w14:paraId="13566592" w14:textId="6A43EFED"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w:t>
      </w:r>
      <w:r w:rsidRPr="00977E6B">
        <w:rPr>
          <w:noProof/>
          <w:color w:val="17428C" w:themeColor="accent1"/>
          <w:sz w:val="14"/>
          <w:szCs w:val="14"/>
          <w:lang w:val="pl-PL"/>
        </w:rPr>
        <w:t xml:space="preserve"> </w:t>
      </w:r>
      <w:r w:rsidRPr="00977E6B">
        <w:rPr>
          <w:noProof/>
          <w:color w:val="17428C" w:themeColor="accent1"/>
          <w:sz w:val="14"/>
          <w:szCs w:val="14"/>
          <w:lang w:val="pl-PL"/>
        </w:rPr>
        <w:t>IRR: Wewnętrzna stopa zwrotu</w:t>
      </w:r>
    </w:p>
    <w:p w14:paraId="7483594B" w14:textId="168FFCDB"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w:t>
      </w:r>
      <w:r w:rsidRPr="00977E6B">
        <w:rPr>
          <w:noProof/>
          <w:color w:val="17428C" w:themeColor="accent1"/>
          <w:sz w:val="14"/>
          <w:szCs w:val="14"/>
          <w:lang w:val="pl-PL"/>
        </w:rPr>
        <w:t xml:space="preserve"> </w:t>
      </w:r>
      <w:r w:rsidRPr="00977E6B">
        <w:rPr>
          <w:noProof/>
          <w:color w:val="17428C" w:themeColor="accent1"/>
          <w:sz w:val="14"/>
          <w:szCs w:val="14"/>
          <w:lang w:val="pl-PL"/>
        </w:rPr>
        <w:t>ROCE (zwrot z zainwestowanego kapitału): zysk operacyjny za okres sprawozdawczy, skorygowany o zmiany w strukturze Grupy, podzielony przez aktywa i zobowiązania segmentu na koniec okresu..</w:t>
      </w:r>
    </w:p>
    <w:p w14:paraId="6E05887B" w14:textId="45430E5F"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w:t>
      </w:r>
      <w:r w:rsidRPr="00977E6B">
        <w:rPr>
          <w:noProof/>
          <w:color w:val="17428C" w:themeColor="accent1"/>
          <w:sz w:val="14"/>
          <w:szCs w:val="14"/>
          <w:lang w:val="pl-PL"/>
        </w:rPr>
        <w:t xml:space="preserve"> </w:t>
      </w:r>
      <w:r w:rsidRPr="00977E6B">
        <w:rPr>
          <w:noProof/>
          <w:color w:val="17428C" w:themeColor="accent1"/>
          <w:sz w:val="14"/>
          <w:szCs w:val="14"/>
          <w:lang w:val="pl-PL"/>
        </w:rPr>
        <w:t xml:space="preserve">WACC: Średni ważony koszt kapitału                                                </w:t>
      </w:r>
    </w:p>
    <w:p w14:paraId="00A839DC" w14:textId="7CCDDA7C"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 xml:space="preserve">Wszystkie wskaźniki zawarte w niniejszym komunikacie prasowym (niezdefiniowane powyżej ani w przypisach) zostały wyjaśnione w notach do śródrocznego sprawozdania finansowego dostępnego pod linkiem: </w:t>
      </w:r>
      <w:hyperlink r:id="rId12" w:history="1">
        <w:r w:rsidR="00F11284" w:rsidRPr="00A56507">
          <w:rPr>
            <w:rStyle w:val="Hipercze"/>
            <w:noProof/>
            <w:sz w:val="14"/>
            <w:szCs w:val="14"/>
            <w:lang w:val="pl-PL"/>
          </w:rPr>
          <w:t>https://www.saint-gobain.com/en/finance/regulated-information/half-yearly-financial-repor</w:t>
        </w:r>
        <w:r w:rsidR="00F11284" w:rsidRPr="00A56507">
          <w:rPr>
            <w:rStyle w:val="Hipercze"/>
            <w:noProof/>
            <w:sz w:val="14"/>
            <w:szCs w:val="14"/>
            <w:lang w:val="pl-PL"/>
          </w:rPr>
          <w:t>t</w:t>
        </w:r>
      </w:hyperlink>
      <w:r w:rsidR="00F11284">
        <w:rPr>
          <w:noProof/>
          <w:color w:val="17428C" w:themeColor="accent1"/>
          <w:sz w:val="14"/>
          <w:szCs w:val="14"/>
          <w:lang w:val="pl-PL"/>
        </w:rPr>
        <w:t xml:space="preserve">. </w:t>
      </w:r>
      <w:r w:rsidRPr="00977E6B">
        <w:rPr>
          <w:noProof/>
          <w:color w:val="17428C" w:themeColor="accent1"/>
          <w:sz w:val="14"/>
          <w:szCs w:val="14"/>
          <w:lang w:val="pl-PL"/>
        </w:rPr>
        <w:t xml:space="preserve">                                                                                                                          </w:t>
      </w:r>
    </w:p>
    <w:p w14:paraId="50C04E1D" w14:textId="77777777" w:rsidR="00977E6B" w:rsidRPr="00977E6B" w:rsidRDefault="00977E6B" w:rsidP="00977E6B">
      <w:pPr>
        <w:pStyle w:val="Tekstpodstawowy"/>
        <w:spacing w:before="176" w:line="256" w:lineRule="auto"/>
        <w:ind w:right="136"/>
        <w:jc w:val="both"/>
        <w:rPr>
          <w:b/>
          <w:bCs/>
          <w:noProof/>
          <w:color w:val="17428C" w:themeColor="accent1"/>
          <w:sz w:val="14"/>
          <w:szCs w:val="14"/>
          <w:lang w:val="pl-PL"/>
        </w:rPr>
      </w:pPr>
      <w:r w:rsidRPr="00977E6B">
        <w:rPr>
          <w:b/>
          <w:bCs/>
          <w:noProof/>
          <w:color w:val="17428C" w:themeColor="accent1"/>
          <w:sz w:val="14"/>
          <w:szCs w:val="14"/>
          <w:lang w:val="pl-PL"/>
        </w:rPr>
        <w:t>Ważne zastrzeżenie – stwierdzenia dotyczące przyszłości:</w:t>
      </w:r>
    </w:p>
    <w:p w14:paraId="7C819A48" w14:textId="77777777"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Niniejsza informacja prasowa zawiera stwierdzenia dotyczące przyszłości w odniesieniu do sytuacji finansowej, wyników, działalności biznesowej, strategii, planów i perspektyw Saint-Gobain. Stwierdzenia dotyczące przyszłości są zazwyczaj identyfikowane poprzez użycie wyrazów takich jak „oczekiwać", „przewidywać", „wierzyć", „zamierzać", „szacować", „planować" i innych podobnych wyrażeń. Chociaż Saint-Gobain uważa, że oczekiwania odzwierciedlone w stwierdzeniach dotyczących przyszłości oparte są na racjonalnych założeniach na dzień publikacji niniejszego dokumentu, inwestorzy powinni mieć na uwadze, że stwierdzenia te nie stanowią gwarancji przyszłych wyników. Rzeczywiste wyniki mogą się istotnie różnić od przewidywań dotyczących przyszłości w wyniku wystąpienia szeregu znanych i nieznanych ryzyk niepewności i innych czynników, z których wiele jest trudnych do przewidzenia i zasadniczo pozostaje poza kontrolą Saint-Gobain, w tym między innymi ryzyk opisanych w sekcji „Czynniki ryzyka” Uniwersalnego Dokumentu Rejestracyjnego Saint-Gobain oraz główne ryzyka i niepewności przedstawione w półrocznym sprawozdaniu finansowym za rok 2025, przy czym oba dokumenty są dostępne na stronie internetowej Saint-Gobain (www.saint-gobain.com). W związku z tym, odbiorcy niniejszego dokumentu nie powinni bazować na stwierdzeniach dotyczących przyszłości. Powyższe przewidywania dotyczące przyszłości zostały sformułowane na dzień sporządzenia niniejszego dokumentu. Grupa Saint-Gobain nie zamierza ani nie jest zobowiązana do uzupełniania, aktualizowania lub korygowania stwierdzeń dotyczących przyszłości, czy to w wyniku pojawienia się nowych informacji, przyszłych wydarzeń, czy też z innych względów, za wyjątkiem sytuacji, gdy wymagają tego obowiązujące przepisy prawa i regulacje. Niniejsza informacja prasowa nie stanowi oferty nabycia lub wymiany, ani zaproszenia do złożenia oferty sprzedaży lub wymiany papierów wartościowych Saint-Gobain.</w:t>
      </w:r>
    </w:p>
    <w:p w14:paraId="1308A91B" w14:textId="77777777"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Niniejsza informacja prasowa zawiera informacje dotyczące rynków, na których działa Saint-Gobain, oraz pozycji konkurencyjnej firmy na tych rynkach. Informacje te opierają się na danych rynkowych oraz rzeczywistych przychodach Saint-Gobain na tych rynkach w odpowiednich okresach. Firma Saint-Gobain uzyskała te informacje rynkowe z różnych zewnętrznych źródeł (publikacje branżowe, badania i prognozy) oraz na podstawie własnych szacunków wewnętrznych. Saint-Gobain ani jego kierownictwo, członkowie zarządu, pracownicy, kontrahenci, przedstawiciele ani doradcy nie składają żadnych oświadczeń ani nie udzielają żadnych gwarancji, wyraźnych lub dorozumianych, co do dokładności lub kompletności informacji lub opinii zawartych w niniejszej informacji prasowej, które nie zostały niezależnie zweryfikowane.</w:t>
      </w:r>
    </w:p>
    <w:p w14:paraId="5AB9CEF3" w14:textId="77777777" w:rsidR="00977E6B" w:rsidRPr="00977E6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Rynki i segmenty wymienione w niniejszym komunikacie prasowym nie są rynkami właściwymi w rozumieniu obowiązujących przepisów i regulacji dotyczących konkurencji.</w:t>
      </w:r>
    </w:p>
    <w:p w14:paraId="73C81F55" w14:textId="70B948E5" w:rsidR="005A7E5B" w:rsidRDefault="00977E6B" w:rsidP="00977E6B">
      <w:pPr>
        <w:pStyle w:val="Tekstpodstawowy"/>
        <w:spacing w:before="176" w:line="256" w:lineRule="auto"/>
        <w:ind w:right="136"/>
        <w:jc w:val="both"/>
        <w:rPr>
          <w:noProof/>
          <w:color w:val="17428C" w:themeColor="accent1"/>
          <w:sz w:val="14"/>
          <w:szCs w:val="14"/>
          <w:lang w:val="pl-PL"/>
        </w:rPr>
      </w:pPr>
      <w:r w:rsidRPr="00977E6B">
        <w:rPr>
          <w:noProof/>
          <w:color w:val="17428C" w:themeColor="accent1"/>
          <w:sz w:val="14"/>
          <w:szCs w:val="14"/>
          <w:lang w:val="pl-PL"/>
        </w:rPr>
        <w:t xml:space="preserve">Więcej informacji można znaleźć na stronie </w:t>
      </w:r>
      <w:hyperlink r:id="rId13" w:history="1">
        <w:r w:rsidRPr="00A56507">
          <w:rPr>
            <w:rStyle w:val="Hipercze"/>
            <w:noProof/>
            <w:sz w:val="14"/>
            <w:szCs w:val="14"/>
            <w:lang w:val="pl-PL"/>
          </w:rPr>
          <w:t>www.saint-gobain.com</w:t>
        </w:r>
      </w:hyperlink>
      <w:r w:rsidRPr="00977E6B">
        <w:rPr>
          <w:noProof/>
          <w:color w:val="17428C" w:themeColor="accent1"/>
          <w:sz w:val="14"/>
          <w:szCs w:val="14"/>
          <w:lang w:val="pl-PL"/>
        </w:rPr>
        <w:t>.</w:t>
      </w:r>
    </w:p>
    <w:p w14:paraId="0E14F930" w14:textId="77777777" w:rsidR="00977E6B" w:rsidRDefault="00977E6B" w:rsidP="00977E6B">
      <w:pPr>
        <w:jc w:val="both"/>
        <w:rPr>
          <w:b/>
          <w:bCs/>
          <w:noProof/>
          <w:color w:val="67B9B0" w:themeColor="accent4"/>
          <w:lang w:val="pl-PL"/>
        </w:rPr>
      </w:pPr>
    </w:p>
    <w:p w14:paraId="748E8345" w14:textId="25CA8B26" w:rsidR="0047007D" w:rsidRPr="00907F05" w:rsidRDefault="00977E6B" w:rsidP="00977E6B">
      <w:pPr>
        <w:jc w:val="both"/>
        <w:rPr>
          <w:b/>
          <w:bCs/>
          <w:noProof/>
          <w:color w:val="67B9B0" w:themeColor="accent4"/>
          <w:lang w:val="pl-PL"/>
        </w:rPr>
      </w:pPr>
      <w:r>
        <w:rPr>
          <w:b/>
          <w:bCs/>
          <w:noProof/>
          <w:color w:val="67B9B0" w:themeColor="accent4"/>
          <w:lang w:val="pl-PL"/>
        </w:rPr>
        <w:br w:type="column"/>
      </w:r>
      <w:r w:rsidR="00D222D6" w:rsidRPr="00907F05">
        <w:rPr>
          <w:b/>
          <w:bCs/>
          <w:noProof/>
          <w:color w:val="67B9B0" w:themeColor="accent4"/>
          <w:lang w:val="pl-PL"/>
        </w:rPr>
        <w:lastRenderedPageBreak/>
        <w:t xml:space="preserve">O </w:t>
      </w:r>
      <w:r w:rsidR="0047007D" w:rsidRPr="00907F05">
        <w:rPr>
          <w:b/>
          <w:bCs/>
          <w:noProof/>
          <w:color w:val="67B9B0" w:themeColor="accent4"/>
          <w:lang w:val="pl-PL"/>
        </w:rPr>
        <w:t>Saint-Gobain</w:t>
      </w:r>
    </w:p>
    <w:p w14:paraId="21D191F6" w14:textId="77777777" w:rsidR="00117C3F" w:rsidRPr="00D222D6" w:rsidRDefault="00117C3F" w:rsidP="00977E6B">
      <w:pPr>
        <w:spacing w:after="240" w:line="240" w:lineRule="auto"/>
        <w:jc w:val="both"/>
        <w:rPr>
          <w:sz w:val="20"/>
          <w:szCs w:val="20"/>
          <w:lang w:val="pl-PL"/>
        </w:rPr>
      </w:pPr>
      <w:bookmarkStart w:id="8" w:name="_Hlk138746447"/>
      <w:r w:rsidRPr="004F4930">
        <w:rPr>
          <w:noProof/>
          <w:color w:val="17428C" w:themeColor="accent1"/>
          <w:lang w:val="pl-PL"/>
        </w:rPr>
        <w:t xml:space="preserve">Saint-Gobain, światowy lider w dziedzinie lekkiego i zrównoważonego budownictwa, tworzy, produkuje i dystrybuuje materiały oraz usługi dla rynku budowlanego i przemysłowego. Zintegrowane rozwiązania w zakresie renowacji budynków publicznych i prywatnych, lekkiego budownictwa oraz dekarbonizacji budownictwa i przemysłu są opracowywane w procesie ciągłej innowacji i zapewniają zrównoważony rozwój i efektywność. </w:t>
      </w:r>
      <w:r w:rsidRPr="00CD75EF">
        <w:rPr>
          <w:rFonts w:eastAsia="Times New Roman" w:cstheme="minorHAnsi"/>
          <w:color w:val="17428C" w:themeColor="accent6"/>
          <w:shd w:val="clear" w:color="auto" w:fill="FFFFFF"/>
          <w:lang w:val="pl-PL" w:eastAsia="pl-PL"/>
        </w:rPr>
        <w:t>Grupa, która w 2025 r. obchodzi 360. rocznicę swojego istnienia, pozostaje bardziej niż kiedykolwiek zaangażowana w realizację swojego celu</w:t>
      </w:r>
      <w:r w:rsidRPr="00CD75EF">
        <w:rPr>
          <w:rFonts w:cstheme="minorHAnsi"/>
          <w:noProof/>
          <w:color w:val="17428C" w:themeColor="accent6"/>
          <w:lang w:val="pl-PL"/>
        </w:rPr>
        <w:t>:</w:t>
      </w:r>
      <w:r w:rsidRPr="004F4930">
        <w:rPr>
          <w:noProof/>
          <w:color w:val="17428C" w:themeColor="accent1"/>
          <w:lang w:val="pl-PL"/>
        </w:rPr>
        <w:t xml:space="preserve"> “MAKING THE WORLD A BETTER HOME”.</w:t>
      </w:r>
      <w:bookmarkEnd w:id="8"/>
    </w:p>
    <w:p w14:paraId="12CBEB59" w14:textId="77777777" w:rsidR="00907F05" w:rsidRPr="004F4930" w:rsidRDefault="00907F05" w:rsidP="00977E6B">
      <w:pPr>
        <w:pStyle w:val="Nagwek2"/>
        <w:rPr>
          <w:b/>
          <w:bCs/>
          <w:noProof/>
          <w:lang w:val="pl-PL"/>
        </w:rPr>
      </w:pPr>
      <w:r w:rsidRPr="004F4930">
        <w:rPr>
          <w:b/>
          <w:bCs/>
          <w:noProof/>
          <w:lang w:val="pl-PL"/>
        </w:rPr>
        <w:t>Wartość sprzedaży w 202</w:t>
      </w:r>
      <w:r>
        <w:rPr>
          <w:b/>
          <w:bCs/>
          <w:noProof/>
          <w:lang w:val="pl-PL"/>
        </w:rPr>
        <w:t>4</w:t>
      </w:r>
      <w:r w:rsidRPr="004F4930">
        <w:rPr>
          <w:b/>
          <w:bCs/>
          <w:noProof/>
          <w:lang w:val="pl-PL"/>
        </w:rPr>
        <w:t xml:space="preserve"> roku: 4</w:t>
      </w:r>
      <w:r>
        <w:rPr>
          <w:b/>
          <w:bCs/>
          <w:noProof/>
          <w:lang w:val="pl-PL"/>
        </w:rPr>
        <w:t>6</w:t>
      </w:r>
      <w:r w:rsidRPr="004F4930">
        <w:rPr>
          <w:b/>
          <w:bCs/>
          <w:noProof/>
          <w:lang w:val="pl-PL"/>
        </w:rPr>
        <w:t>,</w:t>
      </w:r>
      <w:r>
        <w:rPr>
          <w:b/>
          <w:bCs/>
          <w:noProof/>
          <w:lang w:val="pl-PL"/>
        </w:rPr>
        <w:t>6</w:t>
      </w:r>
      <w:r w:rsidRPr="004F4930">
        <w:rPr>
          <w:b/>
          <w:bCs/>
          <w:noProof/>
          <w:lang w:val="pl-PL"/>
        </w:rPr>
        <w:t xml:space="preserve"> mld EUR.</w:t>
      </w:r>
    </w:p>
    <w:p w14:paraId="34107DB7" w14:textId="77777777" w:rsidR="00907F05" w:rsidRPr="004F4930" w:rsidRDefault="00907F05" w:rsidP="00977E6B">
      <w:pPr>
        <w:pStyle w:val="Nagwek2"/>
        <w:rPr>
          <w:b/>
          <w:bCs/>
          <w:noProof/>
          <w:lang w:val="pl-PL"/>
        </w:rPr>
      </w:pPr>
      <w:r w:rsidRPr="004F4930">
        <w:rPr>
          <w:b/>
          <w:bCs/>
          <w:noProof/>
          <w:lang w:val="pl-PL"/>
        </w:rPr>
        <w:t>16</w:t>
      </w:r>
      <w:r>
        <w:rPr>
          <w:b/>
          <w:bCs/>
          <w:noProof/>
          <w:lang w:val="pl-PL"/>
        </w:rPr>
        <w:t>1</w:t>
      </w:r>
      <w:r w:rsidRPr="004F4930">
        <w:rPr>
          <w:b/>
          <w:bCs/>
          <w:noProof/>
          <w:lang w:val="pl-PL"/>
        </w:rPr>
        <w:t xml:space="preserve"> 000 pracowników w </w:t>
      </w:r>
      <w:r>
        <w:rPr>
          <w:b/>
          <w:bCs/>
          <w:noProof/>
          <w:lang w:val="pl-PL"/>
        </w:rPr>
        <w:t>80</w:t>
      </w:r>
      <w:r w:rsidRPr="004F4930">
        <w:rPr>
          <w:b/>
          <w:bCs/>
          <w:noProof/>
          <w:lang w:val="pl-PL"/>
        </w:rPr>
        <w:t xml:space="preserve"> krajach.</w:t>
      </w:r>
    </w:p>
    <w:p w14:paraId="77B39AC9" w14:textId="77777777" w:rsidR="00907F05" w:rsidRPr="004F4930" w:rsidRDefault="00907F05" w:rsidP="00977E6B">
      <w:pPr>
        <w:pStyle w:val="Nagwek2"/>
        <w:rPr>
          <w:b/>
          <w:bCs/>
          <w:noProof/>
          <w:lang w:val="pl-PL"/>
        </w:rPr>
      </w:pPr>
      <w:r w:rsidRPr="004F4930">
        <w:rPr>
          <w:b/>
          <w:bCs/>
          <w:noProof/>
          <w:lang w:val="pl-PL"/>
        </w:rPr>
        <w:t>Firma podjęła zobowiązanie do osiągnięcia neutralności węglowej do 2050 roku.</w:t>
      </w:r>
    </w:p>
    <w:p w14:paraId="2667576A" w14:textId="77777777" w:rsidR="0047007D" w:rsidRPr="00907F05" w:rsidRDefault="0047007D" w:rsidP="00977E6B">
      <w:pPr>
        <w:pStyle w:val="Nagwek2"/>
        <w:rPr>
          <w:noProof/>
          <w:lang w:val="pl-PL"/>
        </w:rPr>
      </w:pPr>
    </w:p>
    <w:p w14:paraId="5B9FE5DC" w14:textId="4F50328F" w:rsidR="00D222D6" w:rsidRPr="00907F05" w:rsidRDefault="00D222D6" w:rsidP="00977E6B">
      <w:pPr>
        <w:pStyle w:val="Nagwek2"/>
        <w:spacing w:after="240" w:line="240" w:lineRule="auto"/>
        <w:rPr>
          <w:noProof/>
          <w:lang w:val="pl-PL"/>
        </w:rPr>
      </w:pPr>
      <w:r w:rsidRPr="00907F05">
        <w:rPr>
          <w:noProof/>
          <w:lang w:val="pl-PL"/>
        </w:rPr>
        <w:t xml:space="preserve">Więcej informacji o Saint-Gobain można znaleźć na naszej stronie: </w:t>
      </w:r>
      <w:hyperlink r:id="rId14" w:history="1">
        <w:r w:rsidRPr="00907F05">
          <w:rPr>
            <w:rStyle w:val="Hipercze"/>
            <w:noProof/>
            <w:lang w:val="pl-PL"/>
          </w:rPr>
          <w:t>www.saint-gobain.pl</w:t>
        </w:r>
      </w:hyperlink>
    </w:p>
    <w:p w14:paraId="5553A54E" w14:textId="79B2CE43" w:rsidR="00D222D6" w:rsidRPr="00907F05" w:rsidRDefault="00D222D6" w:rsidP="00977E6B">
      <w:pPr>
        <w:spacing w:after="240" w:line="240" w:lineRule="auto"/>
        <w:jc w:val="both"/>
        <w:rPr>
          <w:b/>
          <w:bCs/>
          <w:noProof/>
          <w:color w:val="67B9B0" w:themeColor="accent4"/>
          <w:lang w:val="pl-PL"/>
        </w:rPr>
      </w:pPr>
      <w:r w:rsidRPr="00907F05">
        <w:rPr>
          <w:b/>
          <w:bCs/>
          <w:noProof/>
          <w:color w:val="67B9B0" w:themeColor="accent4"/>
          <w:lang w:val="pl-PL"/>
        </w:rPr>
        <w:t>Dodatkowe informacje:</w:t>
      </w:r>
    </w:p>
    <w:p w14:paraId="1FB66301" w14:textId="5E505193" w:rsidR="00D222D6" w:rsidRPr="00907F05" w:rsidRDefault="00D222D6" w:rsidP="00977E6B">
      <w:pPr>
        <w:pStyle w:val="Nagwek2"/>
        <w:spacing w:line="240" w:lineRule="auto"/>
        <w:rPr>
          <w:noProof/>
          <w:lang w:val="pl-PL"/>
        </w:rPr>
      </w:pPr>
      <w:r w:rsidRPr="00907F05">
        <w:rPr>
          <w:noProof/>
          <w:lang w:val="pl-PL"/>
        </w:rPr>
        <w:t xml:space="preserve">Michał Ciesielski, dyrektor marki, komunikacji i cyfryzacji </w:t>
      </w:r>
    </w:p>
    <w:p w14:paraId="49F4D0AB" w14:textId="52B0790E" w:rsidR="00D222D6" w:rsidRPr="00907F05" w:rsidRDefault="00D222D6" w:rsidP="00977E6B">
      <w:pPr>
        <w:pStyle w:val="Nagwek2"/>
        <w:spacing w:after="240" w:line="240" w:lineRule="auto"/>
        <w:rPr>
          <w:noProof/>
          <w:lang w:val="pl-PL"/>
        </w:rPr>
      </w:pPr>
      <w:hyperlink r:id="rId15" w:history="1">
        <w:r w:rsidRPr="00907F05">
          <w:rPr>
            <w:rStyle w:val="Hipercze"/>
            <w:noProof/>
            <w:lang w:val="pl-PL"/>
          </w:rPr>
          <w:t>michal.ciesielski@saint-gobain.com</w:t>
        </w:r>
      </w:hyperlink>
    </w:p>
    <w:p w14:paraId="60EDBFE6" w14:textId="768E3E31" w:rsidR="00D222D6" w:rsidRPr="00907F05" w:rsidRDefault="00D222D6" w:rsidP="00977E6B">
      <w:pPr>
        <w:pStyle w:val="Nagwek2"/>
        <w:spacing w:line="240" w:lineRule="auto"/>
        <w:rPr>
          <w:noProof/>
          <w:lang w:val="pl-PL"/>
        </w:rPr>
      </w:pPr>
      <w:r w:rsidRPr="00907F05">
        <w:rPr>
          <w:noProof/>
          <w:lang w:val="pl-PL"/>
        </w:rPr>
        <w:t>Monika Mazurek-Skrzekowska, kierownik marki i komunikacji</w:t>
      </w:r>
    </w:p>
    <w:p w14:paraId="0B2ACEE5" w14:textId="50A9EB8A" w:rsidR="0047007D" w:rsidRPr="006E7908" w:rsidRDefault="00D222D6" w:rsidP="00977E6B">
      <w:pPr>
        <w:pStyle w:val="Nagwek2"/>
        <w:spacing w:line="240" w:lineRule="auto"/>
        <w:rPr>
          <w:noProof/>
          <w:lang w:val="en-GB"/>
        </w:rPr>
      </w:pPr>
      <w:hyperlink r:id="rId16" w:history="1">
        <w:r w:rsidRPr="00AE42C8">
          <w:rPr>
            <w:rStyle w:val="Hipercze"/>
            <w:noProof/>
            <w:lang w:val="en-GB"/>
          </w:rPr>
          <w:t>monika.mazurek@saint-gobain.com</w:t>
        </w:r>
      </w:hyperlink>
      <w:r>
        <w:rPr>
          <w:noProof/>
          <w:lang w:val="en-GB"/>
        </w:rPr>
        <w:t xml:space="preserve"> </w:t>
      </w:r>
    </w:p>
    <w:sectPr w:rsidR="0047007D" w:rsidRPr="006E7908" w:rsidSect="00741AF9">
      <w:headerReference w:type="default" r:id="rId17"/>
      <w:footerReference w:type="default" r:id="rId18"/>
      <w:headerReference w:type="first" r:id="rId19"/>
      <w:pgSz w:w="11906" w:h="16838" w:code="9"/>
      <w:pgMar w:top="2268" w:right="1276" w:bottom="1134" w:left="1134"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123D" w14:textId="77777777" w:rsidR="004E687E" w:rsidRDefault="004E687E" w:rsidP="000D2398">
      <w:pPr>
        <w:spacing w:after="0" w:line="240" w:lineRule="auto"/>
      </w:pPr>
      <w:r>
        <w:separator/>
      </w:r>
    </w:p>
  </w:endnote>
  <w:endnote w:type="continuationSeparator" w:id="0">
    <w:p w14:paraId="32F10C18" w14:textId="77777777" w:rsidR="004E687E" w:rsidRDefault="004E687E" w:rsidP="000D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HG Mincho Light J">
    <w:altName w:val="Times New Roman"/>
    <w:panose1 w:val="00000000000000000000"/>
    <w:charset w:val="00"/>
    <w:family w:val="roman"/>
    <w:notTrueType/>
    <w:pitch w:val="default"/>
  </w:font>
  <w:font w:name="Arial (Hea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D22" w14:textId="62062632" w:rsidR="008063BD" w:rsidRPr="005F2BFA" w:rsidRDefault="00907F05" w:rsidP="005F2BFA">
    <w:pPr>
      <w:pStyle w:val="Nagwek2"/>
      <w:spacing w:line="240" w:lineRule="auto"/>
      <w:jc w:val="center"/>
      <w:rPr>
        <w:b/>
        <w:bCs/>
        <w:noProof/>
        <w:sz w:val="16"/>
        <w:szCs w:val="20"/>
      </w:rPr>
    </w:pPr>
    <w:r>
      <w:rPr>
        <w:b/>
        <w:bCs/>
        <w:noProof/>
        <w:sz w:val="16"/>
        <w:szCs w:val="20"/>
      </w:rPr>
      <w:t xml:space="preserve">Saint-Gobain w Polsce </w:t>
    </w:r>
    <w:r w:rsidRPr="00ED2DBB">
      <w:rPr>
        <w:b/>
        <w:bCs/>
        <w:noProof/>
        <w:sz w:val="16"/>
        <w:szCs w:val="20"/>
        <w:lang w:val="pl-PL"/>
      </w:rPr>
      <w:t>• www.saint-gobain.pl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0777" w14:textId="77777777" w:rsidR="004E687E" w:rsidRDefault="004E687E" w:rsidP="000D2398">
      <w:pPr>
        <w:spacing w:after="0" w:line="240" w:lineRule="auto"/>
      </w:pPr>
      <w:r>
        <w:separator/>
      </w:r>
    </w:p>
  </w:footnote>
  <w:footnote w:type="continuationSeparator" w:id="0">
    <w:p w14:paraId="072E710B" w14:textId="77777777" w:rsidR="004E687E" w:rsidRDefault="004E687E" w:rsidP="000D2398">
      <w:pPr>
        <w:spacing w:after="0" w:line="240" w:lineRule="auto"/>
      </w:pPr>
      <w:r>
        <w:continuationSeparator/>
      </w:r>
    </w:p>
  </w:footnote>
  <w:footnote w:id="1">
    <w:p w14:paraId="092689B5" w14:textId="267DA857" w:rsidR="00104F58" w:rsidRPr="00104F58" w:rsidRDefault="00104F58" w:rsidP="00104F58">
      <w:pPr>
        <w:pStyle w:val="Tekstprzypisudolnego"/>
        <w:rPr>
          <w:color w:val="17428B"/>
          <w:sz w:val="16"/>
          <w:lang w:val="pl-PL"/>
        </w:rPr>
      </w:pPr>
      <w:r>
        <w:rPr>
          <w:rStyle w:val="Odwoanieprzypisudolnego"/>
        </w:rPr>
        <w:footnoteRef/>
      </w:r>
      <w:r w:rsidRPr="00104F58">
        <w:rPr>
          <w:lang w:val="pl-PL"/>
        </w:rPr>
        <w:t xml:space="preserve"> </w:t>
      </w:r>
      <w:r w:rsidRPr="00230FD0">
        <w:rPr>
          <w:color w:val="17428B"/>
          <w:sz w:val="16"/>
          <w:lang w:val="pl-PL"/>
        </w:rPr>
        <w:t>Netto po uwzględnieniu zbytych aktywów.</w:t>
      </w:r>
    </w:p>
  </w:footnote>
  <w:footnote w:id="2">
    <w:p w14:paraId="5340308B" w14:textId="46E7C22E" w:rsidR="00104F58" w:rsidRPr="00104F58" w:rsidRDefault="00104F58" w:rsidP="00104F58">
      <w:pPr>
        <w:spacing w:after="0" w:line="240" w:lineRule="auto"/>
        <w:rPr>
          <w:sz w:val="16"/>
          <w:szCs w:val="20"/>
          <w:lang w:val="pl-PL"/>
        </w:rPr>
      </w:pPr>
      <w:r>
        <w:rPr>
          <w:rStyle w:val="Odwoanieprzypisudolnego"/>
        </w:rPr>
        <w:footnoteRef/>
      </w:r>
      <w:r>
        <w:rPr>
          <w:lang w:val="pl-PL"/>
        </w:rPr>
        <w:t xml:space="preserve"> </w:t>
      </w:r>
      <w:r w:rsidRPr="00230FD0">
        <w:rPr>
          <w:color w:val="17428B"/>
          <w:sz w:val="16"/>
          <w:szCs w:val="20"/>
          <w:lang w:val="pl-PL"/>
        </w:rPr>
        <w:t>Z wyłączeniem znacznego spowolnienia gospodarczego i/lub istotnych zbyć aktywów</w:t>
      </w:r>
      <w:r>
        <w:rPr>
          <w:color w:val="17428B"/>
          <w:sz w:val="16"/>
          <w:szCs w:val="20"/>
          <w:lang w:val="pl-PL"/>
        </w:rPr>
        <w:t>.</w:t>
      </w:r>
    </w:p>
  </w:footnote>
  <w:footnote w:id="3">
    <w:p w14:paraId="7E7C40C9" w14:textId="6D147428" w:rsidR="00104F58" w:rsidRPr="00104F58" w:rsidRDefault="00104F58" w:rsidP="00104F58">
      <w:pPr>
        <w:spacing w:after="0" w:line="240" w:lineRule="auto"/>
        <w:ind w:right="239"/>
        <w:rPr>
          <w:color w:val="17428B"/>
          <w:sz w:val="16"/>
          <w:szCs w:val="20"/>
          <w:lang w:val="pl-PL"/>
        </w:rPr>
      </w:pPr>
      <w:r>
        <w:rPr>
          <w:rStyle w:val="Odwoanieprzypisudolnego"/>
        </w:rPr>
        <w:footnoteRef/>
      </w:r>
      <w:r w:rsidRPr="00104F58">
        <w:rPr>
          <w:lang w:val="pl-PL"/>
        </w:rPr>
        <w:t xml:space="preserve"> </w:t>
      </w:r>
      <w:r w:rsidRPr="00230FD0">
        <w:rPr>
          <w:color w:val="17428B"/>
          <w:sz w:val="16"/>
          <w:szCs w:val="20"/>
          <w:lang w:val="pl-PL"/>
        </w:rPr>
        <w:t>W porównaniu z poprzednim planem „Grow&amp;Impact”</w:t>
      </w:r>
      <w:r>
        <w:rPr>
          <w:color w:val="17428B"/>
          <w:sz w:val="16"/>
          <w:szCs w:val="20"/>
          <w:lang w:val="pl-PL"/>
        </w:rPr>
        <w:t xml:space="preserve"> </w:t>
      </w:r>
      <w:r w:rsidRPr="00230FD0">
        <w:rPr>
          <w:color w:val="17428B"/>
          <w:sz w:val="16"/>
          <w:szCs w:val="20"/>
          <w:lang w:val="pl-PL"/>
        </w:rPr>
        <w:t>z docelową marżą operacyjną w przedziale 9% do 11%,</w:t>
      </w:r>
      <w:r>
        <w:rPr>
          <w:color w:val="17428B"/>
          <w:sz w:val="16"/>
          <w:szCs w:val="20"/>
          <w:lang w:val="pl-PL"/>
        </w:rPr>
        <w:t xml:space="preserve"> </w:t>
      </w:r>
      <w:r w:rsidRPr="00230FD0">
        <w:rPr>
          <w:color w:val="17428B"/>
          <w:sz w:val="16"/>
          <w:szCs w:val="20"/>
          <w:lang w:val="pl-PL"/>
        </w:rPr>
        <w:t>odpowiadającą</w:t>
      </w:r>
      <w:r>
        <w:rPr>
          <w:color w:val="17428B"/>
          <w:position w:val="6"/>
          <w:sz w:val="10"/>
          <w:szCs w:val="20"/>
          <w:lang w:val="pl-PL"/>
        </w:rPr>
        <w:t xml:space="preserve">  </w:t>
      </w:r>
      <w:r w:rsidRPr="00230FD0">
        <w:rPr>
          <w:color w:val="17428B"/>
          <w:sz w:val="16"/>
          <w:szCs w:val="20"/>
          <w:lang w:val="pl-PL"/>
        </w:rPr>
        <w:t>marży EBITDA na poziomie 13% do 15%.</w:t>
      </w:r>
    </w:p>
    <w:p w14:paraId="5204C564" w14:textId="7FCE4D3C" w:rsidR="00104F58" w:rsidRPr="00104F58" w:rsidRDefault="00104F58">
      <w:pPr>
        <w:pStyle w:val="Tekstprzypisudolnego"/>
        <w:rPr>
          <w:lang w:val="pl-PL"/>
        </w:rPr>
      </w:pPr>
    </w:p>
  </w:footnote>
  <w:footnote w:id="4">
    <w:p w14:paraId="023A9BCE" w14:textId="3458ADDA" w:rsidR="00977E6B" w:rsidRPr="00977E6B" w:rsidRDefault="00977E6B">
      <w:pPr>
        <w:pStyle w:val="Tekstprzypisudolnego"/>
        <w:rPr>
          <w:lang w:val="pl-PL"/>
        </w:rPr>
      </w:pPr>
      <w:r>
        <w:rPr>
          <w:rStyle w:val="Odwoanieprzypisudolnego"/>
        </w:rPr>
        <w:footnoteRef/>
      </w:r>
      <w:r w:rsidRPr="00977E6B">
        <w:rPr>
          <w:lang w:val="pl-PL"/>
        </w:rPr>
        <w:t xml:space="preserve"> </w:t>
      </w:r>
      <w:r w:rsidRPr="00230FD0">
        <w:rPr>
          <w:color w:val="17428B"/>
          <w:sz w:val="16"/>
          <w:lang w:val="pl-PL"/>
        </w:rPr>
        <w:t>Z wyłączeniem znacznego spowolnienia gospodarczego i/lub istotnych zbyć aktywów</w:t>
      </w:r>
      <w:r>
        <w:rPr>
          <w:color w:val="17428B"/>
          <w:sz w:val="16"/>
          <w:lang w:val="pl-PL"/>
        </w:rPr>
        <w:t>.</w:t>
      </w:r>
    </w:p>
  </w:footnote>
  <w:footnote w:id="5">
    <w:p w14:paraId="11C24F8B" w14:textId="6E6C97EB" w:rsidR="00977E6B" w:rsidRPr="00230FD0" w:rsidRDefault="00977E6B" w:rsidP="00977E6B">
      <w:pPr>
        <w:ind w:right="239"/>
        <w:rPr>
          <w:color w:val="17428B"/>
          <w:sz w:val="16"/>
          <w:szCs w:val="20"/>
          <w:lang w:val="pl-PL"/>
        </w:rPr>
      </w:pPr>
      <w:r>
        <w:rPr>
          <w:rStyle w:val="Odwoanieprzypisudolnego"/>
        </w:rPr>
        <w:footnoteRef/>
      </w:r>
      <w:r w:rsidRPr="00977E6B">
        <w:rPr>
          <w:lang w:val="pl-PL"/>
        </w:rPr>
        <w:t xml:space="preserve"> </w:t>
      </w:r>
      <w:r w:rsidRPr="00230FD0">
        <w:rPr>
          <w:color w:val="17428B"/>
          <w:sz w:val="16"/>
          <w:szCs w:val="20"/>
          <w:lang w:val="pl-PL"/>
        </w:rPr>
        <w:t>W porównaniu z poprzednim planem „Grow&amp;Impact”</w:t>
      </w:r>
      <w:r>
        <w:rPr>
          <w:color w:val="17428B"/>
          <w:sz w:val="16"/>
          <w:szCs w:val="20"/>
          <w:lang w:val="pl-PL"/>
        </w:rPr>
        <w:t xml:space="preserve"> </w:t>
      </w:r>
      <w:r w:rsidRPr="00230FD0">
        <w:rPr>
          <w:color w:val="17428B"/>
          <w:sz w:val="16"/>
          <w:szCs w:val="20"/>
          <w:lang w:val="pl-PL"/>
        </w:rPr>
        <w:t>z docelową marżą operacyjną w przedziale 9% do 11%,</w:t>
      </w:r>
      <w:r>
        <w:rPr>
          <w:color w:val="17428B"/>
          <w:sz w:val="16"/>
          <w:szCs w:val="20"/>
          <w:lang w:val="pl-PL"/>
        </w:rPr>
        <w:t xml:space="preserve"> </w:t>
      </w:r>
      <w:r w:rsidRPr="00230FD0">
        <w:rPr>
          <w:color w:val="17428B"/>
          <w:sz w:val="16"/>
          <w:szCs w:val="20"/>
          <w:lang w:val="pl-PL"/>
        </w:rPr>
        <w:t>odpowiadającą</w:t>
      </w:r>
      <w:r>
        <w:rPr>
          <w:color w:val="17428B"/>
          <w:position w:val="6"/>
          <w:sz w:val="10"/>
          <w:szCs w:val="20"/>
          <w:lang w:val="pl-PL"/>
        </w:rPr>
        <w:t xml:space="preserve">  </w:t>
      </w:r>
      <w:r w:rsidRPr="00230FD0">
        <w:rPr>
          <w:color w:val="17428B"/>
          <w:sz w:val="16"/>
          <w:szCs w:val="20"/>
          <w:lang w:val="pl-PL"/>
        </w:rPr>
        <w:t>marży EBITDA na poziomie 13% do 15%</w:t>
      </w:r>
      <w:r>
        <w:rPr>
          <w:color w:val="17428B"/>
          <w:sz w:val="16"/>
          <w:szCs w:val="20"/>
          <w:lang w:val="pl-PL"/>
        </w:rPr>
        <w:t>.</w:t>
      </w:r>
    </w:p>
    <w:p w14:paraId="1BC7C8CC" w14:textId="66723FC4" w:rsidR="00977E6B" w:rsidRPr="00977E6B" w:rsidRDefault="00977E6B">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311B" w14:textId="704DA5B4" w:rsidR="006B5242" w:rsidRPr="00B272AB" w:rsidRDefault="006F2B82" w:rsidP="006B5242">
    <w:pPr>
      <w:pStyle w:val="Nagwek"/>
      <w:tabs>
        <w:tab w:val="clear" w:pos="4680"/>
        <w:tab w:val="clear" w:pos="9360"/>
        <w:tab w:val="left" w:pos="5745"/>
      </w:tabs>
      <w:ind w:left="-567"/>
      <w:rPr>
        <w:b/>
        <w:bCs/>
        <w:noProof/>
        <w:color w:val="17428C" w:themeColor="accent1"/>
        <w:sz w:val="40"/>
        <w:szCs w:val="40"/>
        <w:lang w:val="en-GB"/>
      </w:rPr>
    </w:pPr>
    <w:r w:rsidRPr="00B272AB">
      <w:rPr>
        <w:b/>
        <w:bCs/>
        <w:noProof/>
        <w:sz w:val="28"/>
        <w:szCs w:val="28"/>
        <w:lang w:val="en-GB"/>
        <w14:textFill>
          <w14:gradFill>
            <w14:gsLst>
              <w14:gs w14:pos="0">
                <w14:schemeClr w14:val="accent4"/>
              </w14:gs>
              <w14:gs w14:pos="50000">
                <w14:schemeClr w14:val="accent5"/>
              </w14:gs>
              <w14:gs w14:pos="100000">
                <w14:schemeClr w14:val="accent1"/>
              </w14:gs>
            </w14:gsLst>
            <w14:lin w14:ang="0" w14:scaled="0"/>
          </w14:gradFill>
        </w14:textFill>
      </w:rPr>
      <mc:AlternateContent>
        <mc:Choice Requires="wps">
          <w:drawing>
            <wp:anchor distT="0" distB="0" distL="114300" distR="114300" simplePos="0" relativeHeight="251670528" behindDoc="0" locked="0" layoutInCell="1" allowOverlap="1" wp14:anchorId="2082D494" wp14:editId="15FEF474">
              <wp:simplePos x="0" y="0"/>
              <wp:positionH relativeFrom="page">
                <wp:align>left</wp:align>
              </wp:positionH>
              <wp:positionV relativeFrom="paragraph">
                <wp:posOffset>-361950</wp:posOffset>
              </wp:positionV>
              <wp:extent cx="7559675" cy="10194554"/>
              <wp:effectExtent l="0" t="0" r="3175" b="0"/>
              <wp:wrapNone/>
              <wp:docPr id="755820165" name="Freeform: Shape 1"/>
              <wp:cNvGraphicFramePr/>
              <a:graphic xmlns:a="http://schemas.openxmlformats.org/drawingml/2006/main">
                <a:graphicData uri="http://schemas.microsoft.com/office/word/2010/wordprocessingShape">
                  <wps:wsp>
                    <wps:cNvSpPr/>
                    <wps:spPr>
                      <a:xfrm>
                        <a:off x="0" y="0"/>
                        <a:ext cx="7559675" cy="10194554"/>
                      </a:xfrm>
                      <a:custGeom>
                        <a:avLst/>
                        <a:gdLst>
                          <a:gd name="connsiteX0" fmla="*/ 215837 w 7559675"/>
                          <a:gd name="connsiteY0" fmla="*/ 1488141 h 10194554"/>
                          <a:gd name="connsiteX1" fmla="*/ 215837 w 7559675"/>
                          <a:gd name="connsiteY1" fmla="*/ 10152448 h 10194554"/>
                          <a:gd name="connsiteX2" fmla="*/ 0 w 7559675"/>
                          <a:gd name="connsiteY2" fmla="*/ 10194554 h 10194554"/>
                          <a:gd name="connsiteX3" fmla="*/ 0 w 7559675"/>
                          <a:gd name="connsiteY3" fmla="*/ 1603031 h 10194554"/>
                          <a:gd name="connsiteX4" fmla="*/ 0 w 7559675"/>
                          <a:gd name="connsiteY4" fmla="*/ 0 h 10194554"/>
                          <a:gd name="connsiteX5" fmla="*/ 7559675 w 7559675"/>
                          <a:gd name="connsiteY5" fmla="*/ 0 h 10194554"/>
                          <a:gd name="connsiteX6" fmla="*/ 7559675 w 7559675"/>
                          <a:gd name="connsiteY6" fmla="*/ 8719795 h 10194554"/>
                          <a:gd name="connsiteX7" fmla="*/ 7343837 w 7559675"/>
                          <a:gd name="connsiteY7" fmla="*/ 8761901 h 10194554"/>
                          <a:gd name="connsiteX8" fmla="*/ 7343837 w 7559675"/>
                          <a:gd name="connsiteY8" fmla="*/ 215906 h 10194554"/>
                          <a:gd name="connsiteX9" fmla="*/ 2605910 w 7559675"/>
                          <a:gd name="connsiteY9" fmla="*/ 215906 h 10194554"/>
                          <a:gd name="connsiteX10" fmla="*/ 3008625 w 7559675"/>
                          <a:gd name="connsiteY10" fmla="*/ 1541 h 10194554"/>
                          <a:gd name="connsiteX11" fmla="*/ 0 w 7559675"/>
                          <a:gd name="connsiteY11" fmla="*/ 1541 h 10194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59675" h="10194554">
                            <a:moveTo>
                              <a:pt x="215837" y="1488141"/>
                            </a:moveTo>
                            <a:lnTo>
                              <a:pt x="215837" y="10152448"/>
                            </a:lnTo>
                            <a:lnTo>
                              <a:pt x="0" y="10194554"/>
                            </a:lnTo>
                            <a:lnTo>
                              <a:pt x="0" y="1603031"/>
                            </a:lnTo>
                            <a:close/>
                            <a:moveTo>
                              <a:pt x="0" y="0"/>
                            </a:moveTo>
                            <a:lnTo>
                              <a:pt x="7559675" y="0"/>
                            </a:lnTo>
                            <a:lnTo>
                              <a:pt x="7559675" y="8719795"/>
                            </a:lnTo>
                            <a:lnTo>
                              <a:pt x="7343837" y="8761901"/>
                            </a:lnTo>
                            <a:lnTo>
                              <a:pt x="7343837" y="215906"/>
                            </a:lnTo>
                            <a:lnTo>
                              <a:pt x="2605910" y="215906"/>
                            </a:lnTo>
                            <a:lnTo>
                              <a:pt x="3008625" y="1541"/>
                            </a:lnTo>
                            <a:lnTo>
                              <a:pt x="0" y="1541"/>
                            </a:lnTo>
                            <a:close/>
                          </a:path>
                        </a:pathLst>
                      </a:custGeom>
                      <a:gradFill flip="none" rotWithShape="1">
                        <a:gsLst>
                          <a:gs pos="0">
                            <a:schemeClr val="accent4"/>
                          </a:gs>
                          <a:gs pos="50000">
                            <a:schemeClr val="accent5"/>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xmlns:a="http://schemas.openxmlformats.org/drawingml/2006/main" xmlns:pic="http://schemas.openxmlformats.org/drawingml/2006/picture" xmlns:a14="http://schemas.microsoft.com/office/drawing/2010/main">
          <w:pict>
            <v:shape id="Freeform: Shape 1" style="position:absolute;margin-left:0;margin-top:-28.5pt;width:595.25pt;height:802.7pt;z-index:251670528;visibility:visible;mso-wrap-style:square;mso-wrap-distance-left:9pt;mso-wrap-distance-top:0;mso-wrap-distance-right:9pt;mso-wrap-distance-bottom:0;mso-position-horizontal:left;mso-position-horizontal-relative:page;mso-position-vertical:absolute;mso-position-vertical-relative:text;v-text-anchor:middle" coordsize="7559675,10194554" o:spid="_x0000_s1026" fillcolor="#67b9b0 [3207]" stroked="f" strokeweight="1pt" path="m215837,1488141r,8664307l,10194554,,1603031,215837,1488141xm,l7559675,r,8719795l7343837,8761901r,-8545995l2605910,215906,3008625,1541,,15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ZLAQAAJcPAAAOAAAAZHJzL2Uyb0RvYy54bWysV0uP2zYQvhfofyB0DNCVZFu2Zaw3KBIk&#10;l6AN8kDaI5eiLAEUqZJc2/vvO3zJtHezlhbxQdZjvhnOx3nx9u2xY2hPpWoF3yb5TZYgyomoWr7b&#10;Jt+/ffhjnSClMa8wE5xuk0eqkrd3v/92e+g3dCYawSoqESjhanPot0mjdb9JU0Ua2mF1I3rK4WMt&#10;ZIc1PMpdWkl8AO0dS2dZtkwPQla9FIQqBW/fu4/JndVf15Tov+taUY3YNoG1aXuV9npvrundLd7s&#10;JO6blvhl4FesosMtB6ODqvdYY/Qg2yequpZIoUStb4joUlHXLaHWB/Amzy68+drgnlpfgBzVDzSp&#10;X6eW/LX/2n+WQMOhVxsFt8aLYy078w/rQ0dL1uNAFj1qRODlqijK5apIEIFveZaXi6JYGD7TE548&#10;KP2RCqsL7z8p7eiu4M6SVSGOO4gKIjhXrab/wBbVHYMdeJOiWV6s5yt0QMGSB19g/o0x+WK9zhc5&#10;alC8ItiWJ5byV1iKMaC/mC0W6xGmZpGp7Lo/sXjwYoSV+TQrsXi+zObZfAxri2lGzsWvbwpE07D9&#10;ftev8xWDshFELV9jJAatV3m5KosRplaxqfliPiqeY9B6tczLbMzOQJ09UTfWVAyCdCuz5QinysjS&#10;bJkVZT4iqM9AYy3lcWrPs2y9nBXX4+EMlRfjqkGc2iPcyWP5Z2xADdyFKoebUPjIkfvKB3cImxaZ&#10;2a7RC2XqbFwGoaiGR6hwrqwCypTNK2BYWgzOJ4Gh+MTg2SQw1JQYPJ8EhloRg0MrGecz1IAYXEyy&#10;DLkdg5eTwJCtMXg1CQz5F4PXk8CQUjG4nAQ2SRKj4XlSjF0G2VmUQfTDtvlQlzCDmemL2elLJwim&#10;L5kgmL7ujUm86bE2GRJu0SGaLZpotDACndjTb8KKapMxbkawrvjW7904CTL+M4Dv4B4R5MJ/bw04&#10;mkIbHiPqeumFJGFCUevtaWGxgcD+6ev5MsIIZPYsyAaJ8O/0xZK+UV2s5ULe9QpLoe82o+Vdy3hR&#10;3DcIq36EuC/ybkOhdL+o2+/NU7HANsShCS47kg5RZoIzGkth9q8+tIyhmrVw/uBwSoEQFfpHqxs7&#10;f0MEusle+SDdKQT1OpRue1Kh75hEewxRjgmhXIfitVMmVAOgyOBndT0LCkXrHJQb0AuoQJFBma4T&#10;VsnaocMgRTCjlXHEhqBuGf0CWQkPBuEJMCtltr9wYQhxX82b9HQ0sHf6kVEn/YXWqK1MHv7cLcee&#10;anBFHUWOBqd+IMIuhXFQaDTXYH/Q7RWYE+Elz8F5L2+g1B76BvAI5gaEtSy4HsBdy4V8zjOmB8tO&#10;PpDkqDEs3Yvq8bNEBzhabhP13wOWJq40eyfcSRRz0ggohUQ7C1z8+aBF3dpdOSnwiuH0ZxnyJ1Vz&#10;vIyfrdTpPH33PwAAAP//AwBQSwMEFAAGAAgAAAAhAB8FeizmAAAADwEAAA8AAABkcnMvZG93bnJl&#10;di54bWxMj1tLw0AQhd8F/8Mygm/tppLEmmZTxAtIKUoviI/bZHLB7GzMbtPor3f6pC/DGQ5z5nzp&#10;cjStGLB3jSUFs2kAAim3RUOVgv3ueTIH4bymQreWUME3OlhmlxepTgp7og0OW18JDiGXaAW1910i&#10;pctrNNpNbYfEXml7oz2vfSWLXp843LTyJghiaXRD/KHWHT7UmH9uj0YBhtXw/iV/yvhl9bqO9h9x&#10;+fS2Uur6anxc8LhfgPA4+r8LODNwf8i42MEeqXCiVcA0XsEkumVxtmd3QQTiwCoK5yHILJX/ObJf&#10;AAAA//8DAFBLAQItABQABgAIAAAAIQC2gziS/gAAAOEBAAATAAAAAAAAAAAAAAAAAAAAAABbQ29u&#10;dGVudF9UeXBlc10ueG1sUEsBAi0AFAAGAAgAAAAhADj9If/WAAAAlAEAAAsAAAAAAAAAAAAAAAAA&#10;LwEAAF9yZWxzLy5yZWxzUEsBAi0AFAAGAAgAAAAhAD4ZblksBAAAlw8AAA4AAAAAAAAAAAAAAAAA&#10;LgIAAGRycy9lMm9Eb2MueG1sUEsBAi0AFAAGAAgAAAAhAB8FeizmAAAADwEAAA8AAAAAAAAAAAAA&#10;AAAAhgYAAGRycy9kb3ducmV2LnhtbFBLBQYAAAAABAAEAPMAAACZBwAAAAA=&#10;" w14:anchorId="0EC16EA2">
              <v:fill type="gradient" color2="#17428c [3204]" colors="0 #67b9b0;.5 #219cdc;1 #17428c" angle="90" focus="100%" rotate="t"/>
              <v:stroke joinstyle="miter"/>
              <v:path arrowok="t" o:connecttype="custom" o:connectlocs="215837,1488141;215837,10152448;0,10194554;0,1603031;0,0;7559675,0;7559675,8719795;7343837,8761901;7343837,215906;2605910,215906;3008625,1541;0,1541" o:connectangles="0,0,0,0,0,0,0,0,0,0,0,0"/>
              <w10:wrap anchorx="page"/>
            </v:shape>
          </w:pict>
        </mc:Fallback>
      </mc:AlternateContent>
    </w:r>
    <w:r w:rsidR="00E15DCA" w:rsidRPr="00B272AB">
      <w:rPr>
        <w:b/>
        <w:bCs/>
        <w:noProof/>
        <w:color w:val="17428C" w:themeColor="accent1"/>
        <w:sz w:val="40"/>
        <w:szCs w:val="40"/>
        <w:lang w:val="en-GB"/>
      </w:rPr>
      <w:drawing>
        <wp:anchor distT="0" distB="0" distL="114300" distR="114300" simplePos="0" relativeHeight="251666432" behindDoc="0" locked="0" layoutInCell="1" allowOverlap="1" wp14:anchorId="362F3C16" wp14:editId="1E3C54C4">
          <wp:simplePos x="0" y="0"/>
          <wp:positionH relativeFrom="column">
            <wp:posOffset>4309110</wp:posOffset>
          </wp:positionH>
          <wp:positionV relativeFrom="paragraph">
            <wp:posOffset>144780</wp:posOffset>
          </wp:positionV>
          <wp:extent cx="1687830" cy="704215"/>
          <wp:effectExtent l="0" t="0" r="7620" b="635"/>
          <wp:wrapNone/>
          <wp:docPr id="755820163" name="Picture 755820163" descr="A logo with a city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20163" name="Picture 755820163" descr="A logo with a city silhouett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704215"/>
                  </a:xfrm>
                  <a:prstGeom prst="rect">
                    <a:avLst/>
                  </a:prstGeom>
                  <a:noFill/>
                  <a:ln>
                    <a:noFill/>
                  </a:ln>
                </pic:spPr>
              </pic:pic>
            </a:graphicData>
          </a:graphic>
        </wp:anchor>
      </w:drawing>
    </w:r>
    <w:r w:rsidR="005A7E5B">
      <w:rPr>
        <w:b/>
        <w:bCs/>
        <w:noProof/>
        <w:sz w:val="28"/>
        <w:szCs w:val="28"/>
        <w:lang w:val="en-GB"/>
        <w14:textFill>
          <w14:gradFill>
            <w14:gsLst>
              <w14:gs w14:pos="0">
                <w14:schemeClr w14:val="accent4"/>
              </w14:gs>
              <w14:gs w14:pos="50000">
                <w14:schemeClr w14:val="accent5"/>
              </w14:gs>
              <w14:gs w14:pos="100000">
                <w14:schemeClr w14:val="accent1"/>
              </w14:gs>
            </w14:gsLst>
            <w14:lin w14:ang="0" w14:scaled="0"/>
          </w14:gradFill>
        </w14:textFill>
      </w:rPr>
      <w:t>WARSZAWA</w:t>
    </w:r>
  </w:p>
  <w:p w14:paraId="2F30C3E5" w14:textId="51D59F4B" w:rsidR="00E15DCA" w:rsidRPr="00B272AB" w:rsidRDefault="00E15DCA" w:rsidP="006B5242">
    <w:pPr>
      <w:pStyle w:val="Nagwek"/>
      <w:tabs>
        <w:tab w:val="clear" w:pos="4680"/>
        <w:tab w:val="clear" w:pos="9360"/>
        <w:tab w:val="left" w:pos="5745"/>
      </w:tabs>
      <w:ind w:left="-567"/>
      <w:rPr>
        <w:b/>
        <w:bCs/>
        <w:noProof/>
        <w:sz w:val="24"/>
        <w:szCs w:val="24"/>
        <w:lang w:val="en-GB"/>
        <w14:textFill>
          <w14:gradFill>
            <w14:gsLst>
              <w14:gs w14:pos="0">
                <w14:schemeClr w14:val="accent4"/>
              </w14:gs>
              <w14:gs w14:pos="50000">
                <w14:schemeClr w14:val="accent5"/>
              </w14:gs>
              <w14:gs w14:pos="100000">
                <w14:schemeClr w14:val="accent1"/>
              </w14:gs>
            </w14:gsLst>
            <w14:lin w14:ang="0" w14:scaled="0"/>
          </w14:gradFill>
        </w14:textFill>
      </w:rPr>
    </w:pPr>
  </w:p>
  <w:p w14:paraId="01ECEA0A" w14:textId="1A0549D9" w:rsidR="00B272AB" w:rsidRPr="00B272AB" w:rsidRDefault="00DC0B6F" w:rsidP="00B272AB">
    <w:pPr>
      <w:pStyle w:val="Nagwek"/>
      <w:tabs>
        <w:tab w:val="clear" w:pos="4680"/>
        <w:tab w:val="clear" w:pos="9360"/>
        <w:tab w:val="left" w:pos="2025"/>
        <w:tab w:val="left" w:pos="4545"/>
      </w:tabs>
      <w:spacing w:after="120"/>
      <w:ind w:left="-567"/>
      <w:rPr>
        <w:b/>
        <w:bCs/>
        <w:noProof/>
        <w:sz w:val="28"/>
        <w:szCs w:val="28"/>
        <w:lang w:val="en-GB"/>
        <w14:textFill>
          <w14:gradFill>
            <w14:gsLst>
              <w14:gs w14:pos="0">
                <w14:schemeClr w14:val="accent4"/>
              </w14:gs>
              <w14:gs w14:pos="50000">
                <w14:schemeClr w14:val="accent5"/>
              </w14:gs>
              <w14:gs w14:pos="100000">
                <w14:schemeClr w14:val="accent1"/>
              </w14:gs>
            </w14:gsLst>
            <w14:lin w14:ang="0" w14:scaled="0"/>
          </w14:gradFill>
        </w14:textFill>
      </w:rPr>
    </w:pPr>
    <w:r>
      <w:rPr>
        <w:b/>
        <w:bCs/>
        <w:noProof/>
        <w:sz w:val="28"/>
        <w:szCs w:val="28"/>
        <w:lang w:val="en-GB"/>
        <w14:textFill>
          <w14:gradFill>
            <w14:gsLst>
              <w14:gs w14:pos="0">
                <w14:schemeClr w14:val="accent4"/>
              </w14:gs>
              <w14:gs w14:pos="50000">
                <w14:schemeClr w14:val="accent5"/>
              </w14:gs>
              <w14:gs w14:pos="100000">
                <w14:schemeClr w14:val="accent1"/>
              </w14:gs>
            </w14:gsLst>
            <w14:lin w14:ang="0" w14:scaled="0"/>
          </w14:gradFill>
        </w14:textFill>
      </w:rPr>
      <w:t>Informacja prasowa</w:t>
    </w:r>
  </w:p>
  <w:p w14:paraId="7475479D" w14:textId="0653D7AA" w:rsidR="006B5242" w:rsidRPr="00B272AB" w:rsidRDefault="00104F58" w:rsidP="006B5242">
    <w:pPr>
      <w:pStyle w:val="Nagwek"/>
      <w:ind w:left="-567"/>
      <w:rPr>
        <w:lang w:val="en-GB"/>
      </w:rPr>
    </w:pPr>
    <w:r>
      <w:rPr>
        <w:color w:val="17428C" w:themeColor="accent1"/>
        <w:sz w:val="24"/>
        <w:szCs w:val="24"/>
        <w:lang w:val="en-GB"/>
      </w:rPr>
      <w:t>8</w:t>
    </w:r>
    <w:r w:rsidR="00DC0B6F">
      <w:rPr>
        <w:color w:val="17428C" w:themeColor="accent1"/>
        <w:sz w:val="24"/>
        <w:szCs w:val="24"/>
        <w:lang w:val="en-GB"/>
      </w:rPr>
      <w:t xml:space="preserve"> </w:t>
    </w:r>
    <w:r w:rsidR="005A7E5B">
      <w:rPr>
        <w:color w:val="17428C" w:themeColor="accent1"/>
        <w:sz w:val="24"/>
        <w:szCs w:val="24"/>
        <w:lang w:val="en-GB"/>
      </w:rPr>
      <w:t>października</w:t>
    </w:r>
    <w:r w:rsidR="00DC0B6F">
      <w:rPr>
        <w:color w:val="17428C" w:themeColor="accent1"/>
        <w:sz w:val="24"/>
        <w:szCs w:val="24"/>
        <w:lang w:val="en-GB"/>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1491" w14:textId="601D399D" w:rsidR="00D135D6" w:rsidRPr="008063BD" w:rsidRDefault="003E687E" w:rsidP="00E319CA">
    <w:pPr>
      <w:pStyle w:val="Nagwek"/>
      <w:tabs>
        <w:tab w:val="clear" w:pos="4680"/>
        <w:tab w:val="clear" w:pos="9360"/>
        <w:tab w:val="left" w:pos="5745"/>
      </w:tabs>
      <w:ind w:left="-567"/>
      <w:rPr>
        <w:b/>
        <w:bCs/>
        <w:noProof/>
        <w:sz w:val="28"/>
        <w:szCs w:val="28"/>
        <w:lang w:val="fr-FR"/>
        <w14:textFill>
          <w14:gradFill>
            <w14:gsLst>
              <w14:gs w14:pos="0">
                <w14:schemeClr w14:val="accent4"/>
              </w14:gs>
              <w14:gs w14:pos="50000">
                <w14:schemeClr w14:val="accent5"/>
              </w14:gs>
              <w14:gs w14:pos="100000">
                <w14:schemeClr w14:val="accent1"/>
              </w14:gs>
            </w14:gsLst>
            <w14:lin w14:ang="0" w14:scaled="0"/>
          </w14:gradFill>
        </w14:textFill>
      </w:rPr>
    </w:pPr>
    <w:r>
      <w:rPr>
        <w:b/>
        <w:bCs/>
        <w:noProof/>
        <w:sz w:val="28"/>
        <w:szCs w:val="28"/>
      </w:rPr>
      <w:drawing>
        <wp:anchor distT="0" distB="0" distL="114300" distR="114300" simplePos="0" relativeHeight="251662336" behindDoc="0" locked="0" layoutInCell="1" allowOverlap="1" wp14:anchorId="31D5FF31" wp14:editId="7F2DAB10">
          <wp:simplePos x="0" y="0"/>
          <wp:positionH relativeFrom="column">
            <wp:posOffset>4302286</wp:posOffset>
          </wp:positionH>
          <wp:positionV relativeFrom="paragraph">
            <wp:posOffset>144780</wp:posOffset>
          </wp:positionV>
          <wp:extent cx="1687830" cy="704215"/>
          <wp:effectExtent l="0" t="0" r="7620" b="635"/>
          <wp:wrapNone/>
          <wp:docPr id="755820081" name="Picture 755820081" descr="A logo with a city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20081" name="Picture 755820081" descr="A logo with a city silhouett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704215"/>
                  </a:xfrm>
                  <a:prstGeom prst="rect">
                    <a:avLst/>
                  </a:prstGeom>
                  <a:noFill/>
                  <a:ln>
                    <a:noFill/>
                  </a:ln>
                </pic:spPr>
              </pic:pic>
            </a:graphicData>
          </a:graphic>
        </wp:anchor>
      </w:drawing>
    </w:r>
    <w:r w:rsidR="006F2B82" w:rsidRPr="006F2B82">
      <w:rPr>
        <w:b/>
        <w:bCs/>
        <w:noProof/>
        <w:sz w:val="28"/>
        <w:szCs w:val="28"/>
        <w14:textFill>
          <w14:gradFill>
            <w14:gsLst>
              <w14:gs w14:pos="0">
                <w14:schemeClr w14:val="accent4"/>
              </w14:gs>
              <w14:gs w14:pos="50000">
                <w14:schemeClr w14:val="accent5"/>
              </w14:gs>
              <w14:gs w14:pos="100000">
                <w14:schemeClr w14:val="accent1"/>
              </w14:gs>
            </w14:gsLst>
            <w14:lin w14:ang="0" w14:scaled="0"/>
          </w14:gradFill>
        </w14:textFill>
      </w:rPr>
      <mc:AlternateContent>
        <mc:Choice Requires="wps">
          <w:drawing>
            <wp:anchor distT="0" distB="0" distL="114300" distR="114300" simplePos="0" relativeHeight="251668480" behindDoc="0" locked="0" layoutInCell="1" allowOverlap="1" wp14:anchorId="69556025" wp14:editId="5C3816B2">
              <wp:simplePos x="0" y="0"/>
              <wp:positionH relativeFrom="page">
                <wp:align>left</wp:align>
              </wp:positionH>
              <wp:positionV relativeFrom="paragraph">
                <wp:posOffset>-361950</wp:posOffset>
              </wp:positionV>
              <wp:extent cx="7559675" cy="10194554"/>
              <wp:effectExtent l="0" t="0" r="3175" b="0"/>
              <wp:wrapNone/>
              <wp:docPr id="2" name="Freeform: Shape 1">
                <a:extLst xmlns:a="http://schemas.openxmlformats.org/drawingml/2006/main">
                  <a:ext uri="{FF2B5EF4-FFF2-40B4-BE49-F238E27FC236}">
                    <a16:creationId xmlns:a16="http://schemas.microsoft.com/office/drawing/2014/main" id="{2DE0B375-9CF8-FEE5-7466-F54F61ED7CA8}"/>
                  </a:ext>
                </a:extLst>
              </wp:docPr>
              <wp:cNvGraphicFramePr/>
              <a:graphic xmlns:a="http://schemas.openxmlformats.org/drawingml/2006/main">
                <a:graphicData uri="http://schemas.microsoft.com/office/word/2010/wordprocessingShape">
                  <wps:wsp>
                    <wps:cNvSpPr/>
                    <wps:spPr>
                      <a:xfrm>
                        <a:off x="0" y="0"/>
                        <a:ext cx="7559675" cy="10194554"/>
                      </a:xfrm>
                      <a:custGeom>
                        <a:avLst/>
                        <a:gdLst>
                          <a:gd name="connsiteX0" fmla="*/ 215837 w 7559675"/>
                          <a:gd name="connsiteY0" fmla="*/ 1488141 h 10194554"/>
                          <a:gd name="connsiteX1" fmla="*/ 215837 w 7559675"/>
                          <a:gd name="connsiteY1" fmla="*/ 10152448 h 10194554"/>
                          <a:gd name="connsiteX2" fmla="*/ 0 w 7559675"/>
                          <a:gd name="connsiteY2" fmla="*/ 10194554 h 10194554"/>
                          <a:gd name="connsiteX3" fmla="*/ 0 w 7559675"/>
                          <a:gd name="connsiteY3" fmla="*/ 1603031 h 10194554"/>
                          <a:gd name="connsiteX4" fmla="*/ 0 w 7559675"/>
                          <a:gd name="connsiteY4" fmla="*/ 0 h 10194554"/>
                          <a:gd name="connsiteX5" fmla="*/ 7559675 w 7559675"/>
                          <a:gd name="connsiteY5" fmla="*/ 0 h 10194554"/>
                          <a:gd name="connsiteX6" fmla="*/ 7559675 w 7559675"/>
                          <a:gd name="connsiteY6" fmla="*/ 8719795 h 10194554"/>
                          <a:gd name="connsiteX7" fmla="*/ 7343837 w 7559675"/>
                          <a:gd name="connsiteY7" fmla="*/ 8761901 h 10194554"/>
                          <a:gd name="connsiteX8" fmla="*/ 7343837 w 7559675"/>
                          <a:gd name="connsiteY8" fmla="*/ 215906 h 10194554"/>
                          <a:gd name="connsiteX9" fmla="*/ 2605910 w 7559675"/>
                          <a:gd name="connsiteY9" fmla="*/ 215906 h 10194554"/>
                          <a:gd name="connsiteX10" fmla="*/ 3008625 w 7559675"/>
                          <a:gd name="connsiteY10" fmla="*/ 1541 h 10194554"/>
                          <a:gd name="connsiteX11" fmla="*/ 0 w 7559675"/>
                          <a:gd name="connsiteY11" fmla="*/ 1541 h 10194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7559675" h="10194554">
                            <a:moveTo>
                              <a:pt x="215837" y="1488141"/>
                            </a:moveTo>
                            <a:lnTo>
                              <a:pt x="215837" y="10152448"/>
                            </a:lnTo>
                            <a:lnTo>
                              <a:pt x="0" y="10194554"/>
                            </a:lnTo>
                            <a:lnTo>
                              <a:pt x="0" y="1603031"/>
                            </a:lnTo>
                            <a:close/>
                            <a:moveTo>
                              <a:pt x="0" y="0"/>
                            </a:moveTo>
                            <a:lnTo>
                              <a:pt x="7559675" y="0"/>
                            </a:lnTo>
                            <a:lnTo>
                              <a:pt x="7559675" y="8719795"/>
                            </a:lnTo>
                            <a:lnTo>
                              <a:pt x="7343837" y="8761901"/>
                            </a:lnTo>
                            <a:lnTo>
                              <a:pt x="7343837" y="215906"/>
                            </a:lnTo>
                            <a:lnTo>
                              <a:pt x="2605910" y="215906"/>
                            </a:lnTo>
                            <a:lnTo>
                              <a:pt x="3008625" y="1541"/>
                            </a:lnTo>
                            <a:lnTo>
                              <a:pt x="0" y="1541"/>
                            </a:lnTo>
                            <a:close/>
                          </a:path>
                        </a:pathLst>
                      </a:custGeom>
                      <a:gradFill flip="none" rotWithShape="1">
                        <a:gsLst>
                          <a:gs pos="0">
                            <a:schemeClr val="accent4"/>
                          </a:gs>
                          <a:gs pos="50000">
                            <a:schemeClr val="accent5"/>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v:shape id="Freeform: Shape 1" style="position:absolute;margin-left:0;margin-top:-28.5pt;width:595.25pt;height:802.7pt;z-index:251668480;visibility:visible;mso-wrap-style:square;mso-wrap-distance-left:9pt;mso-wrap-distance-top:0;mso-wrap-distance-right:9pt;mso-wrap-distance-bottom:0;mso-position-horizontal:left;mso-position-horizontal-relative:page;mso-position-vertical:absolute;mso-position-vertical-relative:text;v-text-anchor:middle" coordsize="7559675,10194554" o:spid="_x0000_s1026" fillcolor="#67b9b0 [3207]" stroked="f" strokeweight="1pt" path="m215837,1488141r,8664307l,10194554,,1603031,215837,1488141xm,l7559675,r,8719795l7343837,8761901r,-8545995l2605910,215906,3008625,1541,,15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ZLAQAAJcPAAAOAAAAZHJzL2Uyb0RvYy54bWysV0uP2zYQvhfofyB0DNCVZFu2Zaw3KBIk&#10;l6AN8kDaI5eiLAEUqZJc2/vvO3zJtHezlhbxQdZjvhnOx3nx9u2xY2hPpWoF3yb5TZYgyomoWr7b&#10;Jt+/ffhjnSClMa8wE5xuk0eqkrd3v/92e+g3dCYawSoqESjhanPot0mjdb9JU0Ua2mF1I3rK4WMt&#10;ZIc1PMpdWkl8AO0dS2dZtkwPQla9FIQqBW/fu4/JndVf15Tov+taUY3YNoG1aXuV9npvrundLd7s&#10;JO6blvhl4FesosMtB6ODqvdYY/Qg2yequpZIoUStb4joUlHXLaHWB/Amzy68+drgnlpfgBzVDzSp&#10;X6eW/LX/2n+WQMOhVxsFt8aLYy078w/rQ0dL1uNAFj1qRODlqijK5apIEIFveZaXi6JYGD7TE548&#10;KP2RCqsL7z8p7eiu4M6SVSGOO4gKIjhXrab/wBbVHYMdeJOiWV6s5yt0QMGSB19g/o0x+WK9zhc5&#10;alC8ItiWJ5byV1iKMaC/mC0W6xGmZpGp7Lo/sXjwYoSV+TQrsXi+zObZfAxri2lGzsWvbwpE07D9&#10;ftev8xWDshFELV9jJAatV3m5KosRplaxqfliPiqeY9B6tczLbMzOQJ09UTfWVAyCdCuz5QinysjS&#10;bJkVZT4iqM9AYy3lcWrPs2y9nBXX4+EMlRfjqkGc2iPcyWP5Z2xADdyFKoebUPjIkfvKB3cImxaZ&#10;2a7RC2XqbFwGoaiGR6hwrqwCypTNK2BYWgzOJ4Gh+MTg2SQw1JQYPJ8EhloRg0MrGecz1IAYXEyy&#10;DLkdg5eTwJCtMXg1CQz5F4PXk8CQUjG4nAQ2SRKj4XlSjF0G2VmUQfTDtvlQlzCDmemL2elLJwim&#10;L5kgmL7ujUm86bE2GRJu0SGaLZpotDACndjTb8KKapMxbkawrvjW7904CTL+M4Dv4B4R5MJ/bw04&#10;mkIbHiPqeumFJGFCUevtaWGxgcD+6ev5MsIIZPYsyAaJ8O/0xZK+UV2s5ULe9QpLoe82o+Vdy3hR&#10;3DcIq36EuC/ybkOhdL+o2+/NU7HANsShCS47kg5RZoIzGkth9q8+tIyhmrVw/uBwSoEQFfpHqxs7&#10;f0MEusle+SDdKQT1OpRue1Kh75hEewxRjgmhXIfitVMmVAOgyOBndT0LCkXrHJQb0AuoQJFBma4T&#10;VsnaocMgRTCjlXHEhqBuGf0CWQkPBuEJMCtltr9wYQhxX82b9HQ0sHf6kVEn/YXWqK1MHv7cLcee&#10;anBFHUWOBqd+IMIuhXFQaDTXYH/Q7RWYE+Elz8F5L2+g1B76BvAI5gaEtSy4HsBdy4V8zjOmB8tO&#10;PpDkqDEs3Yvq8bNEBzhabhP13wOWJq40eyfcSRRz0ggohUQ7C1z8+aBF3dpdOSnwiuH0ZxnyJ1Vz&#10;vIyfrdTpPH33PwAAAP//AwBQSwMEFAAGAAgAAAAhAB8FeizmAAAADwEAAA8AAABkcnMvZG93bnJl&#10;di54bWxMj1tLw0AQhd8F/8Mygm/tppLEmmZTxAtIKUoviI/bZHLB7GzMbtPor3f6pC/DGQ5z5nzp&#10;cjStGLB3jSUFs2kAAim3RUOVgv3ueTIH4bymQreWUME3OlhmlxepTgp7og0OW18JDiGXaAW1910i&#10;pctrNNpNbYfEXml7oz2vfSWLXp843LTyJghiaXRD/KHWHT7UmH9uj0YBhtXw/iV/yvhl9bqO9h9x&#10;+fS2Uur6anxc8LhfgPA4+r8LODNwf8i42MEeqXCiVcA0XsEkumVxtmd3QQTiwCoK5yHILJX/ObJf&#10;AAAA//8DAFBLAQItABQABgAIAAAAIQC2gziS/gAAAOEBAAATAAAAAAAAAAAAAAAAAAAAAABbQ29u&#10;dGVudF9UeXBlc10ueG1sUEsBAi0AFAAGAAgAAAAhADj9If/WAAAAlAEAAAsAAAAAAAAAAAAAAAAA&#10;LwEAAF9yZWxzLy5yZWxzUEsBAi0AFAAGAAgAAAAhAD4ZblksBAAAlw8AAA4AAAAAAAAAAAAAAAAA&#10;LgIAAGRycy9lMm9Eb2MueG1sUEsBAi0AFAAGAAgAAAAhAB8FeizmAAAADwEAAA8AAAAAAAAAAAAA&#10;AAAAhgYAAGRycy9kb3ducmV2LnhtbFBLBQYAAAAABAAEAPMAAACZBwAAAAA=&#10;" w14:anchorId="174762A5">
              <v:fill type="gradient" color2="#17428c [3204]" colors="0 #67b9b0;.5 #219cdc;1 #17428c" angle="90" focus="100%" rotate="t"/>
              <v:stroke joinstyle="miter"/>
              <v:path arrowok="t" o:connecttype="custom" o:connectlocs="215837,1488141;215837,10152448;0,10194554;0,1603031;0,0;7559675,0;7559675,8719795;7343837,8761901;7343837,215906;2605910,215906;3008625,1541;0,1541" o:connectangles="0,0,0,0,0,0,0,0,0,0,0,0"/>
              <w10:wrap anchorx="page"/>
            </v:shape>
          </w:pict>
        </mc:Fallback>
      </mc:AlternateContent>
    </w:r>
    <w:r w:rsidR="00D135D6" w:rsidRPr="008063BD">
      <w:rPr>
        <w:b/>
        <w:bCs/>
        <w:noProof/>
        <w:sz w:val="28"/>
        <w:szCs w:val="28"/>
        <w:lang w:val="fr-FR"/>
        <w14:textFill>
          <w14:gradFill>
            <w14:gsLst>
              <w14:gs w14:pos="0">
                <w14:schemeClr w14:val="accent4"/>
              </w14:gs>
              <w14:gs w14:pos="50000">
                <w14:schemeClr w14:val="accent5"/>
              </w14:gs>
              <w14:gs w14:pos="100000">
                <w14:schemeClr w14:val="accent1"/>
              </w14:gs>
            </w14:gsLst>
            <w14:lin w14:ang="0" w14:scaled="0"/>
          </w14:gradFill>
        </w14:textFill>
      </w:rPr>
      <w:t>COMMUNIQUÉ</w:t>
    </w:r>
    <w:r w:rsidR="00E319CA" w:rsidRPr="008063BD">
      <w:rPr>
        <w:b/>
        <w:bCs/>
        <w:noProof/>
        <w:sz w:val="28"/>
        <w:szCs w:val="28"/>
        <w:lang w:val="fr-FR"/>
        <w14:textFill>
          <w14:gradFill>
            <w14:gsLst>
              <w14:gs w14:pos="0">
                <w14:schemeClr w14:val="accent4"/>
              </w14:gs>
              <w14:gs w14:pos="50000">
                <w14:schemeClr w14:val="accent5"/>
              </w14:gs>
              <w14:gs w14:pos="100000">
                <w14:schemeClr w14:val="accent1"/>
              </w14:gs>
            </w14:gsLst>
            <w14:lin w14:ang="0" w14:scaled="0"/>
          </w14:gradFill>
        </w14:textFill>
      </w:rPr>
      <w:tab/>
    </w:r>
  </w:p>
  <w:p w14:paraId="45258CF2" w14:textId="4151E4D1" w:rsidR="00D135D6" w:rsidRPr="008063BD" w:rsidRDefault="00D135D6" w:rsidP="00D135D6">
    <w:pPr>
      <w:pStyle w:val="Nagwek"/>
      <w:tabs>
        <w:tab w:val="clear" w:pos="4680"/>
        <w:tab w:val="clear" w:pos="9360"/>
        <w:tab w:val="left" w:pos="2025"/>
        <w:tab w:val="left" w:pos="4545"/>
      </w:tabs>
      <w:spacing w:after="120"/>
      <w:ind w:left="-567"/>
      <w:rPr>
        <w:b/>
        <w:bCs/>
        <w:noProof/>
        <w:sz w:val="28"/>
        <w:szCs w:val="28"/>
        <w:lang w:val="fr-FR"/>
        <w14:textFill>
          <w14:gradFill>
            <w14:gsLst>
              <w14:gs w14:pos="0">
                <w14:schemeClr w14:val="accent4"/>
              </w14:gs>
              <w14:gs w14:pos="50000">
                <w14:schemeClr w14:val="accent5"/>
              </w14:gs>
              <w14:gs w14:pos="100000">
                <w14:schemeClr w14:val="accent1"/>
              </w14:gs>
            </w14:gsLst>
            <w14:lin w14:ang="0" w14:scaled="0"/>
          </w14:gradFill>
        </w14:textFill>
      </w:rPr>
    </w:pPr>
    <w:r w:rsidRPr="008063BD">
      <w:rPr>
        <w:b/>
        <w:bCs/>
        <w:noProof/>
        <w:sz w:val="28"/>
        <w:szCs w:val="28"/>
        <w:lang w:val="fr-FR"/>
        <w14:textFill>
          <w14:gradFill>
            <w14:gsLst>
              <w14:gs w14:pos="0">
                <w14:schemeClr w14:val="accent4"/>
              </w14:gs>
              <w14:gs w14:pos="50000">
                <w14:schemeClr w14:val="accent5"/>
              </w14:gs>
              <w14:gs w14:pos="100000">
                <w14:schemeClr w14:val="accent1"/>
              </w14:gs>
            </w14:gsLst>
            <w14:lin w14:ang="0" w14:scaled="0"/>
          </w14:gradFill>
        </w14:textFill>
      </w:rPr>
      <w:t>DE PRESSE</w:t>
    </w:r>
  </w:p>
  <w:p w14:paraId="0BCBB615" w14:textId="33567E77" w:rsidR="005D111C" w:rsidRPr="008063BD" w:rsidRDefault="00D135D6" w:rsidP="00D135D6">
    <w:pPr>
      <w:pStyle w:val="Nagwek"/>
      <w:tabs>
        <w:tab w:val="clear" w:pos="4680"/>
        <w:tab w:val="clear" w:pos="9360"/>
        <w:tab w:val="left" w:pos="2025"/>
        <w:tab w:val="left" w:pos="4545"/>
      </w:tabs>
      <w:ind w:left="-567"/>
      <w:rPr>
        <w:lang w:val="fr-FR"/>
      </w:rPr>
    </w:pPr>
    <w:r w:rsidRPr="008063BD">
      <w:rPr>
        <w:color w:val="17428C" w:themeColor="accent1"/>
        <w:sz w:val="24"/>
        <w:szCs w:val="24"/>
        <w:lang w:val="fr-FR"/>
      </w:rPr>
      <w:t>XX Janvier XXXX à XXhXX</w:t>
    </w:r>
    <w:r w:rsidR="007B3273" w:rsidRPr="008063BD">
      <w:rPr>
        <w:lang w:val="fr-FR"/>
      </w:rPr>
      <w:tab/>
    </w:r>
    <w:r w:rsidR="007B3273" w:rsidRPr="008063BD">
      <w:rPr>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2F6"/>
    <w:multiLevelType w:val="hybridMultilevel"/>
    <w:tmpl w:val="618802D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5707A3"/>
    <w:multiLevelType w:val="hybridMultilevel"/>
    <w:tmpl w:val="5E8EE40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5B1FC5"/>
    <w:multiLevelType w:val="hybridMultilevel"/>
    <w:tmpl w:val="1F64C2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77737A"/>
    <w:multiLevelType w:val="hybridMultilevel"/>
    <w:tmpl w:val="C2A6CC56"/>
    <w:lvl w:ilvl="0" w:tplc="7F348AE2">
      <w:numFmt w:val="bullet"/>
      <w:lvlText w:val=""/>
      <w:lvlJc w:val="left"/>
      <w:pPr>
        <w:ind w:left="1428" w:hanging="360"/>
      </w:pPr>
      <w:rPr>
        <w:rFonts w:ascii="Symbol" w:eastAsia="Symbol" w:hAnsi="Symbol" w:cs="Symbol" w:hint="default"/>
        <w:b w:val="0"/>
        <w:bCs w:val="0"/>
        <w:i w:val="0"/>
        <w:iCs w:val="0"/>
        <w:color w:val="17428B"/>
        <w:spacing w:val="0"/>
        <w:w w:val="100"/>
        <w:sz w:val="22"/>
        <w:szCs w:val="22"/>
        <w:lang w:val="en-US" w:eastAsia="en-US" w:bidi="ar-SA"/>
      </w:rPr>
    </w:lvl>
    <w:lvl w:ilvl="1" w:tplc="78723154">
      <w:numFmt w:val="bullet"/>
      <w:lvlText w:val="o"/>
      <w:lvlJc w:val="left"/>
      <w:pPr>
        <w:ind w:left="2148" w:hanging="360"/>
      </w:pPr>
      <w:rPr>
        <w:rFonts w:ascii="Courier New" w:eastAsia="Courier New" w:hAnsi="Courier New" w:cs="Courier New" w:hint="default"/>
        <w:b w:val="0"/>
        <w:bCs w:val="0"/>
        <w:i w:val="0"/>
        <w:iCs w:val="0"/>
        <w:color w:val="17428B"/>
        <w:spacing w:val="0"/>
        <w:w w:val="100"/>
        <w:sz w:val="22"/>
        <w:szCs w:val="22"/>
        <w:lang w:val="en-US" w:eastAsia="en-US" w:bidi="ar-SA"/>
      </w:rPr>
    </w:lvl>
    <w:lvl w:ilvl="2" w:tplc="E81AAB30">
      <w:numFmt w:val="bullet"/>
      <w:lvlText w:val="•"/>
      <w:lvlJc w:val="left"/>
      <w:pPr>
        <w:ind w:left="3052" w:hanging="360"/>
      </w:pPr>
      <w:rPr>
        <w:rFonts w:hint="default"/>
        <w:lang w:val="en-US" w:eastAsia="en-US" w:bidi="ar-SA"/>
      </w:rPr>
    </w:lvl>
    <w:lvl w:ilvl="3" w:tplc="E884CEC2">
      <w:numFmt w:val="bullet"/>
      <w:lvlText w:val="•"/>
      <w:lvlJc w:val="left"/>
      <w:pPr>
        <w:ind w:left="3964" w:hanging="360"/>
      </w:pPr>
      <w:rPr>
        <w:rFonts w:hint="default"/>
        <w:lang w:val="en-US" w:eastAsia="en-US" w:bidi="ar-SA"/>
      </w:rPr>
    </w:lvl>
    <w:lvl w:ilvl="4" w:tplc="7174FE08">
      <w:numFmt w:val="bullet"/>
      <w:lvlText w:val="•"/>
      <w:lvlJc w:val="left"/>
      <w:pPr>
        <w:ind w:left="4876" w:hanging="360"/>
      </w:pPr>
      <w:rPr>
        <w:rFonts w:hint="default"/>
        <w:lang w:val="en-US" w:eastAsia="en-US" w:bidi="ar-SA"/>
      </w:rPr>
    </w:lvl>
    <w:lvl w:ilvl="5" w:tplc="0F741554">
      <w:numFmt w:val="bullet"/>
      <w:lvlText w:val="•"/>
      <w:lvlJc w:val="left"/>
      <w:pPr>
        <w:ind w:left="5788" w:hanging="360"/>
      </w:pPr>
      <w:rPr>
        <w:rFonts w:hint="default"/>
        <w:lang w:val="en-US" w:eastAsia="en-US" w:bidi="ar-SA"/>
      </w:rPr>
    </w:lvl>
    <w:lvl w:ilvl="6" w:tplc="A5288D76">
      <w:numFmt w:val="bullet"/>
      <w:lvlText w:val="•"/>
      <w:lvlJc w:val="left"/>
      <w:pPr>
        <w:ind w:left="6700" w:hanging="360"/>
      </w:pPr>
      <w:rPr>
        <w:rFonts w:hint="default"/>
        <w:lang w:val="en-US" w:eastAsia="en-US" w:bidi="ar-SA"/>
      </w:rPr>
    </w:lvl>
    <w:lvl w:ilvl="7" w:tplc="6EA08B8A">
      <w:numFmt w:val="bullet"/>
      <w:lvlText w:val="•"/>
      <w:lvlJc w:val="left"/>
      <w:pPr>
        <w:ind w:left="7612" w:hanging="360"/>
      </w:pPr>
      <w:rPr>
        <w:rFonts w:hint="default"/>
        <w:lang w:val="en-US" w:eastAsia="en-US" w:bidi="ar-SA"/>
      </w:rPr>
    </w:lvl>
    <w:lvl w:ilvl="8" w:tplc="9F4E0D7E">
      <w:numFmt w:val="bullet"/>
      <w:lvlText w:val="•"/>
      <w:lvlJc w:val="left"/>
      <w:pPr>
        <w:ind w:left="8524" w:hanging="360"/>
      </w:pPr>
      <w:rPr>
        <w:rFonts w:hint="default"/>
        <w:lang w:val="en-US" w:eastAsia="en-US" w:bidi="ar-SA"/>
      </w:rPr>
    </w:lvl>
  </w:abstractNum>
  <w:abstractNum w:abstractNumId="4" w15:restartNumberingAfterBreak="0">
    <w:nsid w:val="18A369EF"/>
    <w:multiLevelType w:val="hybridMultilevel"/>
    <w:tmpl w:val="64EE7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AA5524"/>
    <w:multiLevelType w:val="hybridMultilevel"/>
    <w:tmpl w:val="06F09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A77FBF"/>
    <w:multiLevelType w:val="hybridMultilevel"/>
    <w:tmpl w:val="32B6CF20"/>
    <w:lvl w:ilvl="0" w:tplc="8D00D406">
      <w:numFmt w:val="bullet"/>
      <w:lvlText w:val="-"/>
      <w:lvlJc w:val="left"/>
      <w:pPr>
        <w:ind w:left="1428" w:hanging="360"/>
      </w:pPr>
      <w:rPr>
        <w:rFonts w:ascii="Arial" w:eastAsia="Arial" w:hAnsi="Arial" w:cs="Arial" w:hint="default"/>
        <w:b/>
        <w:bCs/>
        <w:i w:val="0"/>
        <w:iCs w:val="0"/>
        <w:color w:val="17428B"/>
        <w:spacing w:val="0"/>
        <w:w w:val="100"/>
        <w:sz w:val="22"/>
        <w:szCs w:val="22"/>
        <w:lang w:val="en-US" w:eastAsia="en-US" w:bidi="ar-SA"/>
      </w:rPr>
    </w:lvl>
    <w:lvl w:ilvl="1" w:tplc="68E241A0">
      <w:numFmt w:val="bullet"/>
      <w:lvlText w:val="•"/>
      <w:lvlJc w:val="left"/>
      <w:pPr>
        <w:ind w:left="2312" w:hanging="360"/>
      </w:pPr>
      <w:rPr>
        <w:rFonts w:hint="default"/>
        <w:lang w:val="en-US" w:eastAsia="en-US" w:bidi="ar-SA"/>
      </w:rPr>
    </w:lvl>
    <w:lvl w:ilvl="2" w:tplc="1C623510">
      <w:numFmt w:val="bullet"/>
      <w:lvlText w:val="•"/>
      <w:lvlJc w:val="left"/>
      <w:pPr>
        <w:ind w:left="3205" w:hanging="360"/>
      </w:pPr>
      <w:rPr>
        <w:rFonts w:hint="default"/>
        <w:lang w:val="en-US" w:eastAsia="en-US" w:bidi="ar-SA"/>
      </w:rPr>
    </w:lvl>
    <w:lvl w:ilvl="3" w:tplc="35BCF0DE">
      <w:numFmt w:val="bullet"/>
      <w:lvlText w:val="•"/>
      <w:lvlJc w:val="left"/>
      <w:pPr>
        <w:ind w:left="4098" w:hanging="360"/>
      </w:pPr>
      <w:rPr>
        <w:rFonts w:hint="default"/>
        <w:lang w:val="en-US" w:eastAsia="en-US" w:bidi="ar-SA"/>
      </w:rPr>
    </w:lvl>
    <w:lvl w:ilvl="4" w:tplc="3CD87BF2">
      <w:numFmt w:val="bullet"/>
      <w:lvlText w:val="•"/>
      <w:lvlJc w:val="left"/>
      <w:pPr>
        <w:ind w:left="4991" w:hanging="360"/>
      </w:pPr>
      <w:rPr>
        <w:rFonts w:hint="default"/>
        <w:lang w:val="en-US" w:eastAsia="en-US" w:bidi="ar-SA"/>
      </w:rPr>
    </w:lvl>
    <w:lvl w:ilvl="5" w:tplc="50285F14">
      <w:numFmt w:val="bullet"/>
      <w:lvlText w:val="•"/>
      <w:lvlJc w:val="left"/>
      <w:pPr>
        <w:ind w:left="5884" w:hanging="360"/>
      </w:pPr>
      <w:rPr>
        <w:rFonts w:hint="default"/>
        <w:lang w:val="en-US" w:eastAsia="en-US" w:bidi="ar-SA"/>
      </w:rPr>
    </w:lvl>
    <w:lvl w:ilvl="6" w:tplc="FDE4D45E">
      <w:numFmt w:val="bullet"/>
      <w:lvlText w:val="•"/>
      <w:lvlJc w:val="left"/>
      <w:pPr>
        <w:ind w:left="6777" w:hanging="360"/>
      </w:pPr>
      <w:rPr>
        <w:rFonts w:hint="default"/>
        <w:lang w:val="en-US" w:eastAsia="en-US" w:bidi="ar-SA"/>
      </w:rPr>
    </w:lvl>
    <w:lvl w:ilvl="7" w:tplc="D5D4A69E">
      <w:numFmt w:val="bullet"/>
      <w:lvlText w:val="•"/>
      <w:lvlJc w:val="left"/>
      <w:pPr>
        <w:ind w:left="7669" w:hanging="360"/>
      </w:pPr>
      <w:rPr>
        <w:rFonts w:hint="default"/>
        <w:lang w:val="en-US" w:eastAsia="en-US" w:bidi="ar-SA"/>
      </w:rPr>
    </w:lvl>
    <w:lvl w:ilvl="8" w:tplc="9A84529C">
      <w:numFmt w:val="bullet"/>
      <w:lvlText w:val="•"/>
      <w:lvlJc w:val="left"/>
      <w:pPr>
        <w:ind w:left="8562" w:hanging="360"/>
      </w:pPr>
      <w:rPr>
        <w:rFonts w:hint="default"/>
        <w:lang w:val="en-US" w:eastAsia="en-US" w:bidi="ar-SA"/>
      </w:rPr>
    </w:lvl>
  </w:abstractNum>
  <w:abstractNum w:abstractNumId="7" w15:restartNumberingAfterBreak="0">
    <w:nsid w:val="3CA70D17"/>
    <w:multiLevelType w:val="hybridMultilevel"/>
    <w:tmpl w:val="FB3E1332"/>
    <w:lvl w:ilvl="0" w:tplc="3958748E">
      <w:start w:val="1"/>
      <w:numFmt w:val="decimal"/>
      <w:lvlText w:val="%1."/>
      <w:lvlJc w:val="left"/>
      <w:pPr>
        <w:ind w:left="720" w:hanging="360"/>
      </w:pPr>
      <w:rPr>
        <w:rFonts w:hint="default"/>
        <w:color w:val="17428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840188"/>
    <w:multiLevelType w:val="hybridMultilevel"/>
    <w:tmpl w:val="351CD06C"/>
    <w:lvl w:ilvl="0" w:tplc="AE70B160">
      <w:start w:val="2"/>
      <w:numFmt w:val="decimal"/>
      <w:lvlText w:val="%1"/>
      <w:lvlJc w:val="left"/>
      <w:pPr>
        <w:ind w:left="720" w:hanging="360"/>
      </w:pPr>
      <w:rPr>
        <w:rFonts w:hint="default"/>
        <w:color w:val="17428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3F1496"/>
    <w:multiLevelType w:val="hybridMultilevel"/>
    <w:tmpl w:val="3508E82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987006"/>
    <w:multiLevelType w:val="hybridMultilevel"/>
    <w:tmpl w:val="A7481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0E086D"/>
    <w:multiLevelType w:val="hybridMultilevel"/>
    <w:tmpl w:val="F90E4116"/>
    <w:lvl w:ilvl="0" w:tplc="D90C3EE2">
      <w:start w:val="2"/>
      <w:numFmt w:val="decimal"/>
      <w:lvlText w:val="%1."/>
      <w:lvlJc w:val="left"/>
      <w:pPr>
        <w:ind w:left="720" w:hanging="360"/>
      </w:pPr>
      <w:rPr>
        <w:rFonts w:hint="default"/>
        <w:color w:val="17428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E61B1D"/>
    <w:multiLevelType w:val="hybridMultilevel"/>
    <w:tmpl w:val="97E47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8E94927"/>
    <w:multiLevelType w:val="hybridMultilevel"/>
    <w:tmpl w:val="1DDCD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C0071EC"/>
    <w:multiLevelType w:val="hybridMultilevel"/>
    <w:tmpl w:val="7C180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8448755">
    <w:abstractNumId w:val="6"/>
  </w:num>
  <w:num w:numId="2" w16cid:durableId="111438493">
    <w:abstractNumId w:val="8"/>
  </w:num>
  <w:num w:numId="3" w16cid:durableId="1338312913">
    <w:abstractNumId w:val="11"/>
  </w:num>
  <w:num w:numId="4" w16cid:durableId="1128861843">
    <w:abstractNumId w:val="7"/>
  </w:num>
  <w:num w:numId="5" w16cid:durableId="1491871925">
    <w:abstractNumId w:val="3"/>
  </w:num>
  <w:num w:numId="6" w16cid:durableId="285430249">
    <w:abstractNumId w:val="5"/>
  </w:num>
  <w:num w:numId="7" w16cid:durableId="221253896">
    <w:abstractNumId w:val="4"/>
  </w:num>
  <w:num w:numId="8" w16cid:durableId="1509561832">
    <w:abstractNumId w:val="2"/>
  </w:num>
  <w:num w:numId="9" w16cid:durableId="1923025492">
    <w:abstractNumId w:val="14"/>
  </w:num>
  <w:num w:numId="10" w16cid:durableId="605116698">
    <w:abstractNumId w:val="12"/>
  </w:num>
  <w:num w:numId="11" w16cid:durableId="298540804">
    <w:abstractNumId w:val="13"/>
  </w:num>
  <w:num w:numId="12" w16cid:durableId="257567728">
    <w:abstractNumId w:val="10"/>
  </w:num>
  <w:num w:numId="13" w16cid:durableId="2136483875">
    <w:abstractNumId w:val="0"/>
  </w:num>
  <w:num w:numId="14" w16cid:durableId="325086034">
    <w:abstractNumId w:val="1"/>
  </w:num>
  <w:num w:numId="15" w16cid:durableId="1804469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98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8"/>
    <w:rsid w:val="000464FA"/>
    <w:rsid w:val="00064F35"/>
    <w:rsid w:val="00067728"/>
    <w:rsid w:val="00091257"/>
    <w:rsid w:val="000A6077"/>
    <w:rsid w:val="000B6694"/>
    <w:rsid w:val="000D2286"/>
    <w:rsid w:val="000D2398"/>
    <w:rsid w:val="000D275F"/>
    <w:rsid w:val="000D445D"/>
    <w:rsid w:val="000E1A94"/>
    <w:rsid w:val="000E4C8E"/>
    <w:rsid w:val="00104F58"/>
    <w:rsid w:val="00104F98"/>
    <w:rsid w:val="00111786"/>
    <w:rsid w:val="00117C3F"/>
    <w:rsid w:val="0013164A"/>
    <w:rsid w:val="00134056"/>
    <w:rsid w:val="00171DDD"/>
    <w:rsid w:val="001865CD"/>
    <w:rsid w:val="001950E8"/>
    <w:rsid w:val="001D3669"/>
    <w:rsid w:val="001E4441"/>
    <w:rsid w:val="0026025B"/>
    <w:rsid w:val="00266A69"/>
    <w:rsid w:val="00274ACD"/>
    <w:rsid w:val="00285CDE"/>
    <w:rsid w:val="002940E5"/>
    <w:rsid w:val="002B36C2"/>
    <w:rsid w:val="002C0495"/>
    <w:rsid w:val="002C0B79"/>
    <w:rsid w:val="002D7BC2"/>
    <w:rsid w:val="002E1207"/>
    <w:rsid w:val="00304B3F"/>
    <w:rsid w:val="0031507D"/>
    <w:rsid w:val="00390E46"/>
    <w:rsid w:val="003C1D15"/>
    <w:rsid w:val="003C75E8"/>
    <w:rsid w:val="003E327D"/>
    <w:rsid w:val="003E687E"/>
    <w:rsid w:val="003E7889"/>
    <w:rsid w:val="00442908"/>
    <w:rsid w:val="00460ACD"/>
    <w:rsid w:val="00460CCC"/>
    <w:rsid w:val="00462B52"/>
    <w:rsid w:val="0047007D"/>
    <w:rsid w:val="004E687E"/>
    <w:rsid w:val="004F4A6F"/>
    <w:rsid w:val="0050039D"/>
    <w:rsid w:val="005155FF"/>
    <w:rsid w:val="0054106F"/>
    <w:rsid w:val="0054661F"/>
    <w:rsid w:val="005657B1"/>
    <w:rsid w:val="00570217"/>
    <w:rsid w:val="00587873"/>
    <w:rsid w:val="005A7E5B"/>
    <w:rsid w:val="005B3361"/>
    <w:rsid w:val="005B49CA"/>
    <w:rsid w:val="005D111C"/>
    <w:rsid w:val="005E194F"/>
    <w:rsid w:val="005F2BFA"/>
    <w:rsid w:val="00600376"/>
    <w:rsid w:val="0062613B"/>
    <w:rsid w:val="0063152D"/>
    <w:rsid w:val="00661A1A"/>
    <w:rsid w:val="00682EBF"/>
    <w:rsid w:val="006B5242"/>
    <w:rsid w:val="006B7A90"/>
    <w:rsid w:val="006E7908"/>
    <w:rsid w:val="006F2B82"/>
    <w:rsid w:val="007130CA"/>
    <w:rsid w:val="00715DEF"/>
    <w:rsid w:val="0073486D"/>
    <w:rsid w:val="00741AF9"/>
    <w:rsid w:val="00765AB0"/>
    <w:rsid w:val="0078540F"/>
    <w:rsid w:val="00786E52"/>
    <w:rsid w:val="0079086A"/>
    <w:rsid w:val="0079598A"/>
    <w:rsid w:val="007B1A96"/>
    <w:rsid w:val="007B3273"/>
    <w:rsid w:val="007D6266"/>
    <w:rsid w:val="008063BD"/>
    <w:rsid w:val="00841A5F"/>
    <w:rsid w:val="0084627D"/>
    <w:rsid w:val="00850238"/>
    <w:rsid w:val="008C000A"/>
    <w:rsid w:val="008E5D4B"/>
    <w:rsid w:val="0090630E"/>
    <w:rsid w:val="00907F05"/>
    <w:rsid w:val="009219A9"/>
    <w:rsid w:val="00926751"/>
    <w:rsid w:val="009602C3"/>
    <w:rsid w:val="00975C80"/>
    <w:rsid w:val="00977E6B"/>
    <w:rsid w:val="009871E2"/>
    <w:rsid w:val="009D4A23"/>
    <w:rsid w:val="009E56E8"/>
    <w:rsid w:val="009F22DB"/>
    <w:rsid w:val="009F4A7D"/>
    <w:rsid w:val="009F5427"/>
    <w:rsid w:val="00A15FB7"/>
    <w:rsid w:val="00A6180B"/>
    <w:rsid w:val="00A70AB8"/>
    <w:rsid w:val="00A75A24"/>
    <w:rsid w:val="00A86846"/>
    <w:rsid w:val="00AC619F"/>
    <w:rsid w:val="00AD0AB9"/>
    <w:rsid w:val="00B045FD"/>
    <w:rsid w:val="00B27249"/>
    <w:rsid w:val="00B272AB"/>
    <w:rsid w:val="00B61762"/>
    <w:rsid w:val="00B64C08"/>
    <w:rsid w:val="00B8467B"/>
    <w:rsid w:val="00B87DFE"/>
    <w:rsid w:val="00BB40E8"/>
    <w:rsid w:val="00BC5A8E"/>
    <w:rsid w:val="00BD4AA8"/>
    <w:rsid w:val="00BF7956"/>
    <w:rsid w:val="00C423E1"/>
    <w:rsid w:val="00C42A76"/>
    <w:rsid w:val="00C463AF"/>
    <w:rsid w:val="00C52D8E"/>
    <w:rsid w:val="00C5604B"/>
    <w:rsid w:val="00C75B08"/>
    <w:rsid w:val="00C86C52"/>
    <w:rsid w:val="00C95E0A"/>
    <w:rsid w:val="00CA6E59"/>
    <w:rsid w:val="00CD06F3"/>
    <w:rsid w:val="00CE24F5"/>
    <w:rsid w:val="00CE3D97"/>
    <w:rsid w:val="00CE48AF"/>
    <w:rsid w:val="00D12A27"/>
    <w:rsid w:val="00D135D6"/>
    <w:rsid w:val="00D222D6"/>
    <w:rsid w:val="00D350A4"/>
    <w:rsid w:val="00D4410F"/>
    <w:rsid w:val="00D63CA6"/>
    <w:rsid w:val="00DB3121"/>
    <w:rsid w:val="00DC0B6F"/>
    <w:rsid w:val="00DC217D"/>
    <w:rsid w:val="00DE576A"/>
    <w:rsid w:val="00E06B74"/>
    <w:rsid w:val="00E10421"/>
    <w:rsid w:val="00E15DCA"/>
    <w:rsid w:val="00E27AA4"/>
    <w:rsid w:val="00E319CA"/>
    <w:rsid w:val="00E514C2"/>
    <w:rsid w:val="00E848DB"/>
    <w:rsid w:val="00EB4D02"/>
    <w:rsid w:val="00EC1D65"/>
    <w:rsid w:val="00EC659E"/>
    <w:rsid w:val="00ED1390"/>
    <w:rsid w:val="00EE46CD"/>
    <w:rsid w:val="00F10092"/>
    <w:rsid w:val="00F11284"/>
    <w:rsid w:val="00F32176"/>
    <w:rsid w:val="00F42DF8"/>
    <w:rsid w:val="00F674BB"/>
    <w:rsid w:val="00F823C5"/>
    <w:rsid w:val="00FA3D3B"/>
    <w:rsid w:val="00FD1458"/>
    <w:rsid w:val="00FE6623"/>
    <w:rsid w:val="00FF7B22"/>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D4E0"/>
  <w15:chartTrackingRefBased/>
  <w15:docId w15:val="{603F5327-37CB-454B-9383-2E11043A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link w:val="Nagwek1Znak"/>
    <w:uiPriority w:val="9"/>
    <w:qFormat/>
    <w:rsid w:val="00C423E1"/>
    <w:pPr>
      <w:keepNext/>
      <w:keepLines/>
      <w:spacing w:before="240" w:after="0"/>
      <w:outlineLvl w:val="0"/>
    </w:pPr>
    <w:rPr>
      <w:rFonts w:asciiTheme="majorHAnsi" w:eastAsiaTheme="majorEastAsia" w:hAnsiTheme="majorHAnsi" w:cstheme="majorBidi"/>
      <w:b/>
      <w:color w:val="17428C" w:themeColor="accent1"/>
      <w:sz w:val="32"/>
      <w:szCs w:val="32"/>
    </w:rPr>
  </w:style>
  <w:style w:type="paragraph" w:styleId="Nagwek2">
    <w:name w:val="heading 2"/>
    <w:aliases w:val="Body text"/>
    <w:basedOn w:val="Normalny"/>
    <w:next w:val="Normalny"/>
    <w:link w:val="Nagwek2Znak"/>
    <w:uiPriority w:val="9"/>
    <w:unhideWhenUsed/>
    <w:qFormat/>
    <w:rsid w:val="008063BD"/>
    <w:pPr>
      <w:keepNext/>
      <w:keepLines/>
      <w:spacing w:after="0" w:line="280" w:lineRule="exact"/>
      <w:jc w:val="both"/>
      <w:outlineLvl w:val="1"/>
    </w:pPr>
    <w:rPr>
      <w:rFonts w:asciiTheme="majorHAnsi" w:eastAsiaTheme="majorEastAsia" w:hAnsiTheme="majorHAnsi" w:cstheme="majorBidi"/>
      <w:color w:val="17428C" w:themeColor="accent1"/>
      <w:szCs w:val="26"/>
      <w:lang w:val="fr-FR"/>
    </w:rPr>
  </w:style>
  <w:style w:type="paragraph" w:styleId="Nagwek3">
    <w:name w:val="heading 3"/>
    <w:basedOn w:val="Normalny"/>
    <w:next w:val="Normalny"/>
    <w:link w:val="Nagwek3Znak"/>
    <w:uiPriority w:val="9"/>
    <w:unhideWhenUsed/>
    <w:rsid w:val="000D2398"/>
    <w:pPr>
      <w:keepNext/>
      <w:keepLines/>
      <w:spacing w:before="40" w:after="0"/>
      <w:outlineLvl w:val="2"/>
    </w:pPr>
    <w:rPr>
      <w:rFonts w:asciiTheme="majorHAnsi" w:eastAsiaTheme="majorEastAsia" w:hAnsiTheme="majorHAnsi" w:cstheme="majorBidi"/>
      <w:color w:val="0B2045"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23E1"/>
    <w:rPr>
      <w:rFonts w:asciiTheme="majorHAnsi" w:eastAsiaTheme="majorEastAsia" w:hAnsiTheme="majorHAnsi" w:cstheme="majorBidi"/>
      <w:b/>
      <w:color w:val="17428C" w:themeColor="accent1"/>
      <w:sz w:val="32"/>
      <w:szCs w:val="32"/>
    </w:rPr>
  </w:style>
  <w:style w:type="character" w:customStyle="1" w:styleId="Nagwek2Znak">
    <w:name w:val="Nagłówek 2 Znak"/>
    <w:aliases w:val="Body text Znak"/>
    <w:basedOn w:val="Domylnaczcionkaakapitu"/>
    <w:link w:val="Nagwek2"/>
    <w:uiPriority w:val="9"/>
    <w:rsid w:val="008063BD"/>
    <w:rPr>
      <w:rFonts w:asciiTheme="majorHAnsi" w:eastAsiaTheme="majorEastAsia" w:hAnsiTheme="majorHAnsi" w:cstheme="majorBidi"/>
      <w:color w:val="17428C" w:themeColor="accent1"/>
      <w:szCs w:val="26"/>
      <w:lang w:val="fr-FR"/>
    </w:rPr>
  </w:style>
  <w:style w:type="paragraph" w:styleId="Nagwek">
    <w:name w:val="header"/>
    <w:basedOn w:val="Normalny"/>
    <w:link w:val="NagwekZnak"/>
    <w:uiPriority w:val="99"/>
    <w:unhideWhenUsed/>
    <w:rsid w:val="000D2398"/>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0D2398"/>
  </w:style>
  <w:style w:type="paragraph" w:styleId="Stopka">
    <w:name w:val="footer"/>
    <w:basedOn w:val="Normalny"/>
    <w:link w:val="StopkaZnak"/>
    <w:uiPriority w:val="99"/>
    <w:unhideWhenUsed/>
    <w:rsid w:val="000D2398"/>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0D2398"/>
  </w:style>
  <w:style w:type="character" w:customStyle="1" w:styleId="Nagwek3Znak">
    <w:name w:val="Nagłówek 3 Znak"/>
    <w:basedOn w:val="Domylnaczcionkaakapitu"/>
    <w:link w:val="Nagwek3"/>
    <w:uiPriority w:val="9"/>
    <w:rsid w:val="000D2398"/>
    <w:rPr>
      <w:rFonts w:asciiTheme="majorHAnsi" w:eastAsiaTheme="majorEastAsia" w:hAnsiTheme="majorHAnsi" w:cstheme="majorBidi"/>
      <w:color w:val="0B2045" w:themeColor="accent1" w:themeShade="7F"/>
      <w:sz w:val="24"/>
      <w:szCs w:val="24"/>
    </w:rPr>
  </w:style>
  <w:style w:type="paragraph" w:customStyle="1" w:styleId="BasicParagraph">
    <w:name w:val="[Basic Paragraph]"/>
    <w:basedOn w:val="Normalny"/>
    <w:uiPriority w:val="99"/>
    <w:rsid w:val="00BB40E8"/>
    <w:pPr>
      <w:autoSpaceDE w:val="0"/>
      <w:autoSpaceDN w:val="0"/>
      <w:adjustRightInd w:val="0"/>
      <w:spacing w:after="0" w:line="288" w:lineRule="auto"/>
      <w:textAlignment w:val="center"/>
    </w:pPr>
    <w:rPr>
      <w:rFonts w:ascii="Minion Pro" w:hAnsi="Minion Pro" w:cs="Minion Pro"/>
      <w:color w:val="000000"/>
      <w:sz w:val="24"/>
      <w:szCs w:val="24"/>
      <w:lang w:val="fr-FR"/>
    </w:rPr>
  </w:style>
  <w:style w:type="character" w:styleId="Numerwiersza">
    <w:name w:val="line number"/>
    <w:basedOn w:val="Domylnaczcionkaakapitu"/>
    <w:uiPriority w:val="99"/>
    <w:semiHidden/>
    <w:unhideWhenUsed/>
    <w:rsid w:val="00E319CA"/>
  </w:style>
  <w:style w:type="character" w:styleId="Hipercze">
    <w:name w:val="Hyperlink"/>
    <w:basedOn w:val="Domylnaczcionkaakapitu"/>
    <w:uiPriority w:val="99"/>
    <w:unhideWhenUsed/>
    <w:rsid w:val="0047007D"/>
    <w:rPr>
      <w:color w:val="CE142E" w:themeColor="hyperlink"/>
      <w:u w:val="single"/>
    </w:rPr>
  </w:style>
  <w:style w:type="character" w:styleId="Nierozpoznanawzmianka">
    <w:name w:val="Unresolved Mention"/>
    <w:basedOn w:val="Domylnaczcionkaakapitu"/>
    <w:uiPriority w:val="99"/>
    <w:semiHidden/>
    <w:unhideWhenUsed/>
    <w:rsid w:val="00D222D6"/>
    <w:rPr>
      <w:color w:val="605E5C"/>
      <w:shd w:val="clear" w:color="auto" w:fill="E1DFDD"/>
    </w:rPr>
  </w:style>
  <w:style w:type="character" w:styleId="Pogrubienie">
    <w:name w:val="Strong"/>
    <w:uiPriority w:val="22"/>
    <w:qFormat/>
    <w:rsid w:val="00EC1D65"/>
    <w:rPr>
      <w:b/>
    </w:rPr>
  </w:style>
  <w:style w:type="paragraph" w:styleId="NormalnyWeb">
    <w:name w:val="Normal (Web)"/>
    <w:basedOn w:val="Normalny"/>
    <w:uiPriority w:val="99"/>
    <w:rsid w:val="00EC1D65"/>
    <w:pPr>
      <w:widowControl w:val="0"/>
      <w:suppressAutoHyphens/>
      <w:spacing w:before="120" w:after="120" w:line="360" w:lineRule="auto"/>
      <w:jc w:val="both"/>
    </w:pPr>
    <w:rPr>
      <w:rFonts w:ascii="Times New Roman" w:eastAsia="HG Mincho Light J" w:hAnsi="Times New Roman" w:cs="Times New Roman"/>
      <w:color w:val="000000"/>
      <w:sz w:val="24"/>
      <w:szCs w:val="24"/>
      <w:lang w:eastAsia="ar-SA"/>
    </w:rPr>
  </w:style>
  <w:style w:type="paragraph" w:styleId="Tekstpodstawowy">
    <w:name w:val="Body Text"/>
    <w:basedOn w:val="Normalny"/>
    <w:link w:val="TekstpodstawowyZnak"/>
    <w:uiPriority w:val="1"/>
    <w:qFormat/>
    <w:rsid w:val="00CD06F3"/>
    <w:pPr>
      <w:widowControl w:val="0"/>
      <w:autoSpaceDE w:val="0"/>
      <w:autoSpaceDN w:val="0"/>
      <w:spacing w:after="0" w:line="240" w:lineRule="auto"/>
    </w:pPr>
    <w:rPr>
      <w:rFonts w:ascii="Arial" w:eastAsia="Arial" w:hAnsi="Arial" w:cs="Arial"/>
    </w:rPr>
  </w:style>
  <w:style w:type="character" w:customStyle="1" w:styleId="TekstpodstawowyZnak">
    <w:name w:val="Tekst podstawowy Znak"/>
    <w:basedOn w:val="Domylnaczcionkaakapitu"/>
    <w:link w:val="Tekstpodstawowy"/>
    <w:uiPriority w:val="1"/>
    <w:rsid w:val="00CD06F3"/>
    <w:rPr>
      <w:rFonts w:ascii="Arial" w:eastAsia="Arial" w:hAnsi="Arial" w:cs="Arial"/>
    </w:rPr>
  </w:style>
  <w:style w:type="paragraph" w:styleId="Poprawka">
    <w:name w:val="Revision"/>
    <w:hidden/>
    <w:uiPriority w:val="99"/>
    <w:semiHidden/>
    <w:rsid w:val="00A86846"/>
    <w:pPr>
      <w:spacing w:after="0" w:line="240" w:lineRule="auto"/>
    </w:pPr>
  </w:style>
  <w:style w:type="character" w:styleId="Odwoaniedokomentarza">
    <w:name w:val="annotation reference"/>
    <w:basedOn w:val="Domylnaczcionkaakapitu"/>
    <w:uiPriority w:val="99"/>
    <w:semiHidden/>
    <w:unhideWhenUsed/>
    <w:rsid w:val="00A86846"/>
    <w:rPr>
      <w:sz w:val="16"/>
      <w:szCs w:val="16"/>
    </w:rPr>
  </w:style>
  <w:style w:type="paragraph" w:styleId="Tekstkomentarza">
    <w:name w:val="annotation text"/>
    <w:basedOn w:val="Normalny"/>
    <w:link w:val="TekstkomentarzaZnak"/>
    <w:uiPriority w:val="99"/>
    <w:unhideWhenUsed/>
    <w:rsid w:val="00A86846"/>
    <w:pPr>
      <w:spacing w:line="240" w:lineRule="auto"/>
    </w:pPr>
    <w:rPr>
      <w:sz w:val="20"/>
      <w:szCs w:val="20"/>
    </w:rPr>
  </w:style>
  <w:style w:type="character" w:customStyle="1" w:styleId="TekstkomentarzaZnak">
    <w:name w:val="Tekst komentarza Znak"/>
    <w:basedOn w:val="Domylnaczcionkaakapitu"/>
    <w:link w:val="Tekstkomentarza"/>
    <w:uiPriority w:val="99"/>
    <w:rsid w:val="00A86846"/>
    <w:rPr>
      <w:sz w:val="20"/>
      <w:szCs w:val="20"/>
    </w:rPr>
  </w:style>
  <w:style w:type="paragraph" w:styleId="Tematkomentarza">
    <w:name w:val="annotation subject"/>
    <w:basedOn w:val="Tekstkomentarza"/>
    <w:next w:val="Tekstkomentarza"/>
    <w:link w:val="TematkomentarzaZnak"/>
    <w:uiPriority w:val="99"/>
    <w:semiHidden/>
    <w:unhideWhenUsed/>
    <w:rsid w:val="00A86846"/>
    <w:rPr>
      <w:b/>
      <w:bCs/>
    </w:rPr>
  </w:style>
  <w:style w:type="character" w:customStyle="1" w:styleId="TematkomentarzaZnak">
    <w:name w:val="Temat komentarza Znak"/>
    <w:basedOn w:val="TekstkomentarzaZnak"/>
    <w:link w:val="Tematkomentarza"/>
    <w:uiPriority w:val="99"/>
    <w:semiHidden/>
    <w:rsid w:val="00A86846"/>
    <w:rPr>
      <w:b/>
      <w:bCs/>
      <w:sz w:val="20"/>
      <w:szCs w:val="20"/>
    </w:rPr>
  </w:style>
  <w:style w:type="paragraph" w:styleId="Akapitzlist">
    <w:name w:val="List Paragraph"/>
    <w:basedOn w:val="Normalny"/>
    <w:uiPriority w:val="1"/>
    <w:qFormat/>
    <w:rsid w:val="00104F58"/>
    <w:pPr>
      <w:widowControl w:val="0"/>
      <w:autoSpaceDE w:val="0"/>
      <w:autoSpaceDN w:val="0"/>
      <w:spacing w:after="0" w:line="240" w:lineRule="auto"/>
      <w:ind w:left="1428" w:hanging="360"/>
    </w:pPr>
    <w:rPr>
      <w:rFonts w:ascii="Arial" w:eastAsia="Arial" w:hAnsi="Arial" w:cs="Arial"/>
    </w:rPr>
  </w:style>
  <w:style w:type="paragraph" w:styleId="Tekstprzypisudolnego">
    <w:name w:val="footnote text"/>
    <w:basedOn w:val="Normalny"/>
    <w:link w:val="TekstprzypisudolnegoZnak"/>
    <w:uiPriority w:val="99"/>
    <w:semiHidden/>
    <w:unhideWhenUsed/>
    <w:rsid w:val="00104F5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04F58"/>
    <w:rPr>
      <w:sz w:val="20"/>
      <w:szCs w:val="20"/>
    </w:rPr>
  </w:style>
  <w:style w:type="character" w:styleId="Odwoanieprzypisudolnego">
    <w:name w:val="footnote reference"/>
    <w:basedOn w:val="Domylnaczcionkaakapitu"/>
    <w:uiPriority w:val="99"/>
    <w:semiHidden/>
    <w:unhideWhenUsed/>
    <w:rsid w:val="00104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int-gobai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aint-gobain.com/en/finance/regulated-information/half-yearly-financial-repor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nika.mazurek@saint-gobai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int-gobain.com/en/finance/cmd-2025" TargetMode="External"/><Relationship Id="rId5" Type="http://schemas.openxmlformats.org/officeDocument/2006/relationships/numbering" Target="numbering.xml"/><Relationship Id="rId15" Type="http://schemas.openxmlformats.org/officeDocument/2006/relationships/hyperlink" Target="mailto:michal.ciesielski@saint-gobain.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int-gobai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GB to Word">
      <a:dk1>
        <a:sysClr val="windowText" lastClr="000000"/>
      </a:dk1>
      <a:lt1>
        <a:sysClr val="window" lastClr="FFFFFF"/>
      </a:lt1>
      <a:dk2>
        <a:srgbClr val="3F3F3F"/>
      </a:dk2>
      <a:lt2>
        <a:srgbClr val="FFFFFF"/>
      </a:lt2>
      <a:accent1>
        <a:srgbClr val="17428C"/>
      </a:accent1>
      <a:accent2>
        <a:srgbClr val="CE142E"/>
      </a:accent2>
      <a:accent3>
        <a:srgbClr val="E5531A"/>
      </a:accent3>
      <a:accent4>
        <a:srgbClr val="67B9B0"/>
      </a:accent4>
      <a:accent5>
        <a:srgbClr val="219CDC"/>
      </a:accent5>
      <a:accent6>
        <a:srgbClr val="17428C"/>
      </a:accent6>
      <a:hlink>
        <a:srgbClr val="CE142E"/>
      </a:hlink>
      <a:folHlink>
        <a:srgbClr val="E5531A"/>
      </a:folHlink>
    </a:clrScheme>
    <a:fontScheme name="SGB to word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CDB73DB3F46A4EB699A50866D51C7A" ma:contentTypeVersion="10" ma:contentTypeDescription="Utwórz nowy dokument." ma:contentTypeScope="" ma:versionID="830a37ec3d0e817c577f72310356375c">
  <xsd:schema xmlns:xsd="http://www.w3.org/2001/XMLSchema" xmlns:xs="http://www.w3.org/2001/XMLSchema" xmlns:p="http://schemas.microsoft.com/office/2006/metadata/properties" xmlns:ns2="f7f9057e-7b35-4e8c-b6e9-f0ae99fecf78" xmlns:ns3="1e876612-20a0-4a84-bef3-a221432ae682" targetNamespace="http://schemas.microsoft.com/office/2006/metadata/properties" ma:root="true" ma:fieldsID="f90354498334539d878fe874eea44a5d" ns2:_="" ns3:_="">
    <xsd:import namespace="f7f9057e-7b35-4e8c-b6e9-f0ae99fecf78"/>
    <xsd:import namespace="1e876612-20a0-4a84-bef3-a221432ae6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057e-7b35-4e8c-b6e9-f0ae99fec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8a8e937e-a000-4b8d-b995-2f10e0fc07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76612-20a0-4a84-bef3-a221432ae6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4e8c27-52ed-4f46-bfbb-c0cad9d4aadf}" ma:internalName="TaxCatchAll" ma:showField="CatchAllData" ma:web="1e876612-20a0-4a84-bef3-a221432ae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f9057e-7b35-4e8c-b6e9-f0ae99fecf78">
      <Terms xmlns="http://schemas.microsoft.com/office/infopath/2007/PartnerControls"/>
    </lcf76f155ced4ddcb4097134ff3c332f>
    <TaxCatchAll xmlns="1e876612-20a0-4a84-bef3-a221432ae682" xsi:nil="true"/>
  </documentManagement>
</p:properties>
</file>

<file path=customXml/itemProps1.xml><?xml version="1.0" encoding="utf-8"?>
<ds:datastoreItem xmlns:ds="http://schemas.openxmlformats.org/officeDocument/2006/customXml" ds:itemID="{6C4A08A9-C8BC-4169-B8AF-8AEE2119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9057e-7b35-4e8c-b6e9-f0ae99fecf78"/>
    <ds:schemaRef ds:uri="1e876612-20a0-4a84-bef3-a221432a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604C2-A2BE-401E-8BF7-1C1B748F54AD}">
  <ds:schemaRefs>
    <ds:schemaRef ds:uri="http://schemas.microsoft.com/sharepoint/v3/contenttype/forms"/>
  </ds:schemaRefs>
</ds:datastoreItem>
</file>

<file path=customXml/itemProps3.xml><?xml version="1.0" encoding="utf-8"?>
<ds:datastoreItem xmlns:ds="http://schemas.openxmlformats.org/officeDocument/2006/customXml" ds:itemID="{110CBFE5-15A6-4465-B7BD-C5FC4261DBB0}">
  <ds:schemaRefs>
    <ds:schemaRef ds:uri="http://schemas.openxmlformats.org/officeDocument/2006/bibliography"/>
  </ds:schemaRefs>
</ds:datastoreItem>
</file>

<file path=customXml/itemProps4.xml><?xml version="1.0" encoding="utf-8"?>
<ds:datastoreItem xmlns:ds="http://schemas.openxmlformats.org/officeDocument/2006/customXml" ds:itemID="{B6AAF291-C320-4D55-A0C0-D879C6ABC5CB}">
  <ds:schemaRefs>
    <ds:schemaRef ds:uri="http://schemas.microsoft.com/office/2006/metadata/properties"/>
    <ds:schemaRef ds:uri="http://schemas.microsoft.com/office/infopath/2007/PartnerControls"/>
    <ds:schemaRef ds:uri="f7f9057e-7b35-4e8c-b6e9-f0ae99fecf78"/>
    <ds:schemaRef ds:uri="1e876612-20a0-4a84-bef3-a221432ae682"/>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151</TotalTime>
  <Pages>6</Pages>
  <Words>2523</Words>
  <Characters>15138</Characters>
  <Application>Microsoft Office Word</Application>
  <DocSecurity>0</DocSecurity>
  <Lines>126</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Pokeslide</dc:creator>
  <cp:keywords/>
  <dc:description/>
  <cp:lastModifiedBy>Tower Group 2</cp:lastModifiedBy>
  <cp:revision>8</cp:revision>
  <cp:lastPrinted>2025-10-02T07:27:00Z</cp:lastPrinted>
  <dcterms:created xsi:type="dcterms:W3CDTF">2025-09-26T10:16:00Z</dcterms:created>
  <dcterms:modified xsi:type="dcterms:W3CDTF">2025-10-08T10:27:00Z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2023-08-03T12:58:00Z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e2aaf951-d1f1-4a61-9ac5-f5e5c1df91a8</vt:lpwstr>
  </property>
  <property fmtid="{D5CDD505-2E9C-101B-9397-08002B2CF9AE}" pid="8" name="MSIP_Label_ced06422-c515-4a4e-a1f2-e6a0c0200eae_ContentBits">
    <vt:lpwstr>0</vt:lpwstr>
  </property>
  <property fmtid="{D5CDD505-2E9C-101B-9397-08002B2CF9AE}" pid="9" name="ContentTypeId">
    <vt:lpwstr>0x01010018CDB73DB3F46A4EB699A50866D51C7A</vt:lpwstr>
  </property>
</Properties>
</file>