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B80E8" w14:textId="77777777" w:rsidR="000E5BE9" w:rsidRDefault="00000000">
      <w:pPr>
        <w:spacing w:line="240" w:lineRule="auto"/>
        <w:jc w:val="center"/>
        <w:rPr>
          <w:b/>
          <w:i/>
          <w:sz w:val="20"/>
          <w:szCs w:val="20"/>
        </w:rPr>
      </w:pPr>
      <w:r>
        <w:rPr>
          <w:b/>
          <w:sz w:val="20"/>
          <w:szCs w:val="20"/>
        </w:rPr>
        <w:t>Sztuczna inteligencja nie zlikwiduje Twojego etatu, ale Twoje umiejętności mają datę ważności</w:t>
      </w:r>
    </w:p>
    <w:p w14:paraId="64C7B9E1" w14:textId="77777777" w:rsidR="00CC0F1B" w:rsidRDefault="00000000">
      <w:pPr>
        <w:spacing w:line="240" w:lineRule="auto"/>
        <w:jc w:val="both"/>
        <w:rPr>
          <w:b/>
          <w:sz w:val="20"/>
          <w:szCs w:val="20"/>
        </w:rPr>
      </w:pPr>
      <w:r>
        <w:rPr>
          <w:b/>
          <w:sz w:val="20"/>
          <w:szCs w:val="20"/>
        </w:rPr>
        <w:t>Rynek pracy wkracza w erę „wielkiej re-specjalizacji”, w której to nie stanowiska, a konkretne zestawy kompetencji mają swoją datę ważności. Taki był główny wniosek ze „Śniadania AI”, które kilka dni temu odbyło się w budynku The Warsaw HUB, gdzie eksperci z branży technologicznej i HR dyskutowali o przyszłości organizacji w świecie sztucznej inteligencji.</w:t>
      </w:r>
    </w:p>
    <w:p w14:paraId="18D7F234" w14:textId="5D32C9B9" w:rsidR="000E5BE9" w:rsidRPr="00CC0F1B" w:rsidRDefault="00000000">
      <w:pPr>
        <w:spacing w:line="240" w:lineRule="auto"/>
        <w:jc w:val="both"/>
        <w:rPr>
          <w:b/>
          <w:sz w:val="20"/>
          <w:szCs w:val="20"/>
        </w:rPr>
      </w:pPr>
      <w:r>
        <w:rPr>
          <w:sz w:val="20"/>
          <w:szCs w:val="20"/>
        </w:rPr>
        <w:t xml:space="preserve">“Śniadania AI” to format, który ma pomagać lepiej zrozumieć szanse i wyzwania płynące z upowszechniania się coraz bardziej zaawansowanych narzędzi wykorzystujących sztuczną inteligencję. To szczególnie ważne, bo jak zauważył </w:t>
      </w:r>
      <w:r>
        <w:rPr>
          <w:b/>
          <w:sz w:val="20"/>
          <w:szCs w:val="20"/>
        </w:rPr>
        <w:t>Maciej Mazurek, CEO Bee Talents</w:t>
      </w:r>
      <w:r>
        <w:rPr>
          <w:sz w:val="20"/>
          <w:szCs w:val="20"/>
        </w:rPr>
        <w:t>, ekspert wspierający procesy HR w firmach z sektora IT, który otworzył spotkanie: “</w:t>
      </w:r>
      <w:r>
        <w:rPr>
          <w:i/>
          <w:sz w:val="20"/>
          <w:szCs w:val="20"/>
        </w:rPr>
        <w:t>Narracje o masowych zwolnieniach wywołanych przez AI są przesadzone. Jednak ignorowanie faktu, że – według World Economic Forum – blisko połowa dzisiejszych kompetencji straci na wartości w ciągu najbliższych lat, jest błędem. Kluczem do sukcesu nie jest obrona zajmowanego stanowiska, lecz proaktywne zarządzanie swoim portfelem umiejętności. Koncepcję ‘pracy na całe życie’ ostatecznie zastępuje idea ‘uczenia się przez całe życie’.”</w:t>
      </w:r>
    </w:p>
    <w:p w14:paraId="2F736B24" w14:textId="77777777" w:rsidR="000E5BE9" w:rsidRDefault="00000000">
      <w:pPr>
        <w:spacing w:line="240" w:lineRule="auto"/>
        <w:jc w:val="both"/>
        <w:rPr>
          <w:sz w:val="20"/>
          <w:szCs w:val="20"/>
        </w:rPr>
      </w:pPr>
      <w:r>
        <w:rPr>
          <w:b/>
          <w:sz w:val="20"/>
          <w:szCs w:val="20"/>
        </w:rPr>
        <w:t>Firma przyszłości, czyli organizacja oparta na umiejętnościach</w:t>
      </w:r>
    </w:p>
    <w:p w14:paraId="79E22209" w14:textId="77777777" w:rsidR="000E5BE9" w:rsidRDefault="00000000">
      <w:pPr>
        <w:spacing w:line="240" w:lineRule="auto"/>
        <w:jc w:val="both"/>
        <w:rPr>
          <w:sz w:val="20"/>
          <w:szCs w:val="20"/>
        </w:rPr>
      </w:pPr>
      <w:r>
        <w:rPr>
          <w:i/>
          <w:sz w:val="20"/>
          <w:szCs w:val="20"/>
        </w:rPr>
        <w:t>„Musimy odejść od myślenia w kategoriach sztywnych stanowisk na rzecz budowania kultury opartej na kompetencjach. Talent to nie zasób, którym się zarządza. To potencjał, który się uaktywnia. Firmy, które to zrozumieją i zainwestują w rozwój swoich ludzi, zyskają ogromną przewagę. Zwłaszcza że budowanie talentów wewnątrz organizacji jest nawet trzykrotnie tańsze niż pozyskiwanie ich z rynku”</w:t>
      </w:r>
      <w:r>
        <w:rPr>
          <w:sz w:val="20"/>
          <w:szCs w:val="20"/>
        </w:rPr>
        <w:t xml:space="preserve"> – </w:t>
      </w:r>
      <w:r>
        <w:rPr>
          <w:b/>
          <w:sz w:val="20"/>
          <w:szCs w:val="20"/>
        </w:rPr>
        <w:t>mówiła Anna Proch, CEO Edutailor.ai oraz Zeox S.A.</w:t>
      </w:r>
    </w:p>
    <w:p w14:paraId="7340AAED" w14:textId="77777777" w:rsidR="000E5BE9" w:rsidRDefault="00000000">
      <w:pPr>
        <w:spacing w:line="240" w:lineRule="auto"/>
        <w:jc w:val="both"/>
        <w:rPr>
          <w:sz w:val="20"/>
          <w:szCs w:val="20"/>
        </w:rPr>
      </w:pPr>
      <w:r>
        <w:rPr>
          <w:sz w:val="20"/>
          <w:szCs w:val="20"/>
        </w:rPr>
        <w:t>Jako przykłady podała firmę Unilever, która zaoszczędziła 7 milionów dolarów na rekrutacji dzięki wewnętrznej giełdzie projektów, oraz IBM, gdzie każdy dolar zainwestowany w reskilling przyniósł 30 dolarów zwrotu. Kluczowym wskaźnikiem sukcesu nowoczesnej organizacji staje się tzw. „Skill Gap Velocity” – czyli szybkość, z jaką firma jest w stanie zamykać luki w kluczowych kompetencjach.</w:t>
      </w:r>
    </w:p>
    <w:p w14:paraId="12EA4973" w14:textId="77777777" w:rsidR="000E5BE9" w:rsidRDefault="00000000">
      <w:pPr>
        <w:spacing w:line="240" w:lineRule="auto"/>
        <w:jc w:val="both"/>
        <w:rPr>
          <w:sz w:val="20"/>
          <w:szCs w:val="20"/>
        </w:rPr>
      </w:pPr>
      <w:r>
        <w:rPr>
          <w:b/>
          <w:sz w:val="20"/>
          <w:szCs w:val="20"/>
        </w:rPr>
        <w:t>Rynek pracy: fakty kontra mity</w:t>
      </w:r>
    </w:p>
    <w:p w14:paraId="4110844A" w14:textId="77777777" w:rsidR="000E5BE9" w:rsidRDefault="00000000">
      <w:pPr>
        <w:spacing w:line="240" w:lineRule="auto"/>
        <w:jc w:val="both"/>
        <w:rPr>
          <w:sz w:val="20"/>
          <w:szCs w:val="20"/>
        </w:rPr>
      </w:pPr>
      <w:r>
        <w:rPr>
          <w:sz w:val="20"/>
          <w:szCs w:val="20"/>
        </w:rPr>
        <w:t>Wg badań przeprowadzonych w tym roku przez NASK i ILO (International Labour Organization), 41,3 proc. ankietowanych obawia się spadku zarobków w swoich branżach w konsekwencji rozwoju GenAI, a 29,3 proc. – redukcji zatrudnienia ze względu na automatyzację zadań. Tymczasem eksperci „Śniadania AI” przytoczyli dane, z których wynika, że strach przed utratą pracy jest większy niż realne zagrożenie.</w:t>
      </w:r>
    </w:p>
    <w:p w14:paraId="31AFD79C" w14:textId="77777777" w:rsidR="000E5BE9" w:rsidRDefault="00000000">
      <w:pPr>
        <w:spacing w:line="240" w:lineRule="auto"/>
        <w:jc w:val="both"/>
        <w:rPr>
          <w:sz w:val="20"/>
          <w:szCs w:val="20"/>
        </w:rPr>
      </w:pPr>
      <w:r>
        <w:rPr>
          <w:i/>
          <w:sz w:val="20"/>
          <w:szCs w:val="20"/>
        </w:rPr>
        <w:t>„W kategoriach takich jak AI, Machine Learning, Data czy Cybersecurity obserwujemy ogromny, nawet 70-procentowy wzrost liczby ofert pracy. Jednocześnie widzimy stagnację w tradycyjnych rolach biurowych, co dobitnie pokazuje, gdzie tak naprawdę zachodzi zmiana i jaki jest kierunek ewolucji rynku”</w:t>
      </w:r>
      <w:r>
        <w:rPr>
          <w:sz w:val="20"/>
          <w:szCs w:val="20"/>
        </w:rPr>
        <w:t xml:space="preserve"> – </w:t>
      </w:r>
      <w:r>
        <w:rPr>
          <w:b/>
          <w:sz w:val="20"/>
          <w:szCs w:val="20"/>
        </w:rPr>
        <w:t>tłumaczyła Dagna Frydrych, Head of Growth Marketing w Just Join IT.</w:t>
      </w:r>
    </w:p>
    <w:p w14:paraId="41EF5583" w14:textId="77777777" w:rsidR="000E5BE9" w:rsidRDefault="00000000">
      <w:pPr>
        <w:spacing w:line="240" w:lineRule="auto"/>
        <w:jc w:val="both"/>
        <w:rPr>
          <w:sz w:val="20"/>
          <w:szCs w:val="20"/>
        </w:rPr>
      </w:pPr>
      <w:r>
        <w:rPr>
          <w:sz w:val="20"/>
          <w:szCs w:val="20"/>
        </w:rPr>
        <w:t xml:space="preserve">Z kolei </w:t>
      </w:r>
      <w:r>
        <w:rPr>
          <w:b/>
          <w:sz w:val="20"/>
          <w:szCs w:val="20"/>
        </w:rPr>
        <w:t>Kamil Osiecki , CEO Ideamotive</w:t>
      </w:r>
      <w:r>
        <w:rPr>
          <w:sz w:val="20"/>
          <w:szCs w:val="20"/>
        </w:rPr>
        <w:t xml:space="preserve"> podkreślił, że w świecie, w którym AI coraz sprawniej automatyzuje zadania, na wartości zyskują kompetencje czysto ludzkie.</w:t>
      </w:r>
    </w:p>
    <w:p w14:paraId="15B05444" w14:textId="77777777" w:rsidR="000E5BE9" w:rsidRDefault="00000000">
      <w:pPr>
        <w:spacing w:line="240" w:lineRule="auto"/>
        <w:jc w:val="both"/>
        <w:rPr>
          <w:sz w:val="20"/>
          <w:szCs w:val="20"/>
        </w:rPr>
      </w:pPr>
      <w:r>
        <w:rPr>
          <w:i/>
          <w:sz w:val="20"/>
          <w:szCs w:val="20"/>
        </w:rPr>
        <w:lastRenderedPageBreak/>
        <w:t>„Firmy zawsze będą płacić za branie odpowiedzialności. To, wraz z zaangażowaniem, są cechy, na które popyt nigdy nie zniknie. Technologia może być narzędziem, ale nie zastąpi człowieka w strategicznym myśleniu i ponoszeniu odpowiedzialności za końcowy wynik”</w:t>
      </w:r>
      <w:r>
        <w:rPr>
          <w:sz w:val="20"/>
          <w:szCs w:val="20"/>
        </w:rPr>
        <w:t xml:space="preserve"> – </w:t>
      </w:r>
      <w:r>
        <w:rPr>
          <w:b/>
          <w:sz w:val="20"/>
          <w:szCs w:val="20"/>
        </w:rPr>
        <w:t>stwierdził Kamil Osiecki.</w:t>
      </w:r>
    </w:p>
    <w:p w14:paraId="289D67BB" w14:textId="77777777" w:rsidR="000E5BE9" w:rsidRDefault="00000000">
      <w:pPr>
        <w:spacing w:line="240" w:lineRule="auto"/>
        <w:jc w:val="both"/>
        <w:rPr>
          <w:sz w:val="20"/>
          <w:szCs w:val="20"/>
        </w:rPr>
      </w:pPr>
      <w:r>
        <w:rPr>
          <w:b/>
          <w:sz w:val="20"/>
          <w:szCs w:val="20"/>
        </w:rPr>
        <w:t>Wnioski dla biznesu</w:t>
      </w:r>
    </w:p>
    <w:p w14:paraId="39A13F29" w14:textId="77777777" w:rsidR="000E5BE9" w:rsidRDefault="00000000">
      <w:pPr>
        <w:spacing w:line="240" w:lineRule="auto"/>
        <w:jc w:val="both"/>
        <w:rPr>
          <w:sz w:val="20"/>
          <w:szCs w:val="20"/>
        </w:rPr>
      </w:pPr>
      <w:r>
        <w:rPr>
          <w:sz w:val="20"/>
          <w:szCs w:val="20"/>
        </w:rPr>
        <w:t>Rewolucja AI to ogromna szansa dla tych, którzy potrafią myśleć w kategoriach umiejętności, potencjału i ciągłego rozwoju. Najważniejsze wnioski dla pracowników i pracodawców to:</w:t>
      </w:r>
    </w:p>
    <w:p w14:paraId="7A00D3A5" w14:textId="77777777" w:rsidR="000E5BE9" w:rsidRDefault="00000000">
      <w:pPr>
        <w:numPr>
          <w:ilvl w:val="0"/>
          <w:numId w:val="1"/>
        </w:numPr>
        <w:spacing w:line="240" w:lineRule="auto"/>
        <w:jc w:val="both"/>
        <w:rPr>
          <w:sz w:val="20"/>
          <w:szCs w:val="20"/>
        </w:rPr>
      </w:pPr>
      <w:r>
        <w:rPr>
          <w:b/>
          <w:sz w:val="20"/>
          <w:szCs w:val="20"/>
        </w:rPr>
        <w:t>Adaptacyjność jest nową walutą –</w:t>
      </w:r>
      <w:r>
        <w:rPr>
          <w:sz w:val="20"/>
          <w:szCs w:val="20"/>
        </w:rPr>
        <w:t xml:space="preserve"> zdolność do szybkiej nauki i oduczania się jest cenniejsza niż wieloletnie doświadczenie w jednej, schyłkowej technologii.</w:t>
      </w:r>
    </w:p>
    <w:p w14:paraId="0CC45349" w14:textId="77777777" w:rsidR="000E5BE9" w:rsidRDefault="00000000">
      <w:pPr>
        <w:numPr>
          <w:ilvl w:val="0"/>
          <w:numId w:val="1"/>
        </w:numPr>
        <w:spacing w:line="240" w:lineRule="auto"/>
        <w:jc w:val="both"/>
        <w:rPr>
          <w:sz w:val="20"/>
          <w:szCs w:val="20"/>
        </w:rPr>
      </w:pPr>
      <w:r>
        <w:rPr>
          <w:b/>
          <w:sz w:val="20"/>
          <w:szCs w:val="20"/>
        </w:rPr>
        <w:t>Odpowiedzialność i zaangażowanie w cenie.</w:t>
      </w:r>
      <w:r>
        <w:rPr>
          <w:sz w:val="20"/>
          <w:szCs w:val="20"/>
        </w:rPr>
        <w:t xml:space="preserve"> Tam, gdzie AI automatyzuje zadania, ludzka odpowiedzialność za procesy i wyniki staje się kluczowym zasobem.</w:t>
      </w:r>
    </w:p>
    <w:p w14:paraId="62BBD230" w14:textId="77777777" w:rsidR="000E5BE9" w:rsidRDefault="00000000">
      <w:pPr>
        <w:numPr>
          <w:ilvl w:val="0"/>
          <w:numId w:val="1"/>
        </w:numPr>
        <w:spacing w:line="240" w:lineRule="auto"/>
        <w:jc w:val="both"/>
        <w:rPr>
          <w:sz w:val="20"/>
          <w:szCs w:val="20"/>
        </w:rPr>
      </w:pPr>
      <w:r>
        <w:rPr>
          <w:b/>
          <w:sz w:val="20"/>
          <w:szCs w:val="20"/>
        </w:rPr>
        <w:t>Koniec z biernością –</w:t>
      </w:r>
      <w:r>
        <w:rPr>
          <w:sz w:val="20"/>
          <w:szCs w:val="20"/>
        </w:rPr>
        <w:t xml:space="preserve"> pracownicy muszą proaktywnie testować nowe narzędzia, a firmy tworzyć kulturę eksperymentowania i wewnętrznej mobilności, zamiast polegać wyłącznie na drogiej rekrutacji zewnętrznej.</w:t>
      </w:r>
    </w:p>
    <w:p w14:paraId="5A7B5DE4" w14:textId="77777777" w:rsidR="000E5BE9" w:rsidRDefault="00000000">
      <w:pPr>
        <w:spacing w:line="240" w:lineRule="auto"/>
        <w:jc w:val="both"/>
        <w:rPr>
          <w:sz w:val="20"/>
          <w:szCs w:val="20"/>
        </w:rPr>
      </w:pPr>
      <w:r>
        <w:rPr>
          <w:i/>
          <w:sz w:val="20"/>
          <w:szCs w:val="20"/>
        </w:rPr>
        <w:t>„Tworząc ekosystem The Warsaw HUB, od początku stawialiśmy na budowanie społeczności i dostarczanie naszym najemcom wartości dodanej, która wykracza poza samo biuro. Cieszymy się, że możemy inicjować dyskusje na tak kluczowe tematy, jak wpływ AI na rynek pracy. Wierzymy, że dzielenie się wiedzą i inspirowanie do rozwoju to dziś jedna z najważniejszych ról, jakie może pełnić nowoczesne miejsce pracy”</w:t>
      </w:r>
      <w:r>
        <w:rPr>
          <w:sz w:val="20"/>
          <w:szCs w:val="20"/>
        </w:rPr>
        <w:t xml:space="preserve"> – podsumowała</w:t>
      </w:r>
      <w:r>
        <w:rPr>
          <w:b/>
          <w:sz w:val="20"/>
          <w:szCs w:val="20"/>
        </w:rPr>
        <w:t xml:space="preserve"> Sylwia Wiszowata-Łazarz, Head of Marketing, Asset Services z Cushman &amp; Wakefield</w:t>
      </w:r>
      <w:r>
        <w:rPr>
          <w:sz w:val="20"/>
          <w:szCs w:val="20"/>
        </w:rPr>
        <w:t>, międzynarodowej firmy doradczej zarządzającej budynkiem The Warsaw HUB.</w:t>
      </w:r>
    </w:p>
    <w:p w14:paraId="49CDE798" w14:textId="77777777" w:rsidR="000E5BE9" w:rsidRDefault="000E5BE9">
      <w:pPr>
        <w:spacing w:line="240" w:lineRule="auto"/>
        <w:jc w:val="both"/>
        <w:rPr>
          <w:sz w:val="20"/>
          <w:szCs w:val="20"/>
        </w:rPr>
      </w:pPr>
    </w:p>
    <w:p w14:paraId="7B3A7E0B" w14:textId="77777777" w:rsidR="000E5BE9" w:rsidRDefault="00000000">
      <w:pPr>
        <w:jc w:val="center"/>
        <w:rPr>
          <w:sz w:val="16"/>
          <w:szCs w:val="16"/>
        </w:rPr>
      </w:pPr>
      <w:r>
        <w:rPr>
          <w:sz w:val="16"/>
          <w:szCs w:val="16"/>
        </w:rPr>
        <w:t xml:space="preserve">- </w:t>
      </w:r>
      <w:r>
        <w:rPr>
          <w:b/>
          <w:sz w:val="16"/>
          <w:szCs w:val="16"/>
        </w:rPr>
        <w:t>KONIEC -</w:t>
      </w:r>
    </w:p>
    <w:p w14:paraId="0E02654F" w14:textId="77777777" w:rsidR="000E5BE9" w:rsidRDefault="000E5BE9">
      <w:pPr>
        <w:spacing w:line="240" w:lineRule="auto"/>
        <w:jc w:val="both"/>
        <w:rPr>
          <w:b/>
          <w:sz w:val="20"/>
          <w:szCs w:val="20"/>
        </w:rPr>
      </w:pPr>
    </w:p>
    <w:p w14:paraId="0CF53E2D" w14:textId="77777777" w:rsidR="000E5BE9" w:rsidRDefault="00000000">
      <w:pPr>
        <w:spacing w:line="240" w:lineRule="auto"/>
        <w:jc w:val="both"/>
        <w:rPr>
          <w:b/>
          <w:sz w:val="20"/>
          <w:szCs w:val="20"/>
        </w:rPr>
      </w:pPr>
      <w:r>
        <w:rPr>
          <w:b/>
          <w:sz w:val="16"/>
          <w:szCs w:val="16"/>
        </w:rPr>
        <w:t>O Cushman &amp; Wakefield</w:t>
      </w:r>
    </w:p>
    <w:p w14:paraId="375EF9D9" w14:textId="77777777" w:rsidR="000E5BE9" w:rsidRDefault="00000000">
      <w:pPr>
        <w:jc w:val="both"/>
        <w:rPr>
          <w:sz w:val="16"/>
          <w:szCs w:val="16"/>
        </w:rPr>
      </w:pPr>
      <w:r>
        <w:rPr>
          <w:sz w:val="16"/>
          <w:szCs w:val="16"/>
        </w:rPr>
        <w:t>Cushman &amp; Wakefield (NYSE: CWK) jest wiodącą na świecie firmą świadczącą usługi na rzecz właścicieli i najemców nieruchomości komercyjnych. Zatrudnia ok. 52 tys. pracowników w niemal 400 biurach i 60 krajach na całym świecie. W 2024 roku jej przychody wyniosły 9,4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 </w:t>
      </w:r>
      <w:r>
        <w:rPr>
          <w:i/>
          <w:sz w:val="16"/>
          <w:szCs w:val="16"/>
        </w:rPr>
        <w:t>Better never settles</w:t>
      </w:r>
      <w:r>
        <w:rPr>
          <w:sz w:val="16"/>
          <w:szCs w:val="16"/>
        </w:rPr>
        <w:t> Cushman &amp; Wakefield otrzymuje wiele wyróżnień oraz nagród w konkursach branżowych i biznesowych. Dodatkowe informacje na stronie </w:t>
      </w:r>
      <w:hyperlink r:id="rId8">
        <w:r>
          <w:rPr>
            <w:color w:val="4472C4"/>
            <w:sz w:val="16"/>
            <w:szCs w:val="16"/>
            <w:u w:val="single"/>
          </w:rPr>
          <w:t>www.cushmanwakefield.com</w:t>
        </w:r>
      </w:hyperlink>
      <w:r>
        <w:rPr>
          <w:sz w:val="16"/>
          <w:szCs w:val="16"/>
        </w:rPr>
        <w:t>.</w:t>
      </w:r>
    </w:p>
    <w:p w14:paraId="51A3C7D5" w14:textId="77777777" w:rsidR="000E5BE9" w:rsidRDefault="000E5BE9">
      <w:pPr>
        <w:jc w:val="center"/>
        <w:rPr>
          <w:sz w:val="16"/>
          <w:szCs w:val="16"/>
        </w:rPr>
      </w:pPr>
    </w:p>
    <w:sectPr w:rsidR="000E5BE9">
      <w:headerReference w:type="default" r:id="rId9"/>
      <w:footerReference w:type="default" r:id="rId10"/>
      <w:headerReference w:type="first" r:id="rId11"/>
      <w:footerReference w:type="first" r:id="rId12"/>
      <w:pgSz w:w="11907" w:h="16839"/>
      <w:pgMar w:top="3600" w:right="1008" w:bottom="2880" w:left="1224" w:header="180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AD6DD" w14:textId="77777777" w:rsidR="009F159B" w:rsidRDefault="009F159B">
      <w:pPr>
        <w:spacing w:after="0" w:line="240" w:lineRule="auto"/>
      </w:pPr>
      <w:r>
        <w:separator/>
      </w:r>
    </w:p>
  </w:endnote>
  <w:endnote w:type="continuationSeparator" w:id="0">
    <w:p w14:paraId="7E678C83" w14:textId="77777777" w:rsidR="009F159B" w:rsidRDefault="009F1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720DABA8-A946-7545-9EE5-7E32BF430A3C}"/>
  </w:font>
  <w:font w:name="Courier New">
    <w:panose1 w:val="02070309020205020404"/>
    <w:charset w:val="EE"/>
    <w:family w:val="modern"/>
    <w:pitch w:val="fixed"/>
    <w:sig w:usb0="E0002EFF" w:usb1="C0007843" w:usb2="00000009" w:usb3="00000000" w:csb0="000001FF" w:csb1="00000000"/>
    <w:embedRegular r:id="rId2" w:fontKey="{99644B48-F898-3840-8192-BA6AD47F89CA}"/>
  </w:font>
  <w:font w:name="Arial">
    <w:panose1 w:val="020B0604020202020204"/>
    <w:charset w:val="EE"/>
    <w:family w:val="swiss"/>
    <w:pitch w:val="variable"/>
    <w:sig w:usb0="E0002EFF" w:usb1="C000785B" w:usb2="00000009" w:usb3="00000000" w:csb0="000001FF" w:csb1="00000000"/>
    <w:embedRegular r:id="rId3" w:fontKey="{F7A1C110-C49B-6045-A772-92F6D5144BDE}"/>
    <w:embedBold r:id="rId4" w:fontKey="{7DE9933E-66D6-2446-87E4-90B2CD5C2DB5}"/>
    <w:embedItalic r:id="rId5" w:fontKey="{EF63E7AB-5C94-0C4C-AE12-49C794E49D78}"/>
    <w:embedBoldItalic r:id="rId6" w:fontKey="{8DE48FC9-CC0F-5D46-BB40-955EB92DDBA4}"/>
  </w:font>
  <w:font w:name="Calibri">
    <w:panose1 w:val="020F0502020204030204"/>
    <w:charset w:val="EE"/>
    <w:family w:val="swiss"/>
    <w:pitch w:val="variable"/>
    <w:sig w:usb0="E4002EFF" w:usb1="C200247B" w:usb2="00000009" w:usb3="00000000" w:csb0="000001FF" w:csb1="00000000"/>
    <w:embedRegular r:id="rId7" w:fontKey="{4379418B-BAC5-EB48-AD7F-C229A963B799}"/>
    <w:embedBold r:id="rId8" w:fontKey="{B8E028B6-5908-954C-A8D1-E6E099EECFE7}"/>
  </w:font>
  <w:font w:name="Times New Roman">
    <w:panose1 w:val="02020603050405020304"/>
    <w:charset w:val="EE"/>
    <w:family w:val="roman"/>
    <w:pitch w:val="variable"/>
    <w:sig w:usb0="E0002EFF" w:usb1="C000785B" w:usb2="00000009" w:usb3="00000000" w:csb0="000001FF" w:csb1="00000000"/>
    <w:embedRegular r:id="rId9" w:fontKey="{D7B50FC1-6F08-3F48-B9C0-C26756204B10}"/>
    <w:embedBold r:id="rId10" w:fontKey="{28A57096-1BC4-A14B-AB0C-B3A22647893E}"/>
    <w:embedItalic r:id="rId11" w:fontKey="{AF874FD3-F62C-FE4D-9323-7663DCDF11DA}"/>
  </w:font>
  <w:font w:name="Consolas">
    <w:panose1 w:val="020B0609020204030204"/>
    <w:charset w:val="EE"/>
    <w:family w:val="modern"/>
    <w:pitch w:val="fixed"/>
    <w:sig w:usb0="E10006FF" w:usb1="4000FCFF" w:usb2="00000009" w:usb3="00000000" w:csb0="0000019F" w:csb1="00000000"/>
    <w:embedRegular r:id="rId12" w:fontKey="{D1B1E158-8A4C-6440-85DC-684C3CB69A77}"/>
  </w:font>
  <w:font w:name="Calibri Light">
    <w:panose1 w:val="020F0302020204030204"/>
    <w:charset w:val="EE"/>
    <w:family w:val="swiss"/>
    <w:pitch w:val="variable"/>
    <w:sig w:usb0="E4002EFF" w:usb1="C200247B" w:usb2="00000009" w:usb3="00000000" w:csb0="000001FF" w:csb1="00000000"/>
    <w:embedRegular r:id="rId13" w:fontKey="{21DB7179-4DF7-B240-A88B-49BAAA810D49}"/>
  </w:font>
  <w:font w:name="Segoe UI">
    <w:panose1 w:val="020B0502040204020203"/>
    <w:charset w:val="EE"/>
    <w:family w:val="swiss"/>
    <w:pitch w:val="variable"/>
    <w:sig w:usb0="E4002EFF" w:usb1="C000E47F" w:usb2="00000009" w:usb3="00000000" w:csb0="000001FF" w:csb1="00000000"/>
    <w:embedRegular r:id="rId14" w:fontKey="{9DBA6612-C9CF-E84D-B3F8-089F4D4800C0}"/>
  </w:font>
  <w:font w:name="Georgia">
    <w:panose1 w:val="02040502050405020303"/>
    <w:charset w:val="00"/>
    <w:family w:val="roman"/>
    <w:pitch w:val="variable"/>
    <w:sig w:usb0="00000287" w:usb1="00000000" w:usb2="00000000" w:usb3="00000000" w:csb0="0000009F" w:csb1="00000000"/>
    <w:embedRegular r:id="rId15" w:fontKey="{96CEE8CD-7D02-2942-9C07-672A2B9B6210}"/>
    <w:embedItalic r:id="rId16" w:fontKey="{3C632E92-ED13-7C4C-9057-8175B6C68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E5EB9" w14:textId="77777777" w:rsidR="000E5BE9" w:rsidRDefault="000E5BE9">
    <w:pPr>
      <w:widowControl w:val="0"/>
      <w:pBdr>
        <w:top w:val="nil"/>
        <w:left w:val="nil"/>
        <w:bottom w:val="nil"/>
        <w:right w:val="nil"/>
        <w:between w:val="nil"/>
      </w:pBdr>
      <w:spacing w:after="0"/>
      <w:rPr>
        <w:color w:val="000000"/>
      </w:rPr>
    </w:pPr>
  </w:p>
  <w:tbl>
    <w:tblPr>
      <w:tblStyle w:val="a"/>
      <w:tblW w:w="9000" w:type="dxa"/>
      <w:tblLayout w:type="fixed"/>
      <w:tblLook w:val="0400" w:firstRow="0" w:lastRow="0" w:firstColumn="0" w:lastColumn="0" w:noHBand="0" w:noVBand="1"/>
    </w:tblPr>
    <w:tblGrid>
      <w:gridCol w:w="9000"/>
    </w:tblGrid>
    <w:tr w:rsidR="000E5BE9" w14:paraId="7669C68E" w14:textId="77777777">
      <w:trPr>
        <w:trHeight w:val="630"/>
      </w:trPr>
      <w:tc>
        <w:tcPr>
          <w:tcW w:w="9000" w:type="dxa"/>
          <w:vAlign w:val="bottom"/>
        </w:tcPr>
        <w:p w14:paraId="0964ADBC" w14:textId="77777777" w:rsidR="000E5BE9" w:rsidRDefault="00000000">
          <w:pPr>
            <w:pStyle w:val="Heading2"/>
            <w:rPr>
              <w:rFonts w:ascii="Arial" w:eastAsia="Arial" w:hAnsi="Arial" w:cs="Arial"/>
              <w:color w:val="000000"/>
            </w:rPr>
          </w:pPr>
          <w:r>
            <w:rPr>
              <w:rFonts w:ascii="Arial" w:eastAsia="Arial" w:hAnsi="Arial" w:cs="Arial"/>
              <w:color w:val="000000"/>
            </w:rPr>
            <w:t>Dodatkowe informacje:</w:t>
          </w:r>
        </w:p>
      </w:tc>
    </w:tr>
    <w:tr w:rsidR="000E5BE9" w14:paraId="2D7A3EE7" w14:textId="77777777">
      <w:trPr>
        <w:trHeight w:val="1260"/>
      </w:trPr>
      <w:tc>
        <w:tcPr>
          <w:tcW w:w="9000" w:type="dxa"/>
        </w:tcPr>
        <w:p w14:paraId="52F33DCE" w14:textId="77777777" w:rsidR="000E5BE9" w:rsidRDefault="000E5BE9">
          <w:pPr>
            <w:widowControl w:val="0"/>
            <w:pBdr>
              <w:top w:val="nil"/>
              <w:left w:val="nil"/>
              <w:bottom w:val="nil"/>
              <w:right w:val="nil"/>
              <w:between w:val="nil"/>
            </w:pBdr>
            <w:spacing w:after="0"/>
            <w:rPr>
              <w:color w:val="000000"/>
            </w:rPr>
          </w:pPr>
        </w:p>
        <w:tbl>
          <w:tblPr>
            <w:tblStyle w:val="a0"/>
            <w:tblW w:w="8999" w:type="dxa"/>
            <w:tblLayout w:type="fixed"/>
            <w:tblLook w:val="04A0" w:firstRow="1" w:lastRow="0" w:firstColumn="1" w:lastColumn="0" w:noHBand="0" w:noVBand="1"/>
          </w:tblPr>
          <w:tblGrid>
            <w:gridCol w:w="8564"/>
            <w:gridCol w:w="218"/>
            <w:gridCol w:w="218"/>
          </w:tblGrid>
          <w:tr w:rsidR="000E5BE9" w14:paraId="035E1E95" w14:textId="77777777" w:rsidTr="000E5BE9">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Pr>
              <w:p w14:paraId="5896EA5E" w14:textId="77777777" w:rsidR="000E5BE9" w:rsidRDefault="000E5BE9">
                <w:pPr>
                  <w:widowControl w:val="0"/>
                  <w:pBdr>
                    <w:top w:val="nil"/>
                    <w:left w:val="nil"/>
                    <w:bottom w:val="nil"/>
                    <w:right w:val="nil"/>
                    <w:between w:val="nil"/>
                  </w:pBdr>
                  <w:spacing w:line="276" w:lineRule="auto"/>
                  <w:rPr>
                    <w:color w:val="000000"/>
                  </w:rPr>
                </w:pPr>
              </w:p>
              <w:tbl>
                <w:tblPr>
                  <w:tblStyle w:val="a1"/>
                  <w:tblW w:w="24344" w:type="dxa"/>
                  <w:tblInd w:w="27" w:type="dxa"/>
                  <w:tblBorders>
                    <w:top w:val="nil"/>
                    <w:left w:val="nil"/>
                    <w:bottom w:val="nil"/>
                    <w:right w:val="nil"/>
                    <w:insideH w:val="nil"/>
                    <w:insideV w:val="nil"/>
                  </w:tblBorders>
                  <w:tblLayout w:type="fixed"/>
                  <w:tblLook w:val="0400" w:firstRow="0" w:lastRow="0" w:firstColumn="0" w:lastColumn="0" w:noHBand="0" w:noVBand="1"/>
                </w:tblPr>
                <w:tblGrid>
                  <w:gridCol w:w="19799"/>
                  <w:gridCol w:w="1515"/>
                  <w:gridCol w:w="1515"/>
                  <w:gridCol w:w="1515"/>
                </w:tblGrid>
                <w:tr w:rsidR="000E5BE9" w14:paraId="486062EA" w14:textId="77777777">
                  <w:trPr>
                    <w:trHeight w:val="738"/>
                  </w:trPr>
                  <w:tc>
                    <w:tcPr>
                      <w:tcW w:w="0" w:type="auto"/>
                    </w:tcPr>
                    <w:p w14:paraId="30A9EC85" w14:textId="77777777" w:rsidR="000E5BE9" w:rsidRDefault="00000000">
                      <w:pPr>
                        <w:keepNext/>
                        <w:keepLines/>
                        <w:pBdr>
                          <w:top w:val="nil"/>
                          <w:left w:val="nil"/>
                          <w:bottom w:val="nil"/>
                          <w:right w:val="nil"/>
                          <w:between w:val="nil"/>
                        </w:pBdr>
                        <w:rPr>
                          <w:rFonts w:ascii="Calibri" w:eastAsia="Calibri" w:hAnsi="Calibri" w:cs="Calibri"/>
                          <w:b/>
                          <w:color w:val="696B6B"/>
                          <w:sz w:val="18"/>
                          <w:szCs w:val="18"/>
                        </w:rPr>
                      </w:pPr>
                      <w:r>
                        <w:rPr>
                          <w:rFonts w:ascii="Calibri" w:eastAsia="Calibri" w:hAnsi="Calibri" w:cs="Calibri"/>
                          <w:b/>
                          <w:color w:val="696B6B"/>
                          <w:sz w:val="18"/>
                          <w:szCs w:val="18"/>
                        </w:rPr>
                        <w:t>Karolina Samczyńska-Fiślak</w:t>
                      </w:r>
                    </w:p>
                    <w:p w14:paraId="01E37207" w14:textId="77777777" w:rsidR="000E5BE9" w:rsidRDefault="00000000">
                      <w:pPr>
                        <w:keepNext/>
                        <w:keepLines/>
                        <w:pBdr>
                          <w:top w:val="nil"/>
                          <w:left w:val="nil"/>
                          <w:bottom w:val="nil"/>
                          <w:right w:val="nil"/>
                          <w:between w:val="nil"/>
                        </w:pBdr>
                        <w:rPr>
                          <w:rFonts w:ascii="Calibri" w:eastAsia="Calibri" w:hAnsi="Calibri" w:cs="Calibri"/>
                          <w:color w:val="696B6B"/>
                          <w:sz w:val="18"/>
                          <w:szCs w:val="18"/>
                        </w:rPr>
                      </w:pPr>
                      <w:r>
                        <w:rPr>
                          <w:rFonts w:ascii="Calibri" w:eastAsia="Calibri" w:hAnsi="Calibri" w:cs="Calibri"/>
                          <w:color w:val="696B6B"/>
                          <w:sz w:val="18"/>
                          <w:szCs w:val="18"/>
                        </w:rPr>
                        <w:t xml:space="preserve">Cushman &amp; Wakefield </w:t>
                      </w:r>
                    </w:p>
                    <w:p w14:paraId="0D9A2381" w14:textId="77777777" w:rsidR="000E5BE9" w:rsidRDefault="00000000">
                      <w:pPr>
                        <w:rPr>
                          <w:rFonts w:ascii="Calibri" w:eastAsia="Calibri" w:hAnsi="Calibri" w:cs="Calibri"/>
                          <w:sz w:val="18"/>
                          <w:szCs w:val="18"/>
                        </w:rPr>
                      </w:pPr>
                      <w:r>
                        <w:rPr>
                          <w:rFonts w:ascii="Calibri" w:eastAsia="Calibri" w:hAnsi="Calibri" w:cs="Calibri"/>
                          <w:color w:val="696B6B"/>
                          <w:sz w:val="18"/>
                          <w:szCs w:val="18"/>
                        </w:rPr>
                        <w:t>Tel: + 48 22 820 20 20; 691 060 202</w:t>
                      </w:r>
                    </w:p>
                    <w:p w14:paraId="6D50BEBD" w14:textId="77777777" w:rsidR="000E5BE9" w:rsidRDefault="00000000">
                      <w:pPr>
                        <w:keepNext/>
                        <w:keepLines/>
                        <w:pBdr>
                          <w:top w:val="nil"/>
                          <w:left w:val="nil"/>
                          <w:bottom w:val="nil"/>
                          <w:right w:val="nil"/>
                          <w:between w:val="nil"/>
                        </w:pBdr>
                        <w:tabs>
                          <w:tab w:val="right" w:pos="4688"/>
                        </w:tabs>
                        <w:rPr>
                          <w:rFonts w:ascii="Calibri" w:eastAsia="Calibri" w:hAnsi="Calibri" w:cs="Calibri"/>
                          <w:b/>
                          <w:color w:val="696B6B"/>
                          <w:sz w:val="18"/>
                          <w:szCs w:val="18"/>
                        </w:rPr>
                      </w:pPr>
                      <w:r>
                        <w:rPr>
                          <w:rFonts w:ascii="Calibri" w:eastAsia="Calibri" w:hAnsi="Calibri" w:cs="Calibri"/>
                          <w:b/>
                          <w:color w:val="696B6B"/>
                          <w:sz w:val="18"/>
                          <w:szCs w:val="18"/>
                        </w:rPr>
                        <w:t xml:space="preserve">e-mail: </w:t>
                      </w:r>
                      <w:hyperlink r:id="rId1">
                        <w:r>
                          <w:rPr>
                            <w:rFonts w:ascii="Calibri" w:eastAsia="Calibri" w:hAnsi="Calibri" w:cs="Calibri"/>
                            <w:b/>
                            <w:color w:val="008B98"/>
                            <w:sz w:val="18"/>
                            <w:szCs w:val="18"/>
                          </w:rPr>
                          <w:t>media.poland@cushwake.pl</w:t>
                        </w:r>
                      </w:hyperlink>
                    </w:p>
                  </w:tc>
                  <w:tc>
                    <w:tcPr>
                      <w:tcW w:w="0" w:type="auto"/>
                    </w:tcPr>
                    <w:p w14:paraId="4DB25650" w14:textId="77777777" w:rsidR="000E5BE9" w:rsidRDefault="000E5BE9">
                      <w:pPr>
                        <w:pBdr>
                          <w:top w:val="nil"/>
                          <w:left w:val="nil"/>
                          <w:bottom w:val="nil"/>
                          <w:right w:val="nil"/>
                          <w:between w:val="nil"/>
                        </w:pBdr>
                        <w:rPr>
                          <w:rFonts w:ascii="Calibri" w:eastAsia="Calibri" w:hAnsi="Calibri" w:cs="Calibri"/>
                          <w:color w:val="696B6B"/>
                          <w:sz w:val="18"/>
                          <w:szCs w:val="18"/>
                        </w:rPr>
                      </w:pPr>
                    </w:p>
                  </w:tc>
                  <w:tc>
                    <w:tcPr>
                      <w:tcW w:w="0" w:type="auto"/>
                    </w:tcPr>
                    <w:p w14:paraId="4DA62C6E" w14:textId="77777777" w:rsidR="000E5BE9" w:rsidRDefault="000E5BE9">
                      <w:pPr>
                        <w:keepNext/>
                        <w:keepLines/>
                        <w:pBdr>
                          <w:top w:val="nil"/>
                          <w:left w:val="nil"/>
                          <w:bottom w:val="nil"/>
                          <w:right w:val="nil"/>
                          <w:between w:val="nil"/>
                        </w:pBdr>
                        <w:rPr>
                          <w:rFonts w:ascii="Calibri" w:eastAsia="Calibri" w:hAnsi="Calibri" w:cs="Calibri"/>
                          <w:b/>
                          <w:color w:val="696B6B"/>
                          <w:sz w:val="18"/>
                          <w:szCs w:val="18"/>
                        </w:rPr>
                      </w:pPr>
                    </w:p>
                  </w:tc>
                  <w:tc>
                    <w:tcPr>
                      <w:tcW w:w="0" w:type="auto"/>
                    </w:tcPr>
                    <w:p w14:paraId="7B034AFA" w14:textId="77777777" w:rsidR="000E5BE9" w:rsidRDefault="000E5BE9">
                      <w:pPr>
                        <w:keepNext/>
                        <w:keepLines/>
                        <w:pBdr>
                          <w:top w:val="nil"/>
                          <w:left w:val="nil"/>
                          <w:bottom w:val="nil"/>
                          <w:right w:val="nil"/>
                          <w:between w:val="nil"/>
                        </w:pBdr>
                        <w:rPr>
                          <w:rFonts w:ascii="Calibri" w:eastAsia="Calibri" w:hAnsi="Calibri" w:cs="Calibri"/>
                          <w:b/>
                          <w:color w:val="696B6B"/>
                          <w:sz w:val="18"/>
                          <w:szCs w:val="18"/>
                        </w:rPr>
                      </w:pPr>
                    </w:p>
                  </w:tc>
                </w:tr>
              </w:tbl>
              <w:p w14:paraId="34BF7BDB" w14:textId="77777777" w:rsidR="000E5BE9" w:rsidRDefault="000E5BE9">
                <w:pPr>
                  <w:pBdr>
                    <w:top w:val="nil"/>
                    <w:left w:val="nil"/>
                    <w:bottom w:val="nil"/>
                    <w:right w:val="nil"/>
                    <w:between w:val="nil"/>
                  </w:pBdr>
                  <w:spacing w:line="276" w:lineRule="auto"/>
                  <w:rPr>
                    <w:rFonts w:ascii="Calibri" w:eastAsia="Calibri" w:hAnsi="Calibri" w:cs="Calibri"/>
                    <w:color w:val="000000"/>
                    <w:sz w:val="18"/>
                    <w:szCs w:val="18"/>
                  </w:rPr>
                </w:pPr>
              </w:p>
            </w:tc>
            <w:tc>
              <w:tcPr>
                <w:tcW w:w="0" w:type="auto"/>
              </w:tcPr>
              <w:p w14:paraId="30FF5A06" w14:textId="77777777" w:rsidR="000E5BE9" w:rsidRDefault="000E5BE9">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696B6B"/>
                    <w:sz w:val="18"/>
                    <w:szCs w:val="18"/>
                  </w:rPr>
                </w:pPr>
              </w:p>
            </w:tc>
            <w:tc>
              <w:tcPr>
                <w:tcW w:w="0" w:type="auto"/>
              </w:tcPr>
              <w:p w14:paraId="4F2D6D5F" w14:textId="77777777" w:rsidR="000E5BE9" w:rsidRDefault="000E5BE9">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p w14:paraId="1CC9C382" w14:textId="77777777" w:rsidR="000E5BE9" w:rsidRDefault="000E5BE9">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r>
        </w:tbl>
        <w:p w14:paraId="4CC7F120" w14:textId="77777777" w:rsidR="000E5BE9" w:rsidRDefault="000E5BE9">
          <w:pPr>
            <w:pBdr>
              <w:top w:val="nil"/>
              <w:left w:val="nil"/>
              <w:bottom w:val="nil"/>
              <w:right w:val="nil"/>
              <w:between w:val="nil"/>
            </w:pBdr>
            <w:spacing w:after="0"/>
            <w:rPr>
              <w:rFonts w:ascii="Calibri" w:eastAsia="Calibri" w:hAnsi="Calibri" w:cs="Calibri"/>
              <w:color w:val="000000"/>
              <w:sz w:val="18"/>
              <w:szCs w:val="18"/>
            </w:rPr>
          </w:pPr>
        </w:p>
      </w:tc>
    </w:tr>
  </w:tbl>
  <w:p w14:paraId="45CBFB6F" w14:textId="77777777" w:rsidR="000E5BE9" w:rsidRDefault="000E5BE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D73A5" w14:textId="77777777" w:rsidR="000E5BE9" w:rsidRDefault="000E5BE9">
    <w:pPr>
      <w:widowControl w:val="0"/>
      <w:pBdr>
        <w:top w:val="nil"/>
        <w:left w:val="nil"/>
        <w:bottom w:val="nil"/>
        <w:right w:val="nil"/>
        <w:between w:val="nil"/>
      </w:pBdr>
      <w:spacing w:after="0"/>
      <w:rPr>
        <w:color w:val="000000"/>
      </w:rPr>
    </w:pPr>
  </w:p>
  <w:tbl>
    <w:tblPr>
      <w:tblStyle w:val="a2"/>
      <w:tblW w:w="9000" w:type="dxa"/>
      <w:tblLayout w:type="fixed"/>
      <w:tblLook w:val="0400" w:firstRow="0" w:lastRow="0" w:firstColumn="0" w:lastColumn="0" w:noHBand="0" w:noVBand="1"/>
    </w:tblPr>
    <w:tblGrid>
      <w:gridCol w:w="5670"/>
      <w:gridCol w:w="3330"/>
    </w:tblGrid>
    <w:tr w:rsidR="000E5BE9" w14:paraId="4B2A34FA" w14:textId="77777777">
      <w:trPr>
        <w:trHeight w:val="630"/>
      </w:trPr>
      <w:tc>
        <w:tcPr>
          <w:tcW w:w="5670" w:type="dxa"/>
          <w:vAlign w:val="bottom"/>
        </w:tcPr>
        <w:p w14:paraId="410A4AF9" w14:textId="77777777" w:rsidR="000E5BE9" w:rsidRDefault="00000000">
          <w:pPr>
            <w:pStyle w:val="Heading2"/>
            <w:rPr>
              <w:rFonts w:ascii="Arial" w:eastAsia="Arial" w:hAnsi="Arial" w:cs="Arial"/>
              <w:color w:val="696B6B"/>
            </w:rPr>
          </w:pPr>
          <w:r>
            <w:rPr>
              <w:rFonts w:ascii="Arial" w:eastAsia="Arial" w:hAnsi="Arial" w:cs="Arial"/>
              <w:color w:val="696B6B"/>
            </w:rPr>
            <w:t>Media Contact:</w:t>
          </w:r>
        </w:p>
      </w:tc>
      <w:tc>
        <w:tcPr>
          <w:tcW w:w="3330" w:type="dxa"/>
          <w:vAlign w:val="bottom"/>
        </w:tcPr>
        <w:p w14:paraId="42EAF79E" w14:textId="77777777" w:rsidR="000E5BE9" w:rsidRDefault="000E5BE9">
          <w:pPr>
            <w:spacing w:after="100" w:line="240" w:lineRule="auto"/>
            <w:rPr>
              <w:b/>
              <w:color w:val="696B6B"/>
              <w:sz w:val="18"/>
              <w:szCs w:val="18"/>
            </w:rPr>
          </w:pPr>
        </w:p>
      </w:tc>
    </w:tr>
    <w:tr w:rsidR="000E5BE9" w14:paraId="4522F49B" w14:textId="77777777">
      <w:trPr>
        <w:trHeight w:val="1260"/>
      </w:trPr>
      <w:tc>
        <w:tcPr>
          <w:tcW w:w="5670" w:type="dxa"/>
          <w:vAlign w:val="bottom"/>
        </w:tcPr>
        <w:p w14:paraId="2D3F26B9" w14:textId="77777777" w:rsidR="000E5BE9" w:rsidRDefault="00000000">
          <w:pPr>
            <w:keepNext/>
            <w:keepLines/>
            <w:pBdr>
              <w:top w:val="nil"/>
              <w:left w:val="nil"/>
              <w:bottom w:val="nil"/>
              <w:right w:val="nil"/>
              <w:between w:val="nil"/>
            </w:pBdr>
            <w:spacing w:after="0"/>
            <w:rPr>
              <w:b/>
              <w:color w:val="696B6B"/>
              <w:sz w:val="18"/>
              <w:szCs w:val="18"/>
            </w:rPr>
          </w:pPr>
          <w:r>
            <w:rPr>
              <w:b/>
              <w:color w:val="696B6B"/>
              <w:sz w:val="18"/>
              <w:szCs w:val="18"/>
            </w:rPr>
            <w:t>Name</w:t>
          </w:r>
        </w:p>
        <w:p w14:paraId="6ABD611E" w14:textId="77777777" w:rsidR="000E5BE9" w:rsidRDefault="00000000">
          <w:pPr>
            <w:pBdr>
              <w:top w:val="nil"/>
              <w:left w:val="nil"/>
              <w:bottom w:val="nil"/>
              <w:right w:val="nil"/>
              <w:between w:val="nil"/>
            </w:pBdr>
            <w:spacing w:after="0"/>
            <w:rPr>
              <w:color w:val="696B6B"/>
              <w:sz w:val="18"/>
              <w:szCs w:val="18"/>
            </w:rPr>
          </w:pPr>
          <w:r>
            <w:rPr>
              <w:color w:val="696B6B"/>
              <w:sz w:val="18"/>
              <w:szCs w:val="18"/>
            </w:rPr>
            <w:t>Title</w:t>
          </w:r>
        </w:p>
        <w:p w14:paraId="7E43BAE6" w14:textId="77777777" w:rsidR="000E5BE9" w:rsidRDefault="00000000">
          <w:pPr>
            <w:pBdr>
              <w:top w:val="nil"/>
              <w:left w:val="nil"/>
              <w:bottom w:val="nil"/>
              <w:right w:val="nil"/>
              <w:between w:val="nil"/>
            </w:pBdr>
            <w:spacing w:after="0"/>
            <w:rPr>
              <w:color w:val="696B6B"/>
              <w:sz w:val="18"/>
              <w:szCs w:val="18"/>
            </w:rPr>
          </w:pPr>
          <w:r>
            <w:rPr>
              <w:color w:val="696B6B"/>
              <w:sz w:val="18"/>
              <w:szCs w:val="18"/>
            </w:rPr>
            <w:t>+1 000 000 0000</w:t>
          </w:r>
        </w:p>
        <w:p w14:paraId="07660531" w14:textId="77777777" w:rsidR="000E5BE9" w:rsidRDefault="00000000">
          <w:pPr>
            <w:pBdr>
              <w:top w:val="nil"/>
              <w:left w:val="nil"/>
              <w:bottom w:val="nil"/>
              <w:right w:val="nil"/>
              <w:between w:val="nil"/>
            </w:pBdr>
            <w:spacing w:after="0"/>
            <w:rPr>
              <w:color w:val="696B6B"/>
              <w:sz w:val="18"/>
              <w:szCs w:val="18"/>
            </w:rPr>
          </w:pPr>
          <w:hyperlink r:id="rId1">
            <w:r>
              <w:rPr>
                <w:color w:val="4472C4"/>
                <w:sz w:val="18"/>
                <w:szCs w:val="18"/>
                <w:u w:val="single"/>
              </w:rPr>
              <w:t>first.last@cushwake.com</w:t>
            </w:r>
          </w:hyperlink>
          <w:r>
            <w:rPr>
              <w:color w:val="696B6B"/>
              <w:sz w:val="18"/>
              <w:szCs w:val="18"/>
            </w:rPr>
            <w:t xml:space="preserve"> </w:t>
          </w:r>
        </w:p>
      </w:tc>
      <w:tc>
        <w:tcPr>
          <w:tcW w:w="3330" w:type="dxa"/>
          <w:vAlign w:val="bottom"/>
        </w:tcPr>
        <w:p w14:paraId="6FE1D12F" w14:textId="77777777" w:rsidR="000E5BE9" w:rsidRDefault="000E5BE9">
          <w:pPr>
            <w:pBdr>
              <w:top w:val="nil"/>
              <w:left w:val="nil"/>
              <w:bottom w:val="nil"/>
              <w:right w:val="nil"/>
              <w:between w:val="nil"/>
            </w:pBdr>
            <w:spacing w:after="0"/>
            <w:rPr>
              <w:color w:val="696B6B"/>
              <w:sz w:val="18"/>
              <w:szCs w:val="18"/>
            </w:rPr>
          </w:pPr>
        </w:p>
      </w:tc>
    </w:tr>
  </w:tbl>
  <w:p w14:paraId="690EB3F3" w14:textId="77777777" w:rsidR="000E5BE9" w:rsidRDefault="000E5BE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1F7F9" w14:textId="77777777" w:rsidR="009F159B" w:rsidRDefault="009F159B">
      <w:pPr>
        <w:spacing w:after="0" w:line="240" w:lineRule="auto"/>
      </w:pPr>
      <w:r>
        <w:separator/>
      </w:r>
    </w:p>
  </w:footnote>
  <w:footnote w:type="continuationSeparator" w:id="0">
    <w:p w14:paraId="5538BA32" w14:textId="77777777" w:rsidR="009F159B" w:rsidRDefault="009F1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0716A" w14:textId="77777777" w:rsidR="000E5BE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39F4F910" wp14:editId="0603B2EF">
          <wp:simplePos x="0" y="0"/>
          <wp:positionH relativeFrom="column">
            <wp:posOffset>43134</wp:posOffset>
          </wp:positionH>
          <wp:positionV relativeFrom="paragraph">
            <wp:posOffset>-154973</wp:posOffset>
          </wp:positionV>
          <wp:extent cx="1933575" cy="40767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E3196" w14:textId="77777777" w:rsidR="000E5BE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56F41F50" wp14:editId="6E622B82">
          <wp:simplePos x="0" y="0"/>
          <wp:positionH relativeFrom="column">
            <wp:posOffset>3813</wp:posOffset>
          </wp:positionH>
          <wp:positionV relativeFrom="paragraph">
            <wp:posOffset>-201292</wp:posOffset>
          </wp:positionV>
          <wp:extent cx="1933575" cy="40767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820DFC"/>
    <w:multiLevelType w:val="multilevel"/>
    <w:tmpl w:val="3DFA3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99059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E9"/>
    <w:rsid w:val="000E5BE9"/>
    <w:rsid w:val="00175B99"/>
    <w:rsid w:val="009F159B"/>
    <w:rsid w:val="00CC0F1B"/>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decimalSymbol w:val=","/>
  <w:listSeparator w:val=","/>
  <w14:docId w14:val="7EF6A29F"/>
  <w15:docId w15:val="{84BDFCD6-13F3-3343-A980-AE9054D6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PL"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after="100"/>
      <w:outlineLvl w:val="1"/>
    </w:pPr>
    <w:rPr>
      <w:rFonts w:ascii="Calibri" w:eastAsia="Calibri" w:hAnsi="Calibri" w:cs="Calibri"/>
      <w:b/>
      <w:smallCaps/>
      <w:color w:val="008B98"/>
      <w:sz w:val="18"/>
      <w:szCs w:val="1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D84A2D"/>
    <w:rPr>
      <w:rFonts w:ascii="Calibri" w:eastAsia="Calibri" w:hAnsi="Calibri" w:cs="Calibri"/>
      <w:b/>
      <w:smallCaps/>
      <w:color w:val="008B98"/>
      <w:sz w:val="18"/>
      <w:szCs w:val="18"/>
      <w:lang w:eastAsia="pl-PL"/>
    </w:rPr>
  </w:style>
  <w:style w:type="paragraph" w:styleId="Footer">
    <w:name w:val="footer"/>
    <w:basedOn w:val="Normal"/>
    <w:link w:val="FooterChar"/>
    <w:uiPriority w:val="99"/>
    <w:unhideWhenUsed/>
    <w:rsid w:val="00D84A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4A2D"/>
    <w:rPr>
      <w:rFonts w:ascii="Arial" w:eastAsia="Arial" w:hAnsi="Arial" w:cs="Arial"/>
      <w:lang w:eastAsia="pl-PL"/>
    </w:rPr>
  </w:style>
  <w:style w:type="character" w:styleId="Hyperlink">
    <w:name w:val="Hyperlink"/>
    <w:basedOn w:val="DefaultParagraphFont"/>
    <w:unhideWhenUsed/>
    <w:qFormat/>
    <w:rsid w:val="00D84A2D"/>
    <w:rPr>
      <w:color w:val="4472C4" w:themeColor="accent1"/>
      <w:u w:val="single"/>
    </w:rPr>
  </w:style>
  <w:style w:type="table" w:styleId="TableGrid">
    <w:name w:val="Table Grid"/>
    <w:basedOn w:val="TableNormal"/>
    <w:uiPriority w:val="59"/>
    <w:rsid w:val="00D84A2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Name">
    <w:name w:val="ContactName"/>
    <w:basedOn w:val="Heading3"/>
    <w:qFormat/>
    <w:rsid w:val="00D84A2D"/>
    <w:pPr>
      <w:spacing w:before="0" w:line="216" w:lineRule="atLeast"/>
    </w:pPr>
    <w:rPr>
      <w:rFonts w:eastAsia="Times New Roman" w:cs="Times New Roman"/>
      <w:b/>
      <w:bCs/>
      <w:color w:val="008B98"/>
      <w:sz w:val="18"/>
      <w:lang w:val="en-GB"/>
    </w:rPr>
  </w:style>
  <w:style w:type="paragraph" w:customStyle="1" w:styleId="ContactDetail">
    <w:name w:val="ContactDetail"/>
    <w:basedOn w:val="Normal"/>
    <w:rsid w:val="00D84A2D"/>
    <w:pPr>
      <w:spacing w:after="0" w:line="216" w:lineRule="atLeast"/>
    </w:pPr>
    <w:rPr>
      <w:rFonts w:ascii="Calibri" w:eastAsia="Times New Roman" w:hAnsi="Calibri" w:cs="Times New Roman"/>
      <w:color w:val="000000"/>
      <w:sz w:val="18"/>
      <w:szCs w:val="24"/>
      <w:lang w:val="en-GB"/>
    </w:rPr>
  </w:style>
  <w:style w:type="character" w:customStyle="1" w:styleId="Brak">
    <w:name w:val="Brak"/>
    <w:rsid w:val="00D84A2D"/>
  </w:style>
  <w:style w:type="character" w:customStyle="1" w:styleId="Hyperlink0">
    <w:name w:val="Hyperlink.0"/>
    <w:basedOn w:val="Brak"/>
    <w:rsid w:val="00D84A2D"/>
  </w:style>
  <w:style w:type="table" w:customStyle="1" w:styleId="PlainTable41">
    <w:name w:val="Plain Table 41"/>
    <w:basedOn w:val="TableNormal"/>
    <w:uiPriority w:val="44"/>
    <w:rsid w:val="00D84A2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D84A2D"/>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rsid w:val="00D84A2D"/>
    <w:rPr>
      <w:rFonts w:ascii="Calibri" w:eastAsia="Times New Roman" w:hAnsi="Calibri" w:cs="Consolas"/>
      <w:szCs w:val="21"/>
      <w:lang w:eastAsia="pl-PL"/>
    </w:rPr>
  </w:style>
  <w:style w:type="character" w:customStyle="1" w:styleId="Heading3Char">
    <w:name w:val="Heading 3 Char"/>
    <w:basedOn w:val="DefaultParagraphFont"/>
    <w:link w:val="Heading3"/>
    <w:uiPriority w:val="9"/>
    <w:semiHidden/>
    <w:rsid w:val="00D84A2D"/>
    <w:rPr>
      <w:rFonts w:asciiTheme="majorHAnsi" w:eastAsiaTheme="majorEastAsia" w:hAnsiTheme="majorHAnsi" w:cstheme="majorBidi"/>
      <w:color w:val="1F3763" w:themeColor="accent1" w:themeShade="7F"/>
      <w:sz w:val="24"/>
      <w:szCs w:val="24"/>
      <w:lang w:eastAsia="pl-PL"/>
    </w:rPr>
  </w:style>
  <w:style w:type="character" w:styleId="CommentReference">
    <w:name w:val="annotation reference"/>
    <w:basedOn w:val="DefaultParagraphFont"/>
    <w:uiPriority w:val="99"/>
    <w:semiHidden/>
    <w:unhideWhenUsed/>
    <w:rsid w:val="00CB2FB2"/>
    <w:rPr>
      <w:sz w:val="16"/>
      <w:szCs w:val="16"/>
    </w:rPr>
  </w:style>
  <w:style w:type="paragraph" w:styleId="CommentText">
    <w:name w:val="annotation text"/>
    <w:basedOn w:val="Normal"/>
    <w:link w:val="CommentTextChar"/>
    <w:uiPriority w:val="99"/>
    <w:unhideWhenUsed/>
    <w:rsid w:val="00CB2FB2"/>
    <w:pPr>
      <w:spacing w:line="240" w:lineRule="auto"/>
    </w:pPr>
    <w:rPr>
      <w:sz w:val="20"/>
      <w:szCs w:val="20"/>
    </w:rPr>
  </w:style>
  <w:style w:type="character" w:customStyle="1" w:styleId="CommentTextChar">
    <w:name w:val="Comment Text Char"/>
    <w:basedOn w:val="DefaultParagraphFont"/>
    <w:link w:val="CommentText"/>
    <w:uiPriority w:val="99"/>
    <w:rsid w:val="00CB2FB2"/>
    <w:rPr>
      <w:rFonts w:ascii="Arial" w:eastAsia="Arial" w:hAnsi="Arial" w:cs="Arial"/>
      <w:sz w:val="20"/>
      <w:szCs w:val="20"/>
      <w:lang w:eastAsia="pl-PL"/>
    </w:rPr>
  </w:style>
  <w:style w:type="paragraph" w:styleId="CommentSubject">
    <w:name w:val="annotation subject"/>
    <w:basedOn w:val="CommentText"/>
    <w:next w:val="CommentText"/>
    <w:link w:val="CommentSubjectChar"/>
    <w:uiPriority w:val="99"/>
    <w:semiHidden/>
    <w:unhideWhenUsed/>
    <w:rsid w:val="00CB2FB2"/>
    <w:rPr>
      <w:b/>
      <w:bCs/>
    </w:rPr>
  </w:style>
  <w:style w:type="character" w:customStyle="1" w:styleId="CommentSubjectChar">
    <w:name w:val="Comment Subject Char"/>
    <w:basedOn w:val="CommentTextChar"/>
    <w:link w:val="CommentSubject"/>
    <w:uiPriority w:val="99"/>
    <w:semiHidden/>
    <w:rsid w:val="00CB2FB2"/>
    <w:rPr>
      <w:rFonts w:ascii="Arial" w:eastAsia="Arial" w:hAnsi="Arial" w:cs="Arial"/>
      <w:b/>
      <w:bCs/>
      <w:sz w:val="20"/>
      <w:szCs w:val="20"/>
      <w:lang w:eastAsia="pl-PL"/>
    </w:rPr>
  </w:style>
  <w:style w:type="paragraph" w:styleId="BalloonText">
    <w:name w:val="Balloon Text"/>
    <w:basedOn w:val="Normal"/>
    <w:link w:val="BalloonTextChar"/>
    <w:uiPriority w:val="99"/>
    <w:semiHidden/>
    <w:unhideWhenUsed/>
    <w:rsid w:val="00CB2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FB2"/>
    <w:rPr>
      <w:rFonts w:ascii="Segoe UI" w:eastAsia="Arial" w:hAnsi="Segoe UI" w:cs="Segoe UI"/>
      <w:sz w:val="18"/>
      <w:szCs w:val="18"/>
      <w:lang w:eastAsia="pl-PL"/>
    </w:rPr>
  </w:style>
  <w:style w:type="paragraph" w:styleId="Revision">
    <w:name w:val="Revision"/>
    <w:hidden/>
    <w:uiPriority w:val="99"/>
    <w:semiHidden/>
    <w:rsid w:val="005323BE"/>
    <w:pPr>
      <w:spacing w:after="0" w:line="240" w:lineRule="auto"/>
    </w:pPr>
    <w:rPr>
      <w:lang w:eastAsia="pl-PL"/>
    </w:rPr>
  </w:style>
  <w:style w:type="paragraph" w:styleId="EndnoteText">
    <w:name w:val="endnote text"/>
    <w:basedOn w:val="Normal"/>
    <w:link w:val="EndnoteTextChar"/>
    <w:uiPriority w:val="99"/>
    <w:semiHidden/>
    <w:unhideWhenUsed/>
    <w:rsid w:val="00976C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6C95"/>
    <w:rPr>
      <w:rFonts w:ascii="Arial" w:eastAsia="Arial" w:hAnsi="Arial" w:cs="Arial"/>
      <w:sz w:val="20"/>
      <w:szCs w:val="20"/>
      <w:lang w:eastAsia="pl-PL"/>
    </w:rPr>
  </w:style>
  <w:style w:type="character" w:styleId="EndnoteReference">
    <w:name w:val="endnote reference"/>
    <w:basedOn w:val="DefaultParagraphFont"/>
    <w:uiPriority w:val="99"/>
    <w:semiHidden/>
    <w:unhideWhenUsed/>
    <w:rsid w:val="00976C95"/>
    <w:rPr>
      <w:vertAlign w:val="superscript"/>
    </w:rPr>
  </w:style>
  <w:style w:type="paragraph" w:styleId="Header">
    <w:name w:val="header"/>
    <w:basedOn w:val="Normal"/>
    <w:link w:val="HeaderChar"/>
    <w:uiPriority w:val="99"/>
    <w:unhideWhenUsed/>
    <w:rsid w:val="00B77D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7D91"/>
    <w:rPr>
      <w:rFonts w:ascii="Arial" w:eastAsia="Arial" w:hAnsi="Arial" w:cs="Arial"/>
      <w:lang w:eastAsia="pl-PL"/>
    </w:rPr>
  </w:style>
  <w:style w:type="character" w:customStyle="1" w:styleId="Nierozpoznanawzmianka1">
    <w:name w:val="Nierozpoznana wzmianka1"/>
    <w:basedOn w:val="DefaultParagraphFont"/>
    <w:uiPriority w:val="99"/>
    <w:semiHidden/>
    <w:unhideWhenUsed/>
    <w:rsid w:val="00B77D91"/>
    <w:rPr>
      <w:color w:val="605E5C"/>
      <w:shd w:val="clear" w:color="auto" w:fill="E1DFDD"/>
    </w:rPr>
  </w:style>
  <w:style w:type="character" w:customStyle="1" w:styleId="Nierozpoznanawzmianka2">
    <w:name w:val="Nierozpoznana wzmianka2"/>
    <w:basedOn w:val="DefaultParagraphFont"/>
    <w:uiPriority w:val="99"/>
    <w:semiHidden/>
    <w:unhideWhenUsed/>
    <w:rsid w:val="006B635B"/>
    <w:rPr>
      <w:color w:val="605E5C"/>
      <w:shd w:val="clear" w:color="auto" w:fill="E1DFDD"/>
    </w:rPr>
  </w:style>
  <w:style w:type="paragraph" w:customStyle="1" w:styleId="western">
    <w:name w:val="western"/>
    <w:basedOn w:val="Normal"/>
    <w:rsid w:val="00FE3132"/>
    <w:pPr>
      <w:spacing w:before="100" w:beforeAutospacing="1" w:after="100" w:afterAutospacing="1" w:line="240" w:lineRule="auto"/>
    </w:pPr>
    <w:rPr>
      <w:rFonts w:ascii="Calibri" w:eastAsiaTheme="minorHAnsi" w:hAnsi="Calibri" w:cs="Calibri"/>
    </w:rPr>
  </w:style>
  <w:style w:type="character" w:styleId="Strong">
    <w:name w:val="Strong"/>
    <w:basedOn w:val="DefaultParagraphFont"/>
    <w:uiPriority w:val="22"/>
    <w:qFormat/>
    <w:rsid w:val="00FE3132"/>
    <w:rPr>
      <w:b/>
      <w:bCs/>
    </w:rPr>
  </w:style>
  <w:style w:type="character" w:customStyle="1" w:styleId="Heading1Char">
    <w:name w:val="Heading 1 Char"/>
    <w:basedOn w:val="DefaultParagraphFont"/>
    <w:link w:val="Heading1"/>
    <w:uiPriority w:val="9"/>
    <w:rsid w:val="00FE3132"/>
    <w:rPr>
      <w:rFonts w:asciiTheme="majorHAnsi" w:eastAsiaTheme="majorEastAsia" w:hAnsiTheme="majorHAnsi" w:cstheme="majorBidi"/>
      <w:color w:val="2F5496" w:themeColor="accent1" w:themeShade="BF"/>
      <w:sz w:val="32"/>
      <w:szCs w:val="32"/>
      <w:lang w:eastAsia="pl-PL"/>
    </w:rPr>
  </w:style>
  <w:style w:type="character" w:styleId="Emphasis">
    <w:name w:val="Emphasis"/>
    <w:basedOn w:val="DefaultParagraphFont"/>
    <w:uiPriority w:val="20"/>
    <w:qFormat/>
    <w:rsid w:val="00E909E6"/>
    <w:rPr>
      <w:i/>
      <w:iCs/>
    </w:rPr>
  </w:style>
  <w:style w:type="character" w:customStyle="1" w:styleId="cf01">
    <w:name w:val="cf01"/>
    <w:basedOn w:val="DefaultParagraphFont"/>
    <w:rsid w:val="00167436"/>
    <w:rPr>
      <w:rFonts w:ascii="Segoe UI" w:hAnsi="Segoe UI" w:cs="Segoe UI" w:hint="default"/>
      <w:sz w:val="18"/>
      <w:szCs w:val="18"/>
    </w:rPr>
  </w:style>
  <w:style w:type="character" w:customStyle="1" w:styleId="apple-converted-space">
    <w:name w:val="apple-converted-space"/>
    <w:basedOn w:val="DefaultParagraphFont"/>
    <w:rsid w:val="00775E16"/>
  </w:style>
  <w:style w:type="paragraph" w:styleId="ListParagraph">
    <w:name w:val="List Paragraph"/>
    <w:basedOn w:val="Normal"/>
    <w:uiPriority w:val="34"/>
    <w:qFormat/>
    <w:rsid w:val="00AF11EE"/>
    <w:pPr>
      <w:spacing w:after="0" w:line="240" w:lineRule="auto"/>
      <w:ind w:left="720"/>
    </w:pPr>
    <w:rPr>
      <w:rFonts w:ascii="Calibri" w:eastAsiaTheme="minorHAnsi" w:hAnsi="Calibri" w:cs="Calibri"/>
      <w:lang w:val="en-GB"/>
    </w:rPr>
  </w:style>
  <w:style w:type="paragraph" w:styleId="NormalWeb">
    <w:name w:val="Normal (Web)"/>
    <w:basedOn w:val="Normal"/>
    <w:uiPriority w:val="99"/>
    <w:unhideWhenUsed/>
    <w:rsid w:val="00AF11E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semiHidden/>
    <w:unhideWhenUsed/>
    <w:rsid w:val="00AF11EE"/>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F11EE"/>
    <w:rPr>
      <w:sz w:val="20"/>
      <w:szCs w:val="20"/>
    </w:rPr>
  </w:style>
  <w:style w:type="character" w:styleId="FootnoteReference">
    <w:name w:val="footnote reference"/>
    <w:basedOn w:val="DefaultParagraphFont"/>
    <w:uiPriority w:val="99"/>
    <w:semiHidden/>
    <w:unhideWhenUsed/>
    <w:rsid w:val="00AF11EE"/>
    <w:rPr>
      <w:vertAlign w:val="superscript"/>
    </w:rPr>
  </w:style>
  <w:style w:type="character" w:customStyle="1" w:styleId="normaltextrun">
    <w:name w:val="normaltextrun"/>
    <w:basedOn w:val="DefaultParagraphFont"/>
    <w:rsid w:val="00C0604F"/>
  </w:style>
  <w:style w:type="character" w:customStyle="1" w:styleId="eop">
    <w:name w:val="eop"/>
    <w:basedOn w:val="DefaultParagraphFont"/>
    <w:rsid w:val="00C0604F"/>
  </w:style>
  <w:style w:type="paragraph" w:customStyle="1" w:styleId="pf0">
    <w:name w:val="pf0"/>
    <w:basedOn w:val="Normal"/>
    <w:rsid w:val="00A12BA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C62BD"/>
    <w:rPr>
      <w:color w:val="605E5C"/>
      <w:shd w:val="clear" w:color="auto" w:fill="E1DFDD"/>
    </w:rPr>
  </w:style>
  <w:style w:type="character" w:styleId="FollowedHyperlink">
    <w:name w:val="FollowedHyperlink"/>
    <w:basedOn w:val="DefaultParagraphFont"/>
    <w:uiPriority w:val="99"/>
    <w:semiHidden/>
    <w:unhideWhenUsed/>
    <w:rsid w:val="00B70FF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ushmanwakefiel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media.poland@cushwake.p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irst.last@cushwak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c7Q/qf0GBOxYgEG1wKmW+yNcg==">CgMxLjA4AHIhMVpLVXBlT0pObFNPeVJHZnB0UmVtb0pqZHpCZ2JRMVFX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814</Words>
  <Characters>4645</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magdalena ossowska</cp:lastModifiedBy>
  <cp:revision>2</cp:revision>
  <dcterms:created xsi:type="dcterms:W3CDTF">2025-09-11T13:43:00Z</dcterms:created>
  <dcterms:modified xsi:type="dcterms:W3CDTF">2025-10-06T10:46:00Z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01c4386eb9a1dc9de2fec12738f87015bcc4ef4c8803dccae430c9e60e042de1</vt:lpwstr>
  </property>
  <property fmtid="{D5CDD505-2E9C-101B-9397-08002B2CF9AE}" pid="3" name="ContentTypeId">
    <vt:lpwstr>0x010100EC618526F10DA64CBE3916EAA4716759</vt:lpwstr>
  </property>
  <property fmtid="{D5CDD505-2E9C-101B-9397-08002B2CF9AE}" pid="4" name="MediaServiceImageTags">
    <vt:lpwstr/>
  </property>
</Properties>
</file>