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A9BC" w14:textId="1E8F0101" w:rsidR="00A6720D" w:rsidRDefault="00A6720D" w:rsidP="006B03D9">
      <w:pPr>
        <w:tabs>
          <w:tab w:val="left" w:pos="7080"/>
          <w:tab w:val="right" w:pos="9922"/>
        </w:tabs>
        <w:jc w:val="right"/>
        <w:rPr>
          <w:b/>
        </w:rPr>
      </w:pPr>
    </w:p>
    <w:p w14:paraId="7C5DDE31" w14:textId="09D5CEB0" w:rsidR="006B03D9" w:rsidRPr="006B03D9" w:rsidRDefault="00023B4C" w:rsidP="006B03D9">
      <w:pPr>
        <w:tabs>
          <w:tab w:val="left" w:pos="7080"/>
          <w:tab w:val="right" w:pos="9922"/>
        </w:tabs>
        <w:jc w:val="right"/>
        <w:rPr>
          <w:b/>
        </w:rPr>
      </w:pPr>
      <w:r>
        <w:rPr>
          <w:b/>
        </w:rPr>
        <w:t>2</w:t>
      </w:r>
      <w:r>
        <w:rPr>
          <w:b/>
        </w:rPr>
        <w:t xml:space="preserve"> </w:t>
      </w:r>
      <w:r>
        <w:rPr>
          <w:b/>
        </w:rPr>
        <w:t>października</w:t>
      </w:r>
      <w:r>
        <w:rPr>
          <w:b/>
        </w:rPr>
        <w:t xml:space="preserve"> </w:t>
      </w:r>
      <w:r w:rsidR="001D01E0">
        <w:rPr>
          <w:b/>
        </w:rPr>
        <w:t>2025 r.</w:t>
      </w:r>
    </w:p>
    <w:p w14:paraId="1644BBCD" w14:textId="0217D18A" w:rsidR="00502FE4" w:rsidRPr="004A4151" w:rsidRDefault="007B241C">
      <w:pPr>
        <w:jc w:val="both"/>
        <w:rPr>
          <w:b/>
          <w:sz w:val="28"/>
          <w:szCs w:val="28"/>
        </w:rPr>
      </w:pPr>
      <w:r>
        <w:rPr>
          <w:b/>
          <w:sz w:val="28"/>
          <w:szCs w:val="28"/>
        </w:rPr>
        <w:t xml:space="preserve">Polacy czują się </w:t>
      </w:r>
      <w:proofErr w:type="spellStart"/>
      <w:r>
        <w:rPr>
          <w:b/>
          <w:sz w:val="28"/>
          <w:szCs w:val="28"/>
        </w:rPr>
        <w:t>przebodźcowani</w:t>
      </w:r>
      <w:proofErr w:type="spellEnd"/>
      <w:r>
        <w:rPr>
          <w:b/>
          <w:sz w:val="28"/>
          <w:szCs w:val="28"/>
        </w:rPr>
        <w:t xml:space="preserve">. Aż </w:t>
      </w:r>
      <w:r w:rsidR="00B81193">
        <w:rPr>
          <w:b/>
          <w:sz w:val="28"/>
          <w:szCs w:val="28"/>
        </w:rPr>
        <w:t>połowa</w:t>
      </w:r>
      <w:r>
        <w:rPr>
          <w:b/>
          <w:sz w:val="28"/>
          <w:szCs w:val="28"/>
        </w:rPr>
        <w:t xml:space="preserve"> odczuwa stres z powodu nadmiaru informacji i powiadomień</w:t>
      </w:r>
    </w:p>
    <w:p w14:paraId="4B48EF63" w14:textId="7FDFC54A" w:rsidR="00D07784" w:rsidRDefault="00385536">
      <w:pPr>
        <w:jc w:val="both"/>
        <w:rPr>
          <w:b/>
        </w:rPr>
      </w:pPr>
      <w:r>
        <w:rPr>
          <w:b/>
        </w:rPr>
        <w:t>Niemal połowa</w:t>
      </w:r>
      <w:r w:rsidR="00D07784">
        <w:rPr>
          <w:b/>
        </w:rPr>
        <w:t xml:space="preserve"> Polaków doświadcza </w:t>
      </w:r>
      <w:r w:rsidR="00D07784" w:rsidRPr="00D07784">
        <w:rPr>
          <w:b/>
        </w:rPr>
        <w:t>stresu z powodu przeciążenia informacjami, powiadomieniami i bodźcami</w:t>
      </w:r>
      <w:r w:rsidR="00D07784">
        <w:rPr>
          <w:b/>
        </w:rPr>
        <w:t xml:space="preserve"> – wynika z ogólnopolskiego badania przeprowadzonego na zlecenie </w:t>
      </w:r>
      <w:proofErr w:type="spellStart"/>
      <w:r w:rsidR="00D07784">
        <w:rPr>
          <w:b/>
        </w:rPr>
        <w:t>Multi.Life</w:t>
      </w:r>
      <w:proofErr w:type="spellEnd"/>
      <w:r w:rsidR="00D07784">
        <w:rPr>
          <w:b/>
        </w:rPr>
        <w:t xml:space="preserve">. </w:t>
      </w:r>
      <w:r w:rsidR="00D07784" w:rsidRPr="00D07784">
        <w:rPr>
          <w:b/>
        </w:rPr>
        <w:t>Codziennie docierają do nas setki sygnałów</w:t>
      </w:r>
      <w:r w:rsidR="00D07784">
        <w:rPr>
          <w:b/>
        </w:rPr>
        <w:t xml:space="preserve">, </w:t>
      </w:r>
      <w:r w:rsidR="00D07784" w:rsidRPr="00D07784">
        <w:rPr>
          <w:b/>
        </w:rPr>
        <w:t xml:space="preserve">od </w:t>
      </w:r>
      <w:r w:rsidR="0014624C">
        <w:rPr>
          <w:b/>
        </w:rPr>
        <w:t xml:space="preserve">służbowych </w:t>
      </w:r>
      <w:r w:rsidR="00D07784" w:rsidRPr="00D07784">
        <w:rPr>
          <w:b/>
        </w:rPr>
        <w:t xml:space="preserve">maili po alerty w aplikacjach. </w:t>
      </w:r>
      <w:r w:rsidR="00937A48">
        <w:rPr>
          <w:b/>
        </w:rPr>
        <w:t xml:space="preserve">Z powodu bodźców, płynących zarówno z życia prywatnego, jak i zawodowego </w:t>
      </w:r>
      <w:r w:rsidR="00D07784" w:rsidRPr="00D07784">
        <w:rPr>
          <w:b/>
        </w:rPr>
        <w:t xml:space="preserve">czujemy się </w:t>
      </w:r>
      <w:r w:rsidR="00937A48">
        <w:rPr>
          <w:b/>
        </w:rPr>
        <w:t xml:space="preserve">coraz częściej </w:t>
      </w:r>
      <w:r>
        <w:rPr>
          <w:b/>
        </w:rPr>
        <w:t>zestresowani, a także starsi niż wskazuje na to wiek.</w:t>
      </w:r>
    </w:p>
    <w:p w14:paraId="54FA0142" w14:textId="77777777" w:rsidR="00D07784" w:rsidRPr="00D07784" w:rsidRDefault="00D07784" w:rsidP="00D07784">
      <w:pPr>
        <w:jc w:val="both"/>
        <w:rPr>
          <w:b/>
          <w:bCs/>
          <w:lang w:val="pl-PL"/>
        </w:rPr>
      </w:pPr>
      <w:r w:rsidRPr="00D07784">
        <w:rPr>
          <w:b/>
          <w:bCs/>
          <w:lang w:val="pl-PL"/>
        </w:rPr>
        <w:t>Przeciążenie to norma, nie wyjątek</w:t>
      </w:r>
    </w:p>
    <w:p w14:paraId="6AF0E9DC" w14:textId="6EE06F5F" w:rsidR="00F87557" w:rsidRPr="005070D4" w:rsidRDefault="00F87557">
      <w:pPr>
        <w:jc w:val="both"/>
        <w:rPr>
          <w:bCs/>
          <w:lang w:val="pl-PL"/>
        </w:rPr>
      </w:pPr>
      <w:r w:rsidRPr="00F87557">
        <w:rPr>
          <w:bCs/>
        </w:rPr>
        <w:t>Wyniki badania</w:t>
      </w:r>
      <w:r w:rsidR="00663A4D">
        <w:rPr>
          <w:bCs/>
        </w:rPr>
        <w:t xml:space="preserve"> </w:t>
      </w:r>
      <w:r w:rsidR="00E744E8">
        <w:rPr>
          <w:bCs/>
        </w:rPr>
        <w:t xml:space="preserve">zrealizowanego na zlecenie Benefit Systems, dostawcy </w:t>
      </w:r>
      <w:r w:rsidR="00663A4D">
        <w:rPr>
          <w:bCs/>
        </w:rPr>
        <w:t xml:space="preserve">platformy </w:t>
      </w:r>
      <w:proofErr w:type="spellStart"/>
      <w:r w:rsidR="00E744E8">
        <w:rPr>
          <w:bCs/>
        </w:rPr>
        <w:t>wellbeingowej</w:t>
      </w:r>
      <w:proofErr w:type="spellEnd"/>
      <w:r w:rsidR="00E744E8" w:rsidRPr="00F87557">
        <w:rPr>
          <w:bCs/>
        </w:rPr>
        <w:t xml:space="preserve"> </w:t>
      </w:r>
      <w:proofErr w:type="spellStart"/>
      <w:r w:rsidRPr="00F87557">
        <w:rPr>
          <w:bCs/>
        </w:rPr>
        <w:t>Multi.Life</w:t>
      </w:r>
      <w:proofErr w:type="spellEnd"/>
      <w:r w:rsidRPr="00F87557">
        <w:rPr>
          <w:bCs/>
        </w:rPr>
        <w:t xml:space="preserve"> wskazują, że </w:t>
      </w:r>
      <w:proofErr w:type="spellStart"/>
      <w:r w:rsidRPr="00F87557">
        <w:rPr>
          <w:bCs/>
        </w:rPr>
        <w:t>przebodźcowanie</w:t>
      </w:r>
      <w:proofErr w:type="spellEnd"/>
      <w:r w:rsidR="00663A4D">
        <w:rPr>
          <w:bCs/>
        </w:rPr>
        <w:t xml:space="preserve"> </w:t>
      </w:r>
      <w:r w:rsidRPr="00F87557">
        <w:rPr>
          <w:bCs/>
        </w:rPr>
        <w:t xml:space="preserve">należy dziś do głównych źródeł stresu (47 proc.), obok </w:t>
      </w:r>
      <w:r>
        <w:rPr>
          <w:bCs/>
        </w:rPr>
        <w:t xml:space="preserve">mocno z nim związanych czynników: </w:t>
      </w:r>
      <w:r w:rsidRPr="00F87557">
        <w:rPr>
          <w:bCs/>
        </w:rPr>
        <w:t>presji oczekiwań (45 proc.) czy nadmiaru obowiązków i braku czasu (48 proc.).</w:t>
      </w:r>
      <w:r>
        <w:rPr>
          <w:bCs/>
        </w:rPr>
        <w:t xml:space="preserve"> </w:t>
      </w:r>
      <w:r w:rsidR="00663A4D">
        <w:rPr>
          <w:bCs/>
        </w:rPr>
        <w:t xml:space="preserve">Zgodnie z definicją </w:t>
      </w:r>
      <w:proofErr w:type="spellStart"/>
      <w:r w:rsidR="00663A4D">
        <w:rPr>
          <w:bCs/>
        </w:rPr>
        <w:t>przebodźcowanie</w:t>
      </w:r>
      <w:proofErr w:type="spellEnd"/>
      <w:r w:rsidR="00663A4D">
        <w:rPr>
          <w:bCs/>
        </w:rPr>
        <w:t xml:space="preserve"> to </w:t>
      </w:r>
      <w:r w:rsidR="00663A4D" w:rsidRPr="00663A4D">
        <w:rPr>
          <w:bCs/>
        </w:rPr>
        <w:t>stan przeciążenia psychofizycznego organizmu, w którym nadmiar bodźców</w:t>
      </w:r>
      <w:r w:rsidR="00663A4D">
        <w:rPr>
          <w:bCs/>
        </w:rPr>
        <w:t xml:space="preserve">, np. internetowych, niskiej jakości treści </w:t>
      </w:r>
      <w:r w:rsidR="00663A4D">
        <w:t>(</w:t>
      </w:r>
      <w:r w:rsidR="00663A4D">
        <w:rPr>
          <w:bCs/>
        </w:rPr>
        <w:t xml:space="preserve">tzw. </w:t>
      </w:r>
      <w:proofErr w:type="spellStart"/>
      <w:r w:rsidR="00663A4D">
        <w:rPr>
          <w:bCs/>
        </w:rPr>
        <w:t>content</w:t>
      </w:r>
      <w:proofErr w:type="spellEnd"/>
      <w:r w:rsidR="00663A4D">
        <w:rPr>
          <w:bCs/>
        </w:rPr>
        <w:t xml:space="preserve"> </w:t>
      </w:r>
      <w:proofErr w:type="spellStart"/>
      <w:r w:rsidR="00663A4D">
        <w:rPr>
          <w:bCs/>
        </w:rPr>
        <w:t>pollution</w:t>
      </w:r>
      <w:proofErr w:type="spellEnd"/>
      <w:r w:rsidR="00663A4D">
        <w:rPr>
          <w:bCs/>
        </w:rPr>
        <w:t xml:space="preserve">) </w:t>
      </w:r>
      <w:r w:rsidR="00663A4D">
        <w:t xml:space="preserve">– </w:t>
      </w:r>
      <w:r w:rsidR="00663A4D" w:rsidRPr="00663A4D">
        <w:rPr>
          <w:bCs/>
        </w:rPr>
        <w:t>przekracza zdolność układu nerwowego do ich przetwarzania</w:t>
      </w:r>
      <w:r w:rsidR="00663A4D">
        <w:rPr>
          <w:bCs/>
        </w:rPr>
        <w:t xml:space="preserve">. </w:t>
      </w:r>
      <w:r w:rsidR="00B068D7">
        <w:rPr>
          <w:bCs/>
        </w:rPr>
        <w:t>B</w:t>
      </w:r>
      <w:r w:rsidRPr="00F87557">
        <w:rPr>
          <w:bCs/>
        </w:rPr>
        <w:t>ycie online przez większość dnia i konieczność szybkiego reagowania</w:t>
      </w:r>
      <w:r>
        <w:rPr>
          <w:bCs/>
        </w:rPr>
        <w:t>, zarówno zawodowo</w:t>
      </w:r>
      <w:r w:rsidR="00AB24CF">
        <w:rPr>
          <w:bCs/>
        </w:rPr>
        <w:t>,</w:t>
      </w:r>
      <w:r>
        <w:rPr>
          <w:bCs/>
        </w:rPr>
        <w:t xml:space="preserve"> jak i prywatnie,</w:t>
      </w:r>
      <w:r w:rsidRPr="00F87557">
        <w:rPr>
          <w:bCs/>
        </w:rPr>
        <w:t xml:space="preserve"> stały się współczesnym obciążeniem cywilizacyjnym. Najmocniej odczuwają to kobiety – aż 41 proc. z nich przyznaje, że doświadcza </w:t>
      </w:r>
      <w:proofErr w:type="spellStart"/>
      <w:r w:rsidRPr="00F87557">
        <w:rPr>
          <w:bCs/>
        </w:rPr>
        <w:t>przebodźcowania</w:t>
      </w:r>
      <w:proofErr w:type="spellEnd"/>
      <w:r w:rsidRPr="00F87557">
        <w:rPr>
          <w:bCs/>
        </w:rPr>
        <w:t xml:space="preserve"> często, a 13 proc. – bardzo często. Jednocześnie przeciążenie najczęściej dotyka osób młodych (18–34 lata) oraz mieszkańców dużych </w:t>
      </w:r>
      <w:r w:rsidR="002575AF">
        <w:rPr>
          <w:bCs/>
        </w:rPr>
        <w:t>i</w:t>
      </w:r>
      <w:r w:rsidR="00043756">
        <w:rPr>
          <w:bCs/>
        </w:rPr>
        <w:t xml:space="preserve"> wielkich </w:t>
      </w:r>
      <w:r w:rsidRPr="00F87557">
        <w:rPr>
          <w:bCs/>
        </w:rPr>
        <w:t>miast</w:t>
      </w:r>
      <w:r w:rsidR="00043756">
        <w:rPr>
          <w:bCs/>
        </w:rPr>
        <w:t>.</w:t>
      </w:r>
    </w:p>
    <w:p w14:paraId="7234BC79" w14:textId="5F415427" w:rsidR="005070D4" w:rsidRPr="002575AF" w:rsidRDefault="00D07784">
      <w:pPr>
        <w:jc w:val="both"/>
      </w:pPr>
      <w:r w:rsidRPr="002A0FCB">
        <w:t xml:space="preserve">– </w:t>
      </w:r>
      <w:r w:rsidR="005070D4" w:rsidRPr="002A0FCB">
        <w:t>Żyjemy w kulturze ciągłej dostępności i wydajności. Nasz układ nerwowy nie jest przystosowany do przetwarzania tak ogromnej ilości danych i powiadomień, z jaką mamy do czynienia każdego dnia</w:t>
      </w:r>
      <w:r w:rsidR="002575AF" w:rsidRPr="002A0FCB">
        <w:t>. To wyczerpuje nasze zasoby i może powodować stres. Chroniczna wielozadaniowość i cyfrowe przeciążenie prowadzą do stanu określanego jako „zmęczenie informacyjne” (</w:t>
      </w:r>
      <w:proofErr w:type="spellStart"/>
      <w:r w:rsidR="002575AF" w:rsidRPr="002A0FCB">
        <w:t>information</w:t>
      </w:r>
      <w:proofErr w:type="spellEnd"/>
      <w:r w:rsidR="002575AF" w:rsidRPr="002A0FCB">
        <w:t xml:space="preserve"> </w:t>
      </w:r>
      <w:proofErr w:type="spellStart"/>
      <w:r w:rsidR="002575AF" w:rsidRPr="002A0FCB">
        <w:t>fatigue</w:t>
      </w:r>
      <w:proofErr w:type="spellEnd"/>
      <w:r w:rsidR="002575AF" w:rsidRPr="002A0FCB">
        <w:t xml:space="preserve">). Zjawisko to ma wymierne skutki neurologiczne. Nadmiernie obciąża korę przedczołową, która odpowiada za funkcje wykonawcze, takie jak planowanie, koncentracja i samokontrola. Prowadzi to do upośledzenia zdolności do skupienia uwagi, pogorszenia pamięci i, w konsekwencji, do spadku produktywności. Nieustanne powiadomienia i konieczność przełączania się między zadaniami trenują mózg w kierunku płytkiego przetwarzania informacji. Może to prowadzić do trwałej zmiany ścieżek neuronalnych, utrudniając głębokie, analityczne myślenie </w:t>
      </w:r>
      <w:r w:rsidRPr="002A0FCB">
        <w:t xml:space="preserve">– komentuje dr hab. n. med. </w:t>
      </w:r>
      <w:r w:rsidRPr="002A0FCB">
        <w:rPr>
          <w:b/>
          <w:lang w:val="pl-PL"/>
        </w:rPr>
        <w:t xml:space="preserve">Andrzej Silczuk, psychiatra, ekspert </w:t>
      </w:r>
      <w:proofErr w:type="spellStart"/>
      <w:r w:rsidRPr="002A0FCB">
        <w:rPr>
          <w:b/>
          <w:lang w:val="pl-PL"/>
        </w:rPr>
        <w:t>Multi.Life</w:t>
      </w:r>
      <w:proofErr w:type="spellEnd"/>
      <w:r w:rsidRPr="002A0FCB">
        <w:rPr>
          <w:lang w:val="pl-PL"/>
        </w:rPr>
        <w:t>.</w:t>
      </w:r>
    </w:p>
    <w:p w14:paraId="704C078A" w14:textId="1AE098A9" w:rsidR="005070D4" w:rsidRDefault="005070D4">
      <w:pPr>
        <w:jc w:val="both"/>
        <w:rPr>
          <w:b/>
        </w:rPr>
      </w:pPr>
      <w:r w:rsidRPr="005070D4">
        <w:rPr>
          <w:b/>
        </w:rPr>
        <w:t>Stres, który odbiera młodość</w:t>
      </w:r>
      <w:r w:rsidR="00043756">
        <w:rPr>
          <w:b/>
        </w:rPr>
        <w:t xml:space="preserve"> i efektywność</w:t>
      </w:r>
    </w:p>
    <w:p w14:paraId="406352A2" w14:textId="76B2D4C7" w:rsidR="00D07784" w:rsidRPr="0014624C" w:rsidRDefault="005070D4">
      <w:pPr>
        <w:jc w:val="both"/>
        <w:rPr>
          <w:bCs/>
        </w:rPr>
      </w:pPr>
      <w:r w:rsidRPr="005070D4">
        <w:rPr>
          <w:bCs/>
          <w:lang w:val="pl-PL"/>
        </w:rPr>
        <w:t xml:space="preserve">Co ważne, </w:t>
      </w:r>
      <w:r w:rsidR="00937A48">
        <w:rPr>
          <w:bCs/>
          <w:lang w:val="pl-PL"/>
        </w:rPr>
        <w:t xml:space="preserve">przeciążenie </w:t>
      </w:r>
      <w:r w:rsidRPr="005070D4">
        <w:rPr>
          <w:bCs/>
          <w:lang w:val="pl-PL"/>
        </w:rPr>
        <w:t xml:space="preserve">informacyjne </w:t>
      </w:r>
      <w:r w:rsidR="008C7537">
        <w:rPr>
          <w:bCs/>
          <w:lang w:val="pl-PL"/>
        </w:rPr>
        <w:t xml:space="preserve">i powiązany z nim stres </w:t>
      </w:r>
      <w:r w:rsidRPr="005070D4">
        <w:rPr>
          <w:bCs/>
          <w:lang w:val="pl-PL"/>
        </w:rPr>
        <w:t>wpływ</w:t>
      </w:r>
      <w:r w:rsidR="00663A4D">
        <w:rPr>
          <w:bCs/>
          <w:lang w:val="pl-PL"/>
        </w:rPr>
        <w:t>ają</w:t>
      </w:r>
      <w:r w:rsidRPr="005070D4">
        <w:rPr>
          <w:bCs/>
          <w:lang w:val="pl-PL"/>
        </w:rPr>
        <w:t xml:space="preserve"> też na to, jak postrzegamy siebie i swój wiek. Z badania wynika, że aż </w:t>
      </w:r>
      <w:r>
        <w:rPr>
          <w:bCs/>
          <w:lang w:val="pl-PL"/>
        </w:rPr>
        <w:t>40</w:t>
      </w:r>
      <w:r w:rsidR="0014624C">
        <w:rPr>
          <w:bCs/>
          <w:lang w:val="pl-PL"/>
        </w:rPr>
        <w:t xml:space="preserve"> proc.</w:t>
      </w:r>
      <w:r w:rsidRPr="005070D4">
        <w:rPr>
          <w:bCs/>
          <w:lang w:val="pl-PL"/>
        </w:rPr>
        <w:t xml:space="preserve"> Polaków </w:t>
      </w:r>
      <w:r w:rsidR="0014624C">
        <w:rPr>
          <w:bCs/>
          <w:lang w:val="pl-PL"/>
        </w:rPr>
        <w:t>przyznaje</w:t>
      </w:r>
      <w:r w:rsidRPr="005070D4">
        <w:rPr>
          <w:bCs/>
          <w:lang w:val="pl-PL"/>
        </w:rPr>
        <w:t>, że stres sprawia, iż czują się starzej</w:t>
      </w:r>
      <w:r w:rsidR="00AB24CF">
        <w:rPr>
          <w:bCs/>
          <w:lang w:val="pl-PL"/>
        </w:rPr>
        <w:t>,</w:t>
      </w:r>
      <w:r w:rsidRPr="005070D4">
        <w:rPr>
          <w:bCs/>
          <w:lang w:val="pl-PL"/>
        </w:rPr>
        <w:t xml:space="preserve"> niż wskazuje ich metryka</w:t>
      </w:r>
      <w:r>
        <w:rPr>
          <w:bCs/>
          <w:lang w:val="pl-PL"/>
        </w:rPr>
        <w:t xml:space="preserve">. </w:t>
      </w:r>
      <w:r w:rsidRPr="005070D4">
        <w:rPr>
          <w:bCs/>
          <w:lang w:val="pl-PL"/>
        </w:rPr>
        <w:t>To pokazuje, że nadmiar bodźców nie tylko podnosi poziom napięcia, ale także odbiera nam energię i subiektywne poczucie młodości.</w:t>
      </w:r>
      <w:r>
        <w:rPr>
          <w:bCs/>
          <w:lang w:val="pl-PL"/>
        </w:rPr>
        <w:t xml:space="preserve"> Jednocześnie </w:t>
      </w:r>
      <w:r>
        <w:rPr>
          <w:bCs/>
        </w:rPr>
        <w:t>aż 54 proc. badanych przyznaje, że odczuwa</w:t>
      </w:r>
      <w:r w:rsidRPr="00D40BAB">
        <w:rPr>
          <w:bCs/>
        </w:rPr>
        <w:t xml:space="preserve"> </w:t>
      </w:r>
      <w:r w:rsidRPr="00972E59">
        <w:rPr>
          <w:bCs/>
        </w:rPr>
        <w:t>stres</w:t>
      </w:r>
      <w:r w:rsidRPr="00D40BAB">
        <w:rPr>
          <w:bCs/>
        </w:rPr>
        <w:t xml:space="preserve"> </w:t>
      </w:r>
      <w:r>
        <w:rPr>
          <w:bCs/>
        </w:rPr>
        <w:t>co najmniej raz w tygodniu</w:t>
      </w:r>
      <w:r>
        <w:rPr>
          <w:bCs/>
          <w:lang w:val="pl-PL"/>
        </w:rPr>
        <w:t xml:space="preserve">. </w:t>
      </w:r>
      <w:r w:rsidR="00385536">
        <w:rPr>
          <w:bCs/>
          <w:lang w:val="pl-PL"/>
        </w:rPr>
        <w:t xml:space="preserve">Skoro </w:t>
      </w:r>
      <w:r w:rsidR="00385536" w:rsidRPr="00385536">
        <w:rPr>
          <w:bCs/>
        </w:rPr>
        <w:t xml:space="preserve">chroniczny stres przyspiesza </w:t>
      </w:r>
      <w:r w:rsidR="00385536">
        <w:rPr>
          <w:bCs/>
        </w:rPr>
        <w:t xml:space="preserve">również </w:t>
      </w:r>
      <w:r w:rsidR="00385536" w:rsidRPr="00385536">
        <w:rPr>
          <w:bCs/>
        </w:rPr>
        <w:t>biologiczne starzenie</w:t>
      </w:r>
      <w:r w:rsidR="00385536">
        <w:rPr>
          <w:bCs/>
        </w:rPr>
        <w:t xml:space="preserve">, wnioski są proste – przez </w:t>
      </w:r>
      <w:proofErr w:type="spellStart"/>
      <w:r w:rsidR="00385536">
        <w:rPr>
          <w:bCs/>
        </w:rPr>
        <w:t>przebodźcowanie</w:t>
      </w:r>
      <w:proofErr w:type="spellEnd"/>
      <w:r w:rsidR="00385536">
        <w:rPr>
          <w:bCs/>
        </w:rPr>
        <w:t xml:space="preserve"> starzejemy się nie tylko subiektywnie, ale i obiektywnie, bo w naszych organizmach</w:t>
      </w:r>
      <w:r w:rsidR="00AB24CF">
        <w:rPr>
          <w:bCs/>
        </w:rPr>
        <w:t xml:space="preserve"> </w:t>
      </w:r>
      <w:r w:rsidR="00385536">
        <w:rPr>
          <w:bCs/>
        </w:rPr>
        <w:t xml:space="preserve">zachodzą realne, fizyczne zmiany. </w:t>
      </w:r>
    </w:p>
    <w:p w14:paraId="623538C8" w14:textId="0E215808" w:rsidR="005070D4" w:rsidRDefault="005070D4">
      <w:pPr>
        <w:jc w:val="both"/>
        <w:rPr>
          <w:b/>
        </w:rPr>
      </w:pPr>
      <w:r w:rsidRPr="005070D4">
        <w:rPr>
          <w:b/>
        </w:rPr>
        <w:t xml:space="preserve">Jak chronić </w:t>
      </w:r>
      <w:r w:rsidR="0014624C">
        <w:rPr>
          <w:b/>
        </w:rPr>
        <w:t xml:space="preserve">się </w:t>
      </w:r>
      <w:r w:rsidRPr="005070D4">
        <w:rPr>
          <w:b/>
        </w:rPr>
        <w:t xml:space="preserve">przed </w:t>
      </w:r>
      <w:proofErr w:type="spellStart"/>
      <w:r w:rsidRPr="005070D4">
        <w:rPr>
          <w:b/>
        </w:rPr>
        <w:t>przebodźcowaniem</w:t>
      </w:r>
      <w:proofErr w:type="spellEnd"/>
      <w:r w:rsidRPr="005070D4">
        <w:rPr>
          <w:b/>
        </w:rPr>
        <w:t>?</w:t>
      </w:r>
    </w:p>
    <w:p w14:paraId="647F3D97" w14:textId="62793D0B" w:rsidR="0014624C" w:rsidRPr="004D017D" w:rsidRDefault="0014624C">
      <w:pPr>
        <w:jc w:val="both"/>
        <w:rPr>
          <w:bCs/>
        </w:rPr>
      </w:pPr>
      <w:r w:rsidRPr="0014624C">
        <w:rPr>
          <w:bCs/>
        </w:rPr>
        <w:lastRenderedPageBreak/>
        <w:t>Eksperci podkreślają, że w świecie, w którym informacje, powiadomienia i bodźce napierają na nas z każdej strony, umiejętność radzenia sobie z szumem informacyjnym staje się jedną z najważniejszych kompetencji XXI wieku. Kluczem jest tworzenie własnych „buforów”</w:t>
      </w:r>
      <w:r>
        <w:rPr>
          <w:bCs/>
        </w:rPr>
        <w:t xml:space="preserve">. </w:t>
      </w:r>
      <w:r w:rsidRPr="00937A48">
        <w:rPr>
          <w:bCs/>
        </w:rPr>
        <w:t>Chodzi zarówno o higienę cyfrową</w:t>
      </w:r>
      <w:r>
        <w:rPr>
          <w:bCs/>
        </w:rPr>
        <w:t xml:space="preserve">, </w:t>
      </w:r>
      <w:r w:rsidRPr="00937A48">
        <w:rPr>
          <w:bCs/>
        </w:rPr>
        <w:t>ograniczenie czasu online i świadome wyłączanie powiadomień</w:t>
      </w:r>
      <w:r>
        <w:rPr>
          <w:bCs/>
        </w:rPr>
        <w:t>,</w:t>
      </w:r>
      <w:r w:rsidRPr="00937A48">
        <w:rPr>
          <w:bCs/>
        </w:rPr>
        <w:t xml:space="preserve"> jak i o sięganie po naturalne mechanizmy regeneracyjne</w:t>
      </w:r>
      <w:r>
        <w:rPr>
          <w:bCs/>
        </w:rPr>
        <w:t xml:space="preserve">. </w:t>
      </w:r>
      <w:r w:rsidRPr="00937A48">
        <w:rPr>
          <w:bCs/>
        </w:rPr>
        <w:t>Ważną rolę odgrywa również regularna aktywność fizyczna</w:t>
      </w:r>
      <w:r>
        <w:rPr>
          <w:bCs/>
        </w:rPr>
        <w:t xml:space="preserve"> czy techniki </w:t>
      </w:r>
      <w:r w:rsidRPr="00937A48">
        <w:rPr>
          <w:bCs/>
        </w:rPr>
        <w:t>relaksacyjne</w:t>
      </w:r>
      <w:r>
        <w:rPr>
          <w:bCs/>
        </w:rPr>
        <w:t>.</w:t>
      </w:r>
    </w:p>
    <w:p w14:paraId="59F49769" w14:textId="0C854043" w:rsidR="0014624C" w:rsidRPr="004D017D" w:rsidRDefault="0014624C">
      <w:pPr>
        <w:jc w:val="both"/>
        <w:rPr>
          <w:bCs/>
        </w:rPr>
      </w:pPr>
      <w:r w:rsidRPr="0014624C">
        <w:rPr>
          <w:bCs/>
        </w:rPr>
        <w:t>– Źródła stresu są dziś wielowymiarowe</w:t>
      </w:r>
      <w:r w:rsidR="00663A4D">
        <w:rPr>
          <w:bCs/>
        </w:rPr>
        <w:t xml:space="preserve"> i </w:t>
      </w:r>
      <w:r w:rsidR="00663A4D" w:rsidRPr="00663A4D">
        <w:rPr>
          <w:bCs/>
        </w:rPr>
        <w:t>niemal niemożliwe do uniknięcia. Dlatego tak ważne jest, by</w:t>
      </w:r>
      <w:r>
        <w:rPr>
          <w:bCs/>
        </w:rPr>
        <w:t xml:space="preserve"> </w:t>
      </w:r>
      <w:r w:rsidRPr="0014624C">
        <w:rPr>
          <w:bCs/>
        </w:rPr>
        <w:t xml:space="preserve">uczyć się zarządzania stresem i budować odporność psychiczną. To element profilaktyki, który chroni zdrowie fizyczne i psychiczne, ale też zmniejsza ryzyko wypalenia zawodowego. Coraz częściej dostrzegają to pracodawcy, którzy </w:t>
      </w:r>
      <w:r>
        <w:rPr>
          <w:bCs/>
        </w:rPr>
        <w:t xml:space="preserve">m.in. </w:t>
      </w:r>
      <w:r w:rsidRPr="0014624C">
        <w:rPr>
          <w:bCs/>
        </w:rPr>
        <w:t xml:space="preserve">w odpowiedzi na rosnącą skalę absencji chorobowych inwestują w programy </w:t>
      </w:r>
      <w:proofErr w:type="spellStart"/>
      <w:r w:rsidRPr="0014624C">
        <w:rPr>
          <w:bCs/>
        </w:rPr>
        <w:t>wellbeingowe</w:t>
      </w:r>
      <w:proofErr w:type="spellEnd"/>
      <w:r w:rsidRPr="0014624C">
        <w:rPr>
          <w:bCs/>
        </w:rPr>
        <w:t xml:space="preserve">, łączące wymiar emocjonalny i somatyczny. Narzędzia takie jak </w:t>
      </w:r>
      <w:proofErr w:type="spellStart"/>
      <w:r w:rsidRPr="0014624C">
        <w:rPr>
          <w:bCs/>
        </w:rPr>
        <w:t>Multi.Life</w:t>
      </w:r>
      <w:proofErr w:type="spellEnd"/>
      <w:r w:rsidRPr="0014624C">
        <w:rPr>
          <w:bCs/>
        </w:rPr>
        <w:t xml:space="preserve"> wspierają pracowników w codziennych wyborach – od monitorowania snu i diety po konsultacje psychologiczne i trening odporności psychicznej</w:t>
      </w:r>
      <w:r w:rsidR="008C7537">
        <w:rPr>
          <w:bCs/>
        </w:rPr>
        <w:t xml:space="preserve">, także w zakresie higieny cyfrowej czy technik relaksacyjnych. </w:t>
      </w:r>
      <w:r w:rsidRPr="0014624C">
        <w:rPr>
          <w:bCs/>
        </w:rPr>
        <w:t>To sygnał, że troska o równowagę w świecie nadmiaru bodźców staje się nie tylko indywidualnym wyzwaniem, ale też strategicznym elementem budowania zdrowych organizacji</w:t>
      </w:r>
      <w:r>
        <w:rPr>
          <w:bCs/>
        </w:rPr>
        <w:t xml:space="preserve"> </w:t>
      </w:r>
      <w:r w:rsidRPr="004D017D">
        <w:rPr>
          <w:bCs/>
        </w:rPr>
        <w:t>–</w:t>
      </w:r>
      <w:r>
        <w:rPr>
          <w:bCs/>
        </w:rPr>
        <w:t xml:space="preserve"> podsumowuj</w:t>
      </w:r>
      <w:r w:rsidRPr="004D017D">
        <w:rPr>
          <w:bCs/>
        </w:rPr>
        <w:t>e dr hab. Andrzej Silczuk.</w:t>
      </w:r>
    </w:p>
    <w:p w14:paraId="50BE777E" w14:textId="39F26902" w:rsidR="00972E59" w:rsidRPr="00972E59" w:rsidRDefault="00972E59" w:rsidP="005B276E">
      <w:pPr>
        <w:jc w:val="both"/>
        <w:rPr>
          <w:bCs/>
          <w:sz w:val="20"/>
          <w:szCs w:val="20"/>
        </w:rPr>
      </w:pPr>
      <w:r w:rsidRPr="00972E59">
        <w:rPr>
          <w:bCs/>
          <w:sz w:val="20"/>
          <w:szCs w:val="20"/>
        </w:rPr>
        <w:t>***</w:t>
      </w:r>
    </w:p>
    <w:p w14:paraId="1F37815D" w14:textId="5686E277" w:rsidR="0049402B" w:rsidRPr="006A4D3A" w:rsidRDefault="007532EF" w:rsidP="006A4D3A">
      <w:pPr>
        <w:rPr>
          <w:bCs/>
          <w:sz w:val="20"/>
          <w:szCs w:val="20"/>
        </w:rPr>
      </w:pPr>
      <w:r w:rsidRPr="00972E59">
        <w:rPr>
          <w:bCs/>
          <w:sz w:val="20"/>
          <w:szCs w:val="20"/>
        </w:rPr>
        <w:t>O badaniu: Badanie przeprowadzono na Ogólnopolskim Panelu Badawczym Ariadna</w:t>
      </w:r>
      <w:r w:rsidR="00972E59">
        <w:rPr>
          <w:bCs/>
          <w:sz w:val="20"/>
          <w:szCs w:val="20"/>
        </w:rPr>
        <w:t xml:space="preserve">, </w:t>
      </w:r>
      <w:r w:rsidRPr="00972E59">
        <w:rPr>
          <w:bCs/>
          <w:sz w:val="20"/>
          <w:szCs w:val="20"/>
        </w:rPr>
        <w:t xml:space="preserve">na ogólnopolskiej próbie liczącej N=1060 osób metodą CAWI, sierpień 2025 r. </w:t>
      </w:r>
      <w:r w:rsidR="006F3B65">
        <w:rPr>
          <w:sz w:val="20"/>
          <w:szCs w:val="20"/>
        </w:rPr>
        <w:t>__________________________________________________________________________________________</w:t>
      </w:r>
      <w:r w:rsidR="006A4D3A">
        <w:rPr>
          <w:sz w:val="20"/>
          <w:szCs w:val="20"/>
        </w:rPr>
        <w:br/>
      </w:r>
      <w:r w:rsidR="006F3B65">
        <w:rPr>
          <w:b/>
          <w:sz w:val="20"/>
          <w:szCs w:val="20"/>
        </w:rPr>
        <w:t xml:space="preserve">Kontakt dla mediów: </w:t>
      </w:r>
    </w:p>
    <w:p w14:paraId="2F6A96F7" w14:textId="77777777" w:rsidR="0049402B" w:rsidRDefault="006F3B65">
      <w:pPr>
        <w:pBdr>
          <w:bottom w:val="single" w:sz="6" w:space="1" w:color="000000"/>
        </w:pBdr>
        <w:contextualSpacing/>
        <w:jc w:val="both"/>
        <w:rPr>
          <w:sz w:val="20"/>
          <w:szCs w:val="20"/>
        </w:rPr>
      </w:pPr>
      <w:r>
        <w:rPr>
          <w:b/>
          <w:sz w:val="20"/>
          <w:szCs w:val="20"/>
        </w:rPr>
        <w:t>Patrycja Kaleta</w:t>
      </w:r>
      <w:r>
        <w:rPr>
          <w:sz w:val="20"/>
          <w:szCs w:val="20"/>
        </w:rPr>
        <w:t xml:space="preserve">, e-mail: </w:t>
      </w:r>
      <w:hyperlink r:id="rId7">
        <w:r w:rsidR="0049402B">
          <w:rPr>
            <w:color w:val="1155CC"/>
            <w:sz w:val="20"/>
            <w:szCs w:val="20"/>
            <w:u w:val="single"/>
          </w:rPr>
          <w:t>patrycja.kaleta@linkleaders.pl</w:t>
        </w:r>
      </w:hyperlink>
      <w:r>
        <w:rPr>
          <w:sz w:val="20"/>
          <w:szCs w:val="20"/>
        </w:rPr>
        <w:t>, kom. 505 233 994</w:t>
      </w:r>
    </w:p>
    <w:p w14:paraId="37790D5A" w14:textId="2FE27F4D" w:rsidR="0049402B" w:rsidRDefault="006F3B65">
      <w:pPr>
        <w:pBdr>
          <w:bottom w:val="single" w:sz="6" w:space="1" w:color="000000"/>
        </w:pBdr>
        <w:contextualSpacing/>
        <w:jc w:val="both"/>
        <w:rPr>
          <w:sz w:val="20"/>
          <w:szCs w:val="20"/>
        </w:rPr>
      </w:pPr>
      <w:r>
        <w:rPr>
          <w:b/>
          <w:sz w:val="20"/>
          <w:szCs w:val="20"/>
        </w:rPr>
        <w:t>Barbara Jastrzębska</w:t>
      </w:r>
      <w:r>
        <w:rPr>
          <w:sz w:val="20"/>
          <w:szCs w:val="20"/>
        </w:rPr>
        <w:t xml:space="preserve">, e-mail: </w:t>
      </w:r>
      <w:hyperlink r:id="rId8">
        <w:r w:rsidR="0049402B">
          <w:rPr>
            <w:color w:val="0563C1"/>
            <w:sz w:val="20"/>
            <w:szCs w:val="20"/>
            <w:u w:val="single"/>
          </w:rPr>
          <w:t>barbara.jastrzebska@benefitsystems.pl</w:t>
        </w:r>
      </w:hyperlink>
      <w:r>
        <w:rPr>
          <w:sz w:val="20"/>
          <w:szCs w:val="20"/>
        </w:rPr>
        <w:t>, kom. 539 677 460</w:t>
      </w:r>
    </w:p>
    <w:p w14:paraId="7A20E333" w14:textId="6A66DD0C" w:rsidR="0049402B" w:rsidRPr="006A4D3A" w:rsidRDefault="00502FE4" w:rsidP="00502FE4">
      <w:pPr>
        <w:jc w:val="both"/>
        <w:rPr>
          <w:sz w:val="18"/>
          <w:szCs w:val="18"/>
        </w:rPr>
      </w:pPr>
      <w:r w:rsidRPr="00502FE4">
        <w:rPr>
          <w:sz w:val="18"/>
          <w:szCs w:val="18"/>
        </w:rPr>
        <w:t xml:space="preserve">Benefit Systems działa na polskim rynku od ponad dwóch dekad i należy do liderów w dostarczaniu benefitów pozapłacowych, które wspierają dobrostan pracowników. Spółka jest twórcą Programu </w:t>
      </w:r>
      <w:proofErr w:type="spellStart"/>
      <w:r w:rsidRPr="00502FE4">
        <w:rPr>
          <w:sz w:val="18"/>
          <w:szCs w:val="18"/>
        </w:rPr>
        <w:t>MultiSport</w:t>
      </w:r>
      <w:proofErr w:type="spellEnd"/>
      <w:r w:rsidRPr="00502FE4">
        <w:rPr>
          <w:sz w:val="18"/>
          <w:szCs w:val="18"/>
        </w:rPr>
        <w:t xml:space="preserve">, który umożliwia podejmowanie aktywności fizycznej w obiektach sportowych w całym kraju. W portfolio Benefit Systems jest także platforma </w:t>
      </w:r>
      <w:proofErr w:type="spellStart"/>
      <w:r w:rsidRPr="00502FE4">
        <w:rPr>
          <w:sz w:val="18"/>
          <w:szCs w:val="18"/>
        </w:rPr>
        <w:t>kafeteryjna</w:t>
      </w:r>
      <w:proofErr w:type="spellEnd"/>
      <w:r w:rsidRPr="00502FE4">
        <w:rPr>
          <w:sz w:val="18"/>
          <w:szCs w:val="18"/>
        </w:rPr>
        <w:t xml:space="preserve"> </w:t>
      </w:r>
      <w:proofErr w:type="spellStart"/>
      <w:r w:rsidRPr="00502FE4">
        <w:rPr>
          <w:sz w:val="18"/>
          <w:szCs w:val="18"/>
        </w:rPr>
        <w:t>MyBenefit</w:t>
      </w:r>
      <w:proofErr w:type="spellEnd"/>
      <w:r w:rsidRPr="00502FE4">
        <w:rPr>
          <w:sz w:val="18"/>
          <w:szCs w:val="18"/>
        </w:rPr>
        <w:t xml:space="preserve"> oraz program </w:t>
      </w:r>
      <w:proofErr w:type="spellStart"/>
      <w:r w:rsidRPr="00502FE4">
        <w:rPr>
          <w:sz w:val="18"/>
          <w:szCs w:val="18"/>
        </w:rPr>
        <w:t>wellbeingowy</w:t>
      </w:r>
      <w:proofErr w:type="spellEnd"/>
      <w:r w:rsidRPr="00502FE4">
        <w:rPr>
          <w:sz w:val="18"/>
          <w:szCs w:val="18"/>
        </w:rPr>
        <w:t xml:space="preserve"> </w:t>
      </w:r>
      <w:proofErr w:type="spellStart"/>
      <w:r w:rsidRPr="00502FE4">
        <w:rPr>
          <w:sz w:val="18"/>
          <w:szCs w:val="18"/>
        </w:rPr>
        <w:t>Multi.Life</w:t>
      </w:r>
      <w:proofErr w:type="spellEnd"/>
      <w:r w:rsidRPr="00502FE4">
        <w:rPr>
          <w:sz w:val="18"/>
          <w:szCs w:val="18"/>
        </w:rPr>
        <w:t xml:space="preserve">. Od kilku lat oferta sportowa Spółki jest rozwijana na rynkach zagranicznych, . w Czechach, na Słowacji, w Bułgarii i w Chorwacji. Grupa Benefit Systems jest także operatorem klubów fitness na sześciu rynkach (w Polsce odpowiada m.in. za sieci: Fabryka Formy, </w:t>
      </w:r>
      <w:proofErr w:type="spellStart"/>
      <w:r w:rsidRPr="00502FE4">
        <w:rPr>
          <w:sz w:val="18"/>
          <w:szCs w:val="18"/>
        </w:rPr>
        <w:t>FitFabric</w:t>
      </w:r>
      <w:proofErr w:type="spellEnd"/>
      <w:r w:rsidRPr="00502FE4">
        <w:rPr>
          <w:sz w:val="18"/>
          <w:szCs w:val="18"/>
        </w:rPr>
        <w:t xml:space="preserve">, Fitness </w:t>
      </w:r>
      <w:proofErr w:type="spellStart"/>
      <w:r w:rsidRPr="00502FE4">
        <w:rPr>
          <w:sz w:val="18"/>
          <w:szCs w:val="18"/>
        </w:rPr>
        <w:t>Academy</w:t>
      </w:r>
      <w:proofErr w:type="spellEnd"/>
      <w:r w:rsidRPr="00502FE4">
        <w:rPr>
          <w:sz w:val="18"/>
          <w:szCs w:val="18"/>
        </w:rPr>
        <w:t xml:space="preserve">, My Fitness Place, Total Fitness i </w:t>
      </w:r>
      <w:proofErr w:type="spellStart"/>
      <w:r w:rsidRPr="00502FE4">
        <w:rPr>
          <w:sz w:val="18"/>
          <w:szCs w:val="18"/>
        </w:rPr>
        <w:t>Zdrofit</w:t>
      </w:r>
      <w:proofErr w:type="spellEnd"/>
      <w:r w:rsidRPr="00502FE4">
        <w:rPr>
          <w:sz w:val="18"/>
          <w:szCs w:val="18"/>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w:t>
      </w:r>
      <w:proofErr w:type="spellStart"/>
      <w:r w:rsidRPr="00502FE4">
        <w:rPr>
          <w:sz w:val="18"/>
          <w:szCs w:val="18"/>
        </w:rPr>
        <w:t>MultiSport</w:t>
      </w:r>
      <w:proofErr w:type="spellEnd"/>
      <w:r w:rsidRPr="00502FE4">
        <w:rPr>
          <w:sz w:val="18"/>
          <w:szCs w:val="18"/>
        </w:rPr>
        <w:t xml:space="preserve">. Od 2018 roku Benefit Systems jest częścią globalnej inicjatywy B </w:t>
      </w:r>
      <w:proofErr w:type="spellStart"/>
      <w:r w:rsidRPr="00502FE4">
        <w:rPr>
          <w:sz w:val="18"/>
          <w:szCs w:val="18"/>
        </w:rPr>
        <w:t>Corp</w:t>
      </w:r>
      <w:proofErr w:type="spellEnd"/>
      <w:r w:rsidRPr="00502FE4">
        <w:rPr>
          <w:sz w:val="18"/>
          <w:szCs w:val="18"/>
        </w:rPr>
        <w:t>, zrzeszającej spółki działające i angażujące się w rozwiązywanie najważniejszych problemów społecznych. Więcej informacji o firmie można znaleźć na benefitsystems.pl.</w:t>
      </w:r>
    </w:p>
    <w:sectPr w:rsidR="0049402B" w:rsidRPr="006A4D3A">
      <w:headerReference w:type="even" r:id="rId9"/>
      <w:headerReference w:type="default" r:id="rId10"/>
      <w:footerReference w:type="even" r:id="rId11"/>
      <w:footerReference w:type="default" r:id="rId12"/>
      <w:headerReference w:type="first" r:id="rId13"/>
      <w:footerReference w:type="first" r:id="rId14"/>
      <w:pgSz w:w="11906" w:h="16838"/>
      <w:pgMar w:top="567" w:right="991" w:bottom="1417" w:left="993" w:header="708" w:footer="28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C917" w14:textId="77777777" w:rsidR="00D3665E" w:rsidRDefault="00D3665E">
      <w:pPr>
        <w:spacing w:after="0" w:line="240" w:lineRule="auto"/>
      </w:pPr>
      <w:r>
        <w:separator/>
      </w:r>
    </w:p>
  </w:endnote>
  <w:endnote w:type="continuationSeparator" w:id="0">
    <w:p w14:paraId="6451C548" w14:textId="77777777" w:rsidR="00D3665E" w:rsidRDefault="00D3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ailec Light">
    <w:altName w:val="Calibri"/>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CB4" w14:textId="77777777" w:rsidR="0049402B" w:rsidRDefault="0049402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3D76" w14:textId="77777777" w:rsidR="0049402B" w:rsidRDefault="006F3B65">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53555F41" wp14:editId="0D342B17">
          <wp:simplePos x="0" y="0"/>
          <wp:positionH relativeFrom="column">
            <wp:posOffset>-411479</wp:posOffset>
          </wp:positionH>
          <wp:positionV relativeFrom="paragraph">
            <wp:posOffset>0</wp:posOffset>
          </wp:positionV>
          <wp:extent cx="7106920" cy="1453515"/>
          <wp:effectExtent l="0" t="0" r="0" b="0"/>
          <wp:wrapNone/>
          <wp:docPr id="17621579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06920" cy="145351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565C91B" wp14:editId="4CE0C9AE">
              <wp:simplePos x="0" y="0"/>
              <wp:positionH relativeFrom="column">
                <wp:posOffset>-101599</wp:posOffset>
              </wp:positionH>
              <wp:positionV relativeFrom="paragraph">
                <wp:posOffset>9652000</wp:posOffset>
              </wp:positionV>
              <wp:extent cx="1307465" cy="256540"/>
              <wp:effectExtent l="0" t="0" r="0" b="0"/>
              <wp:wrapNone/>
              <wp:docPr id="1762157958" name="Prostokąt 1762157958"/>
              <wp:cNvGraphicFramePr/>
              <a:graphic xmlns:a="http://schemas.openxmlformats.org/drawingml/2006/main">
                <a:graphicData uri="http://schemas.microsoft.com/office/word/2010/wordprocessingShape">
                  <wps:wsp>
                    <wps:cNvSpPr/>
                    <wps:spPr>
                      <a:xfrm>
                        <a:off x="4697030" y="3656493"/>
                        <a:ext cx="1297940" cy="247015"/>
                      </a:xfrm>
                      <a:prstGeom prst="rect">
                        <a:avLst/>
                      </a:prstGeom>
                      <a:noFill/>
                      <a:ln>
                        <a:noFill/>
                      </a:ln>
                    </wps:spPr>
                    <wps:txbx>
                      <w:txbxContent>
                        <w:p w14:paraId="291E06A0" w14:textId="77777777" w:rsidR="0049402B" w:rsidRDefault="006F3B65">
                          <w:pPr>
                            <w:spacing w:before="100" w:after="0" w:line="180" w:lineRule="auto"/>
                            <w:ind w:left="20"/>
                            <w:textDirection w:val="btLr"/>
                          </w:pPr>
                          <w:r>
                            <w:rPr>
                              <w:color w:val="343738"/>
                              <w:sz w:val="14"/>
                            </w:rPr>
                            <w:t>Benefit Systems S.A.</w:t>
                          </w:r>
                          <w:r>
                            <w:rPr>
                              <w:color w:val="343738"/>
                              <w:sz w:val="14"/>
                            </w:rPr>
                            <w:br/>
                            <w:t>plac Europejski 2, 00-844 Warszawa</w:t>
                          </w:r>
                        </w:p>
                      </w:txbxContent>
                    </wps:txbx>
                    <wps:bodyPr spcFirstLastPara="1" wrap="square" lIns="0" tIns="0" rIns="0" bIns="0" anchor="t" anchorCtr="0">
                      <a:noAutofit/>
                    </wps:bodyPr>
                  </wps:wsp>
                </a:graphicData>
              </a:graphic>
            </wp:anchor>
          </w:drawing>
        </mc:Choice>
        <mc:Fallback>
          <w:pict>
            <v:rect w14:anchorId="2565C91B" id="Prostokąt 1762157958" o:spid="_x0000_s1026" style="position:absolute;margin-left:-8pt;margin-top:760pt;width:102.95pt;height:2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" filled="f" stroked="f">
              <v:textbox inset="0,0,0,0">
                <w:txbxContent>
                  <w:p w14:paraId="291E06A0" w14:textId="77777777" w:rsidR="0049402B" w:rsidRDefault="006F3B65">
                    <w:pPr>
                      <w:spacing w:before="100" w:after="0" w:line="180" w:lineRule="auto"/>
                      <w:ind w:left="20"/>
                      <w:textDirection w:val="btLr"/>
                    </w:pPr>
                    <w:r>
                      <w:rPr>
                        <w:color w:val="343738"/>
                        <w:sz w:val="14"/>
                      </w:rPr>
                      <w:t>Benefit Systems S.A.</w:t>
                    </w:r>
                    <w:r>
                      <w:rPr>
                        <w:color w:val="343738"/>
                        <w:sz w:val="14"/>
                      </w:rPr>
                      <w:br/>
                      <w:t>plac Europejski 2, 00-844 Warszawa</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6A5ECE1" wp14:editId="067D5752">
              <wp:simplePos x="0" y="0"/>
              <wp:positionH relativeFrom="column">
                <wp:posOffset>1524000</wp:posOffset>
              </wp:positionH>
              <wp:positionV relativeFrom="paragraph">
                <wp:posOffset>9652000</wp:posOffset>
              </wp:positionV>
              <wp:extent cx="1333500" cy="256540"/>
              <wp:effectExtent l="0" t="0" r="0" b="0"/>
              <wp:wrapNone/>
              <wp:docPr id="1762157959" name="Prostokąt 1762157959"/>
              <wp:cNvGraphicFramePr/>
              <a:graphic xmlns:a="http://schemas.openxmlformats.org/drawingml/2006/main">
                <a:graphicData uri="http://schemas.microsoft.com/office/word/2010/wordprocessingShape">
                  <wps:wsp>
                    <wps:cNvSpPr/>
                    <wps:spPr>
                      <a:xfrm>
                        <a:off x="4684013" y="3656493"/>
                        <a:ext cx="1323975" cy="247015"/>
                      </a:xfrm>
                      <a:prstGeom prst="rect">
                        <a:avLst/>
                      </a:prstGeom>
                      <a:noFill/>
                      <a:ln>
                        <a:noFill/>
                      </a:ln>
                    </wps:spPr>
                    <wps:txbx>
                      <w:txbxContent>
                        <w:p w14:paraId="5B9D55A2" w14:textId="77777777" w:rsidR="0049402B" w:rsidRDefault="006F3B65">
                          <w:pPr>
                            <w:spacing w:before="100" w:after="0" w:line="180" w:lineRule="auto"/>
                            <w:ind w:left="20"/>
                            <w:textDirection w:val="btLr"/>
                          </w:pPr>
                          <w:r>
                            <w:rPr>
                              <w:color w:val="343738"/>
                              <w:sz w:val="14"/>
                            </w:rPr>
                            <w:t>infolinia: 22 242 42 42</w:t>
                          </w:r>
                          <w:r>
                            <w:rPr>
                              <w:color w:val="343738"/>
                              <w:sz w:val="14"/>
                            </w:rPr>
                            <w:br/>
                            <w:t>email: infolinia@benefitsystems.pl</w:t>
                          </w:r>
                        </w:p>
                      </w:txbxContent>
                    </wps:txbx>
                    <wps:bodyPr spcFirstLastPara="1" wrap="square" lIns="0" tIns="0" rIns="0" bIns="0" anchor="t" anchorCtr="0">
                      <a:noAutofit/>
                    </wps:bodyPr>
                  </wps:wsp>
                </a:graphicData>
              </a:graphic>
            </wp:anchor>
          </w:drawing>
        </mc:Choice>
        <mc:Fallback>
          <w:pict>
            <v:rect w14:anchorId="66A5ECE1" id="Prostokąt 1762157959" o:spid="_x0000_s1027" style="position:absolute;margin-left:120pt;margin-top:760pt;width:105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" filled="f" stroked="f">
              <v:textbox inset="0,0,0,0">
                <w:txbxContent>
                  <w:p w14:paraId="5B9D55A2" w14:textId="77777777" w:rsidR="0049402B" w:rsidRDefault="006F3B65">
                    <w:pPr>
                      <w:spacing w:before="100" w:after="0" w:line="180" w:lineRule="auto"/>
                      <w:ind w:left="20"/>
                      <w:textDirection w:val="btLr"/>
                    </w:pPr>
                    <w:r>
                      <w:rPr>
                        <w:color w:val="343738"/>
                        <w:sz w:val="14"/>
                      </w:rPr>
                      <w:t>infolinia: 22 242 42 42</w:t>
                    </w:r>
                    <w:r>
                      <w:rPr>
                        <w:color w:val="343738"/>
                        <w:sz w:val="14"/>
                      </w:rPr>
                      <w:br/>
                      <w:t>email: infolinia@benefitsystems.pl</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18BA7A1" wp14:editId="35AA7FDD">
              <wp:simplePos x="0" y="0"/>
              <wp:positionH relativeFrom="column">
                <wp:posOffset>3086100</wp:posOffset>
              </wp:positionH>
              <wp:positionV relativeFrom="paragraph">
                <wp:posOffset>9652000</wp:posOffset>
              </wp:positionV>
              <wp:extent cx="3533775" cy="337229"/>
              <wp:effectExtent l="0" t="0" r="0" b="0"/>
              <wp:wrapNone/>
              <wp:docPr id="1762157960" name="Prostokąt 1762157960"/>
              <wp:cNvGraphicFramePr/>
              <a:graphic xmlns:a="http://schemas.openxmlformats.org/drawingml/2006/main">
                <a:graphicData uri="http://schemas.microsoft.com/office/word/2010/wordprocessingShape">
                  <wps:wsp>
                    <wps:cNvSpPr/>
                    <wps:spPr>
                      <a:xfrm>
                        <a:off x="3583875" y="3616148"/>
                        <a:ext cx="3524250" cy="327704"/>
                      </a:xfrm>
                      <a:prstGeom prst="rect">
                        <a:avLst/>
                      </a:prstGeom>
                      <a:noFill/>
                      <a:ln>
                        <a:noFill/>
                      </a:ln>
                    </wps:spPr>
                    <wps:txbx>
                      <w:txbxContent>
                        <w:p w14:paraId="7F8F4839" w14:textId="77777777" w:rsidR="0049402B" w:rsidRDefault="006F3B65">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2.995.742,00 PLN, wpłacony w całości</w:t>
                          </w:r>
                        </w:p>
                      </w:txbxContent>
                    </wps:txbx>
                    <wps:bodyPr spcFirstLastPara="1" wrap="square" lIns="0" tIns="0" rIns="0" bIns="0" anchor="t" anchorCtr="0">
                      <a:noAutofit/>
                    </wps:bodyPr>
                  </wps:wsp>
                </a:graphicData>
              </a:graphic>
            </wp:anchor>
          </w:drawing>
        </mc:Choice>
        <mc:Fallback>
          <w:pict>
            <v:rect w14:anchorId="118BA7A1" id="Prostokąt 1762157960" o:spid="_x0000_s1028" style="position:absolute;margin-left:243pt;margin-top:760pt;width:278.25pt;height:26.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" filled="f" stroked="f">
              <v:textbox inset="0,0,0,0">
                <w:txbxContent>
                  <w:p w14:paraId="7F8F4839" w14:textId="77777777" w:rsidR="0049402B" w:rsidRDefault="006F3B65">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2.995.742,00 PLN, wpłacony w całości</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1353" w14:textId="77777777" w:rsidR="0049402B" w:rsidRDefault="0049402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A6D4" w14:textId="77777777" w:rsidR="00D3665E" w:rsidRDefault="00D3665E">
      <w:pPr>
        <w:spacing w:after="0" w:line="240" w:lineRule="auto"/>
      </w:pPr>
      <w:r>
        <w:separator/>
      </w:r>
    </w:p>
  </w:footnote>
  <w:footnote w:type="continuationSeparator" w:id="0">
    <w:p w14:paraId="4F69EA43" w14:textId="77777777" w:rsidR="00D3665E" w:rsidRDefault="00D3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AB1D" w14:textId="77777777" w:rsidR="0049402B" w:rsidRDefault="0049402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B841" w14:textId="77777777" w:rsidR="0049402B" w:rsidRDefault="0049402B">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BFD0" w14:textId="77777777" w:rsidR="0049402B" w:rsidRDefault="0049402B">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2B"/>
    <w:rsid w:val="00022D8D"/>
    <w:rsid w:val="00023B4C"/>
    <w:rsid w:val="00036967"/>
    <w:rsid w:val="00043756"/>
    <w:rsid w:val="0006143B"/>
    <w:rsid w:val="000B56EF"/>
    <w:rsid w:val="0013419D"/>
    <w:rsid w:val="0014624C"/>
    <w:rsid w:val="00166DE2"/>
    <w:rsid w:val="00167C61"/>
    <w:rsid w:val="0018540F"/>
    <w:rsid w:val="00186F39"/>
    <w:rsid w:val="001C0F73"/>
    <w:rsid w:val="001D01E0"/>
    <w:rsid w:val="001E0779"/>
    <w:rsid w:val="002575AF"/>
    <w:rsid w:val="002629D9"/>
    <w:rsid w:val="00267949"/>
    <w:rsid w:val="00270508"/>
    <w:rsid w:val="00274154"/>
    <w:rsid w:val="002A0FCB"/>
    <w:rsid w:val="002A1B50"/>
    <w:rsid w:val="002A5EAD"/>
    <w:rsid w:val="002C64C8"/>
    <w:rsid w:val="002F22E0"/>
    <w:rsid w:val="0032701F"/>
    <w:rsid w:val="00335E37"/>
    <w:rsid w:val="00351EA5"/>
    <w:rsid w:val="00383790"/>
    <w:rsid w:val="00385536"/>
    <w:rsid w:val="00385E70"/>
    <w:rsid w:val="003960C9"/>
    <w:rsid w:val="003B3824"/>
    <w:rsid w:val="003C1C75"/>
    <w:rsid w:val="003C5B77"/>
    <w:rsid w:val="003E2EBD"/>
    <w:rsid w:val="00430777"/>
    <w:rsid w:val="0049402B"/>
    <w:rsid w:val="004A4151"/>
    <w:rsid w:val="004B1724"/>
    <w:rsid w:val="004D017D"/>
    <w:rsid w:val="00502FE4"/>
    <w:rsid w:val="005070D4"/>
    <w:rsid w:val="00554B2A"/>
    <w:rsid w:val="00572183"/>
    <w:rsid w:val="00584576"/>
    <w:rsid w:val="005A1A6D"/>
    <w:rsid w:val="005B276E"/>
    <w:rsid w:val="00606C0B"/>
    <w:rsid w:val="00663A4D"/>
    <w:rsid w:val="00664E04"/>
    <w:rsid w:val="006A4D3A"/>
    <w:rsid w:val="006B03D9"/>
    <w:rsid w:val="006E4605"/>
    <w:rsid w:val="006F3B65"/>
    <w:rsid w:val="00710524"/>
    <w:rsid w:val="007477CE"/>
    <w:rsid w:val="007532EF"/>
    <w:rsid w:val="00757C22"/>
    <w:rsid w:val="007B241C"/>
    <w:rsid w:val="007F356B"/>
    <w:rsid w:val="007F747D"/>
    <w:rsid w:val="00841BBD"/>
    <w:rsid w:val="008C7537"/>
    <w:rsid w:val="008D24C2"/>
    <w:rsid w:val="008D274C"/>
    <w:rsid w:val="008F4E40"/>
    <w:rsid w:val="00916C81"/>
    <w:rsid w:val="0091791A"/>
    <w:rsid w:val="00924BB3"/>
    <w:rsid w:val="00937A48"/>
    <w:rsid w:val="0094431B"/>
    <w:rsid w:val="00952DE4"/>
    <w:rsid w:val="00962283"/>
    <w:rsid w:val="00972E59"/>
    <w:rsid w:val="009800D7"/>
    <w:rsid w:val="009A616F"/>
    <w:rsid w:val="009D7C4D"/>
    <w:rsid w:val="009E4847"/>
    <w:rsid w:val="009E6CF8"/>
    <w:rsid w:val="009F13C3"/>
    <w:rsid w:val="00A11DAC"/>
    <w:rsid w:val="00A12904"/>
    <w:rsid w:val="00A6720D"/>
    <w:rsid w:val="00A71A81"/>
    <w:rsid w:val="00A77446"/>
    <w:rsid w:val="00A82E7D"/>
    <w:rsid w:val="00A876BB"/>
    <w:rsid w:val="00AB24CF"/>
    <w:rsid w:val="00B068D7"/>
    <w:rsid w:val="00B44A7E"/>
    <w:rsid w:val="00B57C95"/>
    <w:rsid w:val="00B81193"/>
    <w:rsid w:val="00C00FB0"/>
    <w:rsid w:val="00C339AD"/>
    <w:rsid w:val="00C67B13"/>
    <w:rsid w:val="00C90246"/>
    <w:rsid w:val="00CB2B6B"/>
    <w:rsid w:val="00CC450E"/>
    <w:rsid w:val="00CD3AFC"/>
    <w:rsid w:val="00CE1190"/>
    <w:rsid w:val="00CF74D0"/>
    <w:rsid w:val="00D039F1"/>
    <w:rsid w:val="00D07784"/>
    <w:rsid w:val="00D13266"/>
    <w:rsid w:val="00D15141"/>
    <w:rsid w:val="00D33810"/>
    <w:rsid w:val="00D3665E"/>
    <w:rsid w:val="00D40474"/>
    <w:rsid w:val="00D40BAB"/>
    <w:rsid w:val="00D6278E"/>
    <w:rsid w:val="00D904CF"/>
    <w:rsid w:val="00DB7E19"/>
    <w:rsid w:val="00DD42F1"/>
    <w:rsid w:val="00E6442F"/>
    <w:rsid w:val="00E744E8"/>
    <w:rsid w:val="00E95862"/>
    <w:rsid w:val="00EB0557"/>
    <w:rsid w:val="00EB6343"/>
    <w:rsid w:val="00F1200A"/>
    <w:rsid w:val="00F50F79"/>
    <w:rsid w:val="00F866D7"/>
    <w:rsid w:val="00F87557"/>
    <w:rsid w:val="00FB2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5964"/>
  <w15:docId w15:val="{3E246A5D-73E3-49A7-BB1F-C1F3FD4F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Roboto" w:hAnsi="Roboto"/>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uiPriority w:val="99"/>
    <w:semiHidden/>
    <w:unhideWhenUsed/>
    <w:rsid w:val="00B07FB9"/>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Tekstkomentarza">
    <w:name w:val="annotation text"/>
    <w:link w:val="TekstkomentarzaZnak"/>
    <w:uiPriority w:val="99"/>
    <w:unhideWhenUsed/>
    <w:rsid w:val="00F26610"/>
    <w:pPr>
      <w:spacing w:after="0" w:line="240" w:lineRule="auto"/>
    </w:pPr>
    <w:rPr>
      <w:rFonts w:ascii="Arial" w:eastAsia="Arial" w:hAnsi="Arial" w:cs="Arial"/>
      <w:sz w:val="20"/>
      <w:szCs w:val="20"/>
      <w:lang w:val="en-GB"/>
    </w:rPr>
  </w:style>
  <w:style w:type="character" w:customStyle="1" w:styleId="TekstkomentarzaZnak">
    <w:name w:val="Tekst komentarza Znak"/>
    <w:basedOn w:val="Domylnaczcionkaakapitu"/>
    <w:link w:val="Tekstkomentarza"/>
    <w:uiPriority w:val="99"/>
    <w:rsid w:val="00F26610"/>
    <w:rPr>
      <w:rFonts w:ascii="Arial" w:eastAsia="Arial" w:hAnsi="Arial" w:cs="Arial"/>
      <w:sz w:val="20"/>
      <w:szCs w:val="20"/>
      <w:lang w:val="en-GB" w:eastAsia="pl-PL"/>
    </w:rPr>
  </w:style>
  <w:style w:type="character" w:styleId="Odwoaniedokomentarza">
    <w:name w:val="annotation reference"/>
    <w:basedOn w:val="Domylnaczcionkaakapitu"/>
    <w:uiPriority w:val="99"/>
    <w:semiHidden/>
    <w:unhideWhenUsed/>
    <w:rsid w:val="00F26610"/>
    <w:rPr>
      <w:sz w:val="16"/>
      <w:szCs w:val="16"/>
    </w:rPr>
  </w:style>
  <w:style w:type="paragraph" w:styleId="Tekstprzypisudolnego">
    <w:name w:val="footnote text"/>
    <w:link w:val="TekstprzypisudolnegoZnak"/>
    <w:uiPriority w:val="99"/>
    <w:semiHidden/>
    <w:unhideWhenUsed/>
    <w:rsid w:val="00F2661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6610"/>
    <w:rPr>
      <w:sz w:val="20"/>
      <w:szCs w:val="20"/>
    </w:rPr>
  </w:style>
  <w:style w:type="character" w:styleId="Hipercze">
    <w:name w:val="Hyperlink"/>
    <w:basedOn w:val="Domylnaczcionkaakapitu"/>
    <w:uiPriority w:val="99"/>
    <w:unhideWhenUsed/>
    <w:rsid w:val="00F26610"/>
    <w:rPr>
      <w:color w:val="0563C1" w:themeColor="hyperlink"/>
      <w:u w:val="single"/>
    </w:rPr>
  </w:style>
  <w:style w:type="character" w:styleId="Odwoanieprzypisudolnego">
    <w:name w:val="footnote reference"/>
    <w:basedOn w:val="Domylnaczcionkaakapitu"/>
    <w:uiPriority w:val="99"/>
    <w:semiHidden/>
    <w:unhideWhenUsed/>
    <w:rsid w:val="00F26610"/>
    <w:rPr>
      <w:vertAlign w:val="superscript"/>
    </w:rPr>
  </w:style>
  <w:style w:type="character" w:styleId="UyteHipercze">
    <w:name w:val="FollowedHyperlink"/>
    <w:basedOn w:val="Domylnaczcionkaakapitu"/>
    <w:uiPriority w:val="99"/>
    <w:semiHidden/>
    <w:unhideWhenUsed/>
    <w:rsid w:val="009A2D0D"/>
    <w:rPr>
      <w:color w:val="954F72" w:themeColor="followed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94431B"/>
    <w:pPr>
      <w:ind w:left="720"/>
      <w:contextualSpacing/>
    </w:pPr>
  </w:style>
  <w:style w:type="paragraph" w:styleId="Poprawka">
    <w:name w:val="Revision"/>
    <w:hidden/>
    <w:uiPriority w:val="99"/>
    <w:semiHidden/>
    <w:rsid w:val="003B3824"/>
    <w:pPr>
      <w:spacing w:after="0" w:line="240" w:lineRule="auto"/>
    </w:pPr>
  </w:style>
  <w:style w:type="paragraph" w:styleId="Tematkomentarza">
    <w:name w:val="annotation subject"/>
    <w:basedOn w:val="Tekstkomentarza"/>
    <w:next w:val="Tekstkomentarza"/>
    <w:link w:val="TematkomentarzaZnak"/>
    <w:uiPriority w:val="99"/>
    <w:semiHidden/>
    <w:unhideWhenUsed/>
    <w:rsid w:val="003B3824"/>
    <w:pPr>
      <w:spacing w:after="160"/>
    </w:pPr>
    <w:rPr>
      <w:rFonts w:ascii="Calibri" w:eastAsia="Calibri" w:hAnsi="Calibri" w:cs="Calibri"/>
      <w:b/>
      <w:bCs/>
      <w:lang w:val="pl"/>
    </w:rPr>
  </w:style>
  <w:style w:type="character" w:customStyle="1" w:styleId="TematkomentarzaZnak">
    <w:name w:val="Temat komentarza Znak"/>
    <w:basedOn w:val="TekstkomentarzaZnak"/>
    <w:link w:val="Tematkomentarza"/>
    <w:uiPriority w:val="99"/>
    <w:semiHidden/>
    <w:rsid w:val="003B3824"/>
    <w:rPr>
      <w:rFonts w:ascii="Arial" w:eastAsia="Arial" w:hAnsi="Arial" w:cs="Arial"/>
      <w:b/>
      <w:bCs/>
      <w:sz w:val="20"/>
      <w:szCs w:val="20"/>
      <w:lang w:val="en-GB" w:eastAsia="pl-PL"/>
    </w:rPr>
  </w:style>
  <w:style w:type="character" w:styleId="Nierozpoznanawzmianka">
    <w:name w:val="Unresolved Mention"/>
    <w:basedOn w:val="Domylnaczcionkaakapitu"/>
    <w:uiPriority w:val="99"/>
    <w:semiHidden/>
    <w:unhideWhenUsed/>
    <w:rsid w:val="002C6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rbara.jastrzebska@benefitsystems.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atrycja.kaleta@linkleaders.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1AY7qZ6Frul/hu/Jbro81+0SA==">CgMxLjAyDmguM2Nlc2lnbjlzYzJ4OAByITF2Ny1Ic0tscmptb3R3UEFDRjdmWTZQUTB0UTBrR0hOLQ==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919</Words>
  <Characters>5517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Potocka</dc:creator>
  <cp:lastModifiedBy>Barbara Jastrzębska</cp:lastModifiedBy>
  <cp:revision>2</cp:revision>
  <dcterms:created xsi:type="dcterms:W3CDTF">2025-10-03T13:25:00Z</dcterms:created>
  <dcterms:modified xsi:type="dcterms:W3CDTF">2025-10-03T13:25:00Z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0x010100187B03A1518BC64BAD60FF371897D041</vt:lpwstr>
  </property>
</Properties>
</file>