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8341" w14:textId="77777777" w:rsidR="00233DF5" w:rsidRPr="004574F3" w:rsidRDefault="00233DF5" w:rsidP="00233DF5">
      <w:pPr>
        <w:autoSpaceDE w:val="0"/>
        <w:autoSpaceDN w:val="0"/>
        <w:adjustRightInd w:val="0"/>
        <w:spacing w:after="160" w:line="276" w:lineRule="auto"/>
        <w:rPr>
          <w:rFonts w:ascii="Noto Sans" w:eastAsiaTheme="minorHAnsi" w:hAnsi="Noto Sans" w:cs="Noto Sans"/>
          <w:b/>
          <w:bCs/>
          <w:sz w:val="24"/>
          <w:szCs w:val="24"/>
        </w:rPr>
      </w:pPr>
      <w:bookmarkStart w:id="0" w:name="_Hlk46133219"/>
      <w:r w:rsidRPr="004574F3">
        <w:rPr>
          <w:rFonts w:ascii="Noto Sans" w:eastAsiaTheme="minorHAnsi" w:hAnsi="Noto Sans" w:cs="Noto Sans"/>
          <w:b/>
          <w:bCs/>
          <w:sz w:val="24"/>
          <w:szCs w:val="24"/>
        </w:rPr>
        <w:t>Speed to Shelf and Consumer Engagement – The Rise of Digital Corrugated Packaging Printing</w:t>
      </w:r>
    </w:p>
    <w:p w14:paraId="40F91A72" w14:textId="19151985" w:rsidR="00233DF5" w:rsidRPr="004574F3" w:rsidRDefault="00233DF5" w:rsidP="00233DF5">
      <w:pPr>
        <w:autoSpaceDE w:val="0"/>
        <w:autoSpaceDN w:val="0"/>
        <w:adjustRightInd w:val="0"/>
        <w:spacing w:after="160" w:line="276" w:lineRule="auto"/>
        <w:rPr>
          <w:rFonts w:ascii="Noto Sans" w:eastAsiaTheme="minorHAnsi" w:hAnsi="Noto Sans" w:cs="Noto Sans"/>
          <w:i/>
          <w:iCs/>
          <w:sz w:val="22"/>
        </w:rPr>
      </w:pPr>
      <w:r w:rsidRPr="004574F3">
        <w:rPr>
          <w:rFonts w:ascii="Noto Sans" w:eastAsiaTheme="minorHAnsi" w:hAnsi="Noto Sans" w:cs="Noto Sans"/>
          <w:i/>
          <w:iCs/>
          <w:sz w:val="22"/>
        </w:rPr>
        <w:t xml:space="preserve">Shifts in consumer habits continue to have a considerable impact on FMCG brands and their supply chains. From the continuing rise of ecommerce and </w:t>
      </w:r>
      <w:r w:rsidR="004574F3" w:rsidRPr="004574F3">
        <w:rPr>
          <w:rFonts w:ascii="Noto Sans" w:eastAsiaTheme="minorHAnsi" w:hAnsi="Noto Sans" w:cs="Noto Sans"/>
          <w:i/>
          <w:iCs/>
          <w:sz w:val="22"/>
        </w:rPr>
        <w:t>personalization</w:t>
      </w:r>
      <w:r w:rsidRPr="004574F3">
        <w:rPr>
          <w:rFonts w:ascii="Noto Sans" w:eastAsiaTheme="minorHAnsi" w:hAnsi="Noto Sans" w:cs="Noto Sans"/>
          <w:i/>
          <w:iCs/>
          <w:sz w:val="22"/>
        </w:rPr>
        <w:t xml:space="preserve"> to product diversification in response to a more health-conscious, environmentally aware, and socially responsible demographic, brands are continually adapting, and agility is key.</w:t>
      </w:r>
    </w:p>
    <w:p w14:paraId="2F786C58" w14:textId="3DBFCF94" w:rsidR="00233DF5" w:rsidRPr="004574F3" w:rsidRDefault="00233DF5" w:rsidP="00233DF5">
      <w:pPr>
        <w:autoSpaceDE w:val="0"/>
        <w:autoSpaceDN w:val="0"/>
        <w:adjustRightInd w:val="0"/>
        <w:spacing w:after="160" w:line="276" w:lineRule="auto"/>
        <w:rPr>
          <w:rFonts w:ascii="Noto Sans" w:eastAsiaTheme="minorHAnsi" w:hAnsi="Noto Sans" w:cs="Noto Sans"/>
          <w:i/>
          <w:iCs/>
          <w:sz w:val="22"/>
        </w:rPr>
      </w:pPr>
      <w:proofErr w:type="gramStart"/>
      <w:r w:rsidRPr="004574F3">
        <w:rPr>
          <w:rFonts w:ascii="Noto Sans" w:eastAsiaTheme="minorHAnsi" w:hAnsi="Noto Sans" w:cs="Noto Sans"/>
          <w:i/>
          <w:iCs/>
          <w:sz w:val="22"/>
        </w:rPr>
        <w:t>Digitally-printed</w:t>
      </w:r>
      <w:proofErr w:type="gramEnd"/>
      <w:r w:rsidRPr="004574F3">
        <w:rPr>
          <w:rFonts w:ascii="Noto Sans" w:eastAsiaTheme="minorHAnsi" w:hAnsi="Noto Sans" w:cs="Noto Sans"/>
          <w:i/>
          <w:iCs/>
          <w:sz w:val="22"/>
        </w:rPr>
        <w:t xml:space="preserve"> packaging not only supports brand storytelling and consumer </w:t>
      </w:r>
      <w:r w:rsidR="004574F3" w:rsidRPr="004574F3">
        <w:rPr>
          <w:rFonts w:ascii="Noto Sans" w:eastAsiaTheme="minorHAnsi" w:hAnsi="Noto Sans" w:cs="Noto Sans"/>
          <w:i/>
          <w:iCs/>
          <w:sz w:val="22"/>
        </w:rPr>
        <w:t>personalization</w:t>
      </w:r>
      <w:r w:rsidRPr="004574F3">
        <w:rPr>
          <w:rFonts w:ascii="Noto Sans" w:eastAsiaTheme="minorHAnsi" w:hAnsi="Noto Sans" w:cs="Noto Sans"/>
          <w:i/>
          <w:iCs/>
          <w:sz w:val="22"/>
        </w:rPr>
        <w:t xml:space="preserve"> but also enhances supply chain efficiency through shorter lead times, reduced waste, and improved inventory management.</w:t>
      </w:r>
    </w:p>
    <w:p w14:paraId="39E13925" w14:textId="77777777" w:rsidR="00233DF5" w:rsidRPr="004574F3" w:rsidRDefault="00233DF5" w:rsidP="00233DF5">
      <w:pPr>
        <w:autoSpaceDE w:val="0"/>
        <w:autoSpaceDN w:val="0"/>
        <w:adjustRightInd w:val="0"/>
        <w:spacing w:after="160" w:line="276" w:lineRule="auto"/>
        <w:rPr>
          <w:rFonts w:ascii="Noto Sans" w:eastAsiaTheme="minorHAnsi" w:hAnsi="Noto Sans" w:cs="Noto Sans"/>
          <w:i/>
          <w:iCs/>
          <w:sz w:val="22"/>
        </w:rPr>
      </w:pPr>
      <w:r w:rsidRPr="004574F3">
        <w:rPr>
          <w:rFonts w:ascii="Noto Sans" w:eastAsiaTheme="minorHAnsi" w:hAnsi="Noto Sans" w:cs="Noto Sans"/>
          <w:i/>
          <w:iCs/>
          <w:sz w:val="22"/>
        </w:rPr>
        <w:t>Michael Strehlow, Account Manager – Corrugated EMEA, Domino Printing Sciences, explores the value-added, digitally enabled corrugated packaging that converters can offer brands – boosting speed to shelf and driving consumer engagement.</w:t>
      </w:r>
    </w:p>
    <w:p w14:paraId="105A1DBB" w14:textId="77777777" w:rsidR="00233DF5" w:rsidRPr="004574F3" w:rsidRDefault="00233DF5" w:rsidP="00233DF5">
      <w:pPr>
        <w:autoSpaceDE w:val="0"/>
        <w:autoSpaceDN w:val="0"/>
        <w:adjustRightInd w:val="0"/>
        <w:spacing w:after="160" w:line="276" w:lineRule="auto"/>
        <w:rPr>
          <w:rFonts w:ascii="Noto Sans" w:eastAsiaTheme="minorHAnsi" w:hAnsi="Noto Sans" w:cs="Noto Sans"/>
          <w:b/>
          <w:bCs/>
          <w:sz w:val="22"/>
        </w:rPr>
      </w:pPr>
      <w:r w:rsidRPr="004574F3">
        <w:rPr>
          <w:rFonts w:ascii="Noto Sans" w:eastAsiaTheme="minorHAnsi" w:hAnsi="Noto Sans" w:cs="Noto Sans"/>
          <w:b/>
          <w:bCs/>
          <w:sz w:val="22"/>
        </w:rPr>
        <w:t>Innovative corrugated packaging – more than just a box</w:t>
      </w:r>
    </w:p>
    <w:p w14:paraId="6C3347E0" w14:textId="2FDE9A4E"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One could </w:t>
      </w:r>
      <w:proofErr w:type="gramStart"/>
      <w:r w:rsidRPr="004574F3">
        <w:rPr>
          <w:rFonts w:ascii="Noto Sans" w:eastAsiaTheme="minorHAnsi" w:hAnsi="Noto Sans" w:cs="Noto Sans"/>
          <w:sz w:val="22"/>
        </w:rPr>
        <w:t>be forgiven</w:t>
      </w:r>
      <w:proofErr w:type="gramEnd"/>
      <w:r w:rsidRPr="004574F3">
        <w:rPr>
          <w:rFonts w:ascii="Noto Sans" w:eastAsiaTheme="minorHAnsi" w:hAnsi="Noto Sans" w:cs="Noto Sans"/>
          <w:sz w:val="22"/>
        </w:rPr>
        <w:t xml:space="preserve"> for having a </w:t>
      </w:r>
      <w:proofErr w:type="gramStart"/>
      <w:r w:rsidRPr="004574F3">
        <w:rPr>
          <w:rFonts w:ascii="Noto Sans" w:eastAsiaTheme="minorHAnsi" w:hAnsi="Noto Sans" w:cs="Noto Sans"/>
          <w:sz w:val="22"/>
        </w:rPr>
        <w:t>somewhat staid</w:t>
      </w:r>
      <w:proofErr w:type="gramEnd"/>
      <w:r w:rsidRPr="004574F3">
        <w:rPr>
          <w:rFonts w:ascii="Noto Sans" w:eastAsiaTheme="minorHAnsi" w:hAnsi="Noto Sans" w:cs="Noto Sans"/>
          <w:sz w:val="22"/>
        </w:rPr>
        <w:t xml:space="preserve"> view of corrugated packaging. </w:t>
      </w:r>
      <w:proofErr w:type="gramStart"/>
      <w:r w:rsidRPr="004574F3">
        <w:rPr>
          <w:rFonts w:ascii="Noto Sans" w:eastAsiaTheme="minorHAnsi" w:hAnsi="Noto Sans" w:cs="Noto Sans"/>
          <w:sz w:val="22"/>
        </w:rPr>
        <w:t>It’s</w:t>
      </w:r>
      <w:proofErr w:type="gramEnd"/>
      <w:r w:rsidRPr="004574F3">
        <w:rPr>
          <w:rFonts w:ascii="Noto Sans" w:eastAsiaTheme="minorHAnsi" w:hAnsi="Noto Sans" w:cs="Noto Sans"/>
          <w:sz w:val="22"/>
        </w:rPr>
        <w:t xml:space="preserve"> easy to think of it as simply protecting products in transit, but today, </w:t>
      </w:r>
      <w:proofErr w:type="gramStart"/>
      <w:r w:rsidRPr="004574F3">
        <w:rPr>
          <w:rFonts w:ascii="Noto Sans" w:eastAsiaTheme="minorHAnsi" w:hAnsi="Noto Sans" w:cs="Noto Sans"/>
          <w:sz w:val="22"/>
        </w:rPr>
        <w:t>full-</w:t>
      </w:r>
      <w:r w:rsidR="004574F3" w:rsidRPr="004574F3">
        <w:rPr>
          <w:rFonts w:ascii="Noto Sans" w:eastAsiaTheme="minorHAnsi" w:hAnsi="Noto Sans" w:cs="Noto Sans"/>
          <w:sz w:val="22"/>
        </w:rPr>
        <w:t>color</w:t>
      </w:r>
      <w:proofErr w:type="gramEnd"/>
      <w:r w:rsidRPr="004574F3">
        <w:rPr>
          <w:rFonts w:ascii="Noto Sans" w:eastAsiaTheme="minorHAnsi" w:hAnsi="Noto Sans" w:cs="Noto Sans"/>
          <w:sz w:val="22"/>
        </w:rPr>
        <w:t xml:space="preserve"> printed corrugated packaging is proving to be a powerful asset in terms of efficiency, branding, and sustainability.</w:t>
      </w:r>
    </w:p>
    <w:p w14:paraId="06595E61"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hyperlink r:id="rId6" w:anchor=":~:text=Corrugated%20board%20is%20proving%20popular,dimensions%2C%20rather%20than%20simple%20weight." w:history="1">
        <w:r w:rsidRPr="004574F3">
          <w:rPr>
            <w:rFonts w:ascii="Noto Sans" w:eastAsiaTheme="minorHAnsi" w:hAnsi="Noto Sans" w:cs="Noto Sans"/>
            <w:color w:val="0000FF"/>
            <w:sz w:val="22"/>
            <w:u w:val="single"/>
          </w:rPr>
          <w:t>Corrugated packaging has evolved</w:t>
        </w:r>
      </w:hyperlink>
      <w:r w:rsidRPr="004574F3">
        <w:rPr>
          <w:rFonts w:ascii="Noto Sans" w:eastAsiaTheme="minorHAnsi" w:hAnsi="Noto Sans" w:cs="Noto Sans"/>
          <w:sz w:val="22"/>
        </w:rPr>
        <w:t xml:space="preserve"> significantly beyond its traditional application, enabled by technological advancements in areas such as design software and QR codes, with corrugated packaging printing driving a change in mindset for brand owners.</w:t>
      </w:r>
    </w:p>
    <w:p w14:paraId="2D866869" w14:textId="6826F339"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Indeed, brands are now </w:t>
      </w:r>
      <w:r w:rsidR="004574F3" w:rsidRPr="004574F3">
        <w:rPr>
          <w:rFonts w:ascii="Noto Sans" w:eastAsiaTheme="minorHAnsi" w:hAnsi="Noto Sans" w:cs="Noto Sans"/>
          <w:sz w:val="22"/>
        </w:rPr>
        <w:t>recognizing</w:t>
      </w:r>
      <w:r w:rsidRPr="004574F3">
        <w:rPr>
          <w:rFonts w:ascii="Noto Sans" w:eastAsiaTheme="minorHAnsi" w:hAnsi="Noto Sans" w:cs="Noto Sans"/>
          <w:sz w:val="22"/>
        </w:rPr>
        <w:t xml:space="preserve"> corrugated packaging’s potential to enhance brand image, improve customer experience, and provide agility and efficiency within supply chain management. </w:t>
      </w:r>
    </w:p>
    <w:p w14:paraId="18604E54" w14:textId="769ACA6C"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The blank canvas of corrugated packaging is ideal for transforming into stunning, brand-defining designs that provide a unique and engaging unboxing experience. Designs that can </w:t>
      </w:r>
      <w:proofErr w:type="gramStart"/>
      <w:r w:rsidRPr="004574F3">
        <w:rPr>
          <w:rFonts w:ascii="Noto Sans" w:eastAsiaTheme="minorHAnsi" w:hAnsi="Noto Sans" w:cs="Noto Sans"/>
          <w:sz w:val="22"/>
        </w:rPr>
        <w:t xml:space="preserve">be </w:t>
      </w:r>
      <w:r w:rsidR="004574F3" w:rsidRPr="004574F3">
        <w:rPr>
          <w:rFonts w:ascii="Noto Sans" w:eastAsiaTheme="minorHAnsi" w:hAnsi="Noto Sans" w:cs="Noto Sans"/>
          <w:sz w:val="22"/>
        </w:rPr>
        <w:t>customized</w:t>
      </w:r>
      <w:proofErr w:type="gramEnd"/>
      <w:r w:rsidRPr="004574F3">
        <w:rPr>
          <w:rFonts w:ascii="Noto Sans" w:eastAsiaTheme="minorHAnsi" w:hAnsi="Noto Sans" w:cs="Noto Sans"/>
          <w:sz w:val="22"/>
        </w:rPr>
        <w:t xml:space="preserve"> to </w:t>
      </w:r>
      <w:proofErr w:type="gramStart"/>
      <w:r w:rsidRPr="004574F3">
        <w:rPr>
          <w:rFonts w:ascii="Noto Sans" w:eastAsiaTheme="minorHAnsi" w:hAnsi="Noto Sans" w:cs="Noto Sans"/>
          <w:sz w:val="22"/>
        </w:rPr>
        <w:t>particular market</w:t>
      </w:r>
      <w:proofErr w:type="gramEnd"/>
      <w:r w:rsidRPr="004574F3">
        <w:rPr>
          <w:rFonts w:ascii="Noto Sans" w:eastAsiaTheme="minorHAnsi" w:hAnsi="Noto Sans" w:cs="Noto Sans"/>
          <w:sz w:val="22"/>
        </w:rPr>
        <w:t xml:space="preserve"> segments or customer personas, as well as adapted into a multitude of shapes, sizes, and models, for eye-catching, innovative corrugated packaging solutions. And, of course, for those brands still seeking durable packaging, corrugated packaging offers almost unparalleled benefits over other materials, with high levels of </w:t>
      </w:r>
      <w:hyperlink r:id="rId7" w:history="1">
        <w:r w:rsidRPr="004574F3">
          <w:rPr>
            <w:rFonts w:ascii="Noto Sans" w:eastAsiaTheme="minorHAnsi" w:hAnsi="Noto Sans" w:cs="Noto Sans"/>
            <w:color w:val="0000FF"/>
            <w:sz w:val="22"/>
            <w:u w:val="single"/>
          </w:rPr>
          <w:t>cost-effectiveness and sustainability</w:t>
        </w:r>
      </w:hyperlink>
      <w:r w:rsidRPr="004574F3">
        <w:rPr>
          <w:rFonts w:ascii="Noto Sans" w:eastAsiaTheme="minorHAnsi" w:hAnsi="Noto Sans" w:cs="Noto Sans"/>
          <w:sz w:val="22"/>
        </w:rPr>
        <w:t>.</w:t>
      </w:r>
    </w:p>
    <w:p w14:paraId="41A9993F" w14:textId="77777777" w:rsidR="00233DF5" w:rsidRPr="004574F3" w:rsidRDefault="00233DF5" w:rsidP="00233DF5">
      <w:pPr>
        <w:autoSpaceDE w:val="0"/>
        <w:autoSpaceDN w:val="0"/>
        <w:adjustRightInd w:val="0"/>
        <w:spacing w:after="160" w:line="276" w:lineRule="auto"/>
        <w:rPr>
          <w:rFonts w:ascii="Noto Sans" w:eastAsiaTheme="minorHAnsi" w:hAnsi="Noto Sans" w:cs="Noto Sans"/>
          <w:b/>
          <w:bCs/>
          <w:sz w:val="22"/>
        </w:rPr>
      </w:pPr>
      <w:r w:rsidRPr="004574F3">
        <w:rPr>
          <w:rFonts w:ascii="Noto Sans" w:eastAsiaTheme="minorHAnsi" w:hAnsi="Noto Sans" w:cs="Noto Sans"/>
          <w:b/>
          <w:bCs/>
          <w:sz w:val="22"/>
        </w:rPr>
        <w:t xml:space="preserve">Speed to shelf – how digital printing supports responsive </w:t>
      </w:r>
      <w:proofErr w:type="gramStart"/>
      <w:r w:rsidRPr="004574F3">
        <w:rPr>
          <w:rFonts w:ascii="Noto Sans" w:eastAsiaTheme="minorHAnsi" w:hAnsi="Noto Sans" w:cs="Noto Sans"/>
          <w:b/>
          <w:bCs/>
          <w:sz w:val="22"/>
        </w:rPr>
        <w:t>packaging</w:t>
      </w:r>
      <w:proofErr w:type="gramEnd"/>
    </w:p>
    <w:p w14:paraId="2268F096" w14:textId="636B2951"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lastRenderedPageBreak/>
        <w:t>In today’s hyper-competitive consumer landscape, speed to shelf is a crucial factor in achieving brand success. As highlighted by McKinsey’s “</w:t>
      </w:r>
      <w:hyperlink r:id="rId8" w:history="1">
        <w:r w:rsidRPr="004574F3">
          <w:rPr>
            <w:rFonts w:ascii="Noto Sans" w:eastAsiaTheme="minorHAnsi" w:hAnsi="Noto Sans" w:cs="Noto Sans"/>
            <w:color w:val="0000FF"/>
            <w:sz w:val="22"/>
            <w:u w:val="single"/>
          </w:rPr>
          <w:t>State of the Consumer 2025</w:t>
        </w:r>
      </w:hyperlink>
      <w:r w:rsidRPr="004574F3">
        <w:rPr>
          <w:rFonts w:ascii="Noto Sans" w:eastAsiaTheme="minorHAnsi" w:hAnsi="Noto Sans" w:cs="Noto Sans"/>
          <w:sz w:val="22"/>
        </w:rPr>
        <w:t xml:space="preserve">” report, consumers are demanding more </w:t>
      </w:r>
      <w:r w:rsidR="004574F3" w:rsidRPr="004574F3">
        <w:rPr>
          <w:rFonts w:ascii="Noto Sans" w:eastAsiaTheme="minorHAnsi" w:hAnsi="Noto Sans" w:cs="Noto Sans"/>
          <w:sz w:val="22"/>
        </w:rPr>
        <w:t>personalized</w:t>
      </w:r>
      <w:r w:rsidRPr="004574F3">
        <w:rPr>
          <w:rFonts w:ascii="Noto Sans" w:eastAsiaTheme="minorHAnsi" w:hAnsi="Noto Sans" w:cs="Noto Sans"/>
          <w:sz w:val="22"/>
        </w:rPr>
        <w:t>, timely experiences, and brands must be able to adapt swiftly to shifting preferences and trends. For converters, digital corrugated packaging printing is emerging as a key differentiator, empowering brands to respond with unprecedented agility.</w:t>
      </w:r>
    </w:p>
    <w:p w14:paraId="2EE27725" w14:textId="4D8D37B9"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Unlike traditional methods, digital printing significantly reduces lead times and eliminates the need for costly setup processes, such as plate making. This means that a run can be composed of </w:t>
      </w:r>
      <w:proofErr w:type="gramStart"/>
      <w:r w:rsidRPr="004574F3">
        <w:rPr>
          <w:rFonts w:ascii="Noto Sans" w:eastAsiaTheme="minorHAnsi" w:hAnsi="Noto Sans" w:cs="Noto Sans"/>
          <w:sz w:val="22"/>
        </w:rPr>
        <w:t>many</w:t>
      </w:r>
      <w:proofErr w:type="gramEnd"/>
      <w:r w:rsidRPr="004574F3">
        <w:rPr>
          <w:rFonts w:ascii="Noto Sans" w:eastAsiaTheme="minorHAnsi" w:hAnsi="Noto Sans" w:cs="Noto Sans"/>
          <w:sz w:val="22"/>
        </w:rPr>
        <w:t xml:space="preserve"> variations or even </w:t>
      </w:r>
      <w:r w:rsidR="004574F3" w:rsidRPr="004574F3">
        <w:rPr>
          <w:rFonts w:ascii="Noto Sans" w:eastAsiaTheme="minorHAnsi" w:hAnsi="Noto Sans" w:cs="Noto Sans"/>
          <w:sz w:val="22"/>
        </w:rPr>
        <w:t>personalized</w:t>
      </w:r>
      <w:r w:rsidRPr="004574F3">
        <w:rPr>
          <w:rFonts w:ascii="Noto Sans" w:eastAsiaTheme="minorHAnsi" w:hAnsi="Noto Sans" w:cs="Noto Sans"/>
          <w:sz w:val="22"/>
        </w:rPr>
        <w:t xml:space="preserve"> boxes, without additional printing costs. This enables converters to streamline workflows and move packaging from concept to shelf more rapidly than ever before, in as little as a week. The result is a faster go-to-market strategy, allowing brands to </w:t>
      </w:r>
      <w:r w:rsidR="004574F3" w:rsidRPr="004574F3">
        <w:rPr>
          <w:rFonts w:ascii="Noto Sans" w:eastAsiaTheme="minorHAnsi" w:hAnsi="Noto Sans" w:cs="Noto Sans"/>
          <w:sz w:val="22"/>
        </w:rPr>
        <w:t>capitalize</w:t>
      </w:r>
      <w:r w:rsidRPr="004574F3">
        <w:rPr>
          <w:rFonts w:ascii="Noto Sans" w:eastAsiaTheme="minorHAnsi" w:hAnsi="Noto Sans" w:cs="Noto Sans"/>
          <w:sz w:val="22"/>
        </w:rPr>
        <w:t xml:space="preserve"> on time-sensitive campaigns or seasonal opportunities with minimal delay.</w:t>
      </w:r>
    </w:p>
    <w:p w14:paraId="41019950" w14:textId="2E5845AD"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Speed to shelf </w:t>
      </w:r>
      <w:proofErr w:type="gramStart"/>
      <w:r w:rsidRPr="004574F3">
        <w:rPr>
          <w:rFonts w:ascii="Noto Sans" w:eastAsiaTheme="minorHAnsi" w:hAnsi="Noto Sans" w:cs="Noto Sans"/>
          <w:sz w:val="22"/>
        </w:rPr>
        <w:t>isn’t</w:t>
      </w:r>
      <w:proofErr w:type="gramEnd"/>
      <w:r w:rsidRPr="004574F3">
        <w:rPr>
          <w:rFonts w:ascii="Noto Sans" w:eastAsiaTheme="minorHAnsi" w:hAnsi="Noto Sans" w:cs="Noto Sans"/>
          <w:sz w:val="22"/>
        </w:rPr>
        <w:t xml:space="preserve"> </w:t>
      </w:r>
      <w:proofErr w:type="gramStart"/>
      <w:r w:rsidRPr="004574F3">
        <w:rPr>
          <w:rFonts w:ascii="Noto Sans" w:eastAsiaTheme="minorHAnsi" w:hAnsi="Noto Sans" w:cs="Noto Sans"/>
          <w:sz w:val="22"/>
        </w:rPr>
        <w:t>just about urgency</w:t>
      </w:r>
      <w:proofErr w:type="gramEnd"/>
      <w:r w:rsidRPr="004574F3">
        <w:rPr>
          <w:rFonts w:ascii="Noto Sans" w:eastAsiaTheme="minorHAnsi" w:hAnsi="Noto Sans" w:cs="Noto Sans"/>
          <w:sz w:val="22"/>
        </w:rPr>
        <w:t xml:space="preserve"> – </w:t>
      </w:r>
      <w:proofErr w:type="gramStart"/>
      <w:r w:rsidRPr="004574F3">
        <w:rPr>
          <w:rFonts w:ascii="Noto Sans" w:eastAsiaTheme="minorHAnsi" w:hAnsi="Noto Sans" w:cs="Noto Sans"/>
          <w:sz w:val="22"/>
        </w:rPr>
        <w:t>it’s</w:t>
      </w:r>
      <w:proofErr w:type="gramEnd"/>
      <w:r w:rsidRPr="004574F3">
        <w:rPr>
          <w:rFonts w:ascii="Noto Sans" w:eastAsiaTheme="minorHAnsi" w:hAnsi="Noto Sans" w:cs="Noto Sans"/>
          <w:sz w:val="22"/>
        </w:rPr>
        <w:t xml:space="preserve"> also about precision. Digital printing enables small-batch </w:t>
      </w:r>
      <w:r w:rsidR="004574F3" w:rsidRPr="004574F3">
        <w:rPr>
          <w:rFonts w:ascii="Noto Sans" w:eastAsiaTheme="minorHAnsi" w:hAnsi="Noto Sans" w:cs="Noto Sans"/>
          <w:sz w:val="22"/>
        </w:rPr>
        <w:t>customization</w:t>
      </w:r>
      <w:r w:rsidRPr="004574F3">
        <w:rPr>
          <w:rFonts w:ascii="Noto Sans" w:eastAsiaTheme="minorHAnsi" w:hAnsi="Noto Sans" w:cs="Noto Sans"/>
          <w:sz w:val="22"/>
        </w:rPr>
        <w:t>, allowing for the creation of shelf-ready packaging, point-of-sale displays, and ecommerce-ready boxes that visually and emotionally appeal to target consumers. This flexibility helps brands test designs, update messaging, and roll out campaign-specific packaging – all while reducing waste and inventory costs.</w:t>
      </w:r>
    </w:p>
    <w:p w14:paraId="756367DA"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Furthermore, digital presses </w:t>
      </w:r>
      <w:proofErr w:type="gramStart"/>
      <w:r w:rsidRPr="004574F3">
        <w:rPr>
          <w:rFonts w:ascii="Noto Sans" w:eastAsiaTheme="minorHAnsi" w:hAnsi="Noto Sans" w:cs="Noto Sans"/>
          <w:sz w:val="22"/>
        </w:rPr>
        <w:t>offer ”just</w:t>
      </w:r>
      <w:proofErr w:type="gramEnd"/>
      <w:r w:rsidRPr="004574F3">
        <w:rPr>
          <w:rFonts w:ascii="Noto Sans" w:eastAsiaTheme="minorHAnsi" w:hAnsi="Noto Sans" w:cs="Noto Sans"/>
          <w:sz w:val="22"/>
        </w:rPr>
        <w:t xml:space="preserve">-in-time” production capabilities, ensuring converters can meet tight deadlines without overstocking or disrupting traditional production. Even for conventional corrugated producers, digital capabilities can </w:t>
      </w:r>
      <w:proofErr w:type="gramStart"/>
      <w:r w:rsidRPr="004574F3">
        <w:rPr>
          <w:rFonts w:ascii="Noto Sans" w:eastAsiaTheme="minorHAnsi" w:hAnsi="Noto Sans" w:cs="Noto Sans"/>
          <w:sz w:val="22"/>
        </w:rPr>
        <w:t>be integrated</w:t>
      </w:r>
      <w:proofErr w:type="gramEnd"/>
      <w:r w:rsidRPr="004574F3">
        <w:rPr>
          <w:rFonts w:ascii="Noto Sans" w:eastAsiaTheme="minorHAnsi" w:hAnsi="Noto Sans" w:cs="Noto Sans"/>
          <w:sz w:val="22"/>
        </w:rPr>
        <w:t xml:space="preserve"> to absorb short runs, manage late-stage edits, or fulfil last-minute promotional pushes.</w:t>
      </w:r>
    </w:p>
    <w:p w14:paraId="01941594" w14:textId="77777777" w:rsidR="00233DF5" w:rsidRPr="004574F3" w:rsidRDefault="00233DF5" w:rsidP="00233DF5">
      <w:pPr>
        <w:autoSpaceDE w:val="0"/>
        <w:autoSpaceDN w:val="0"/>
        <w:adjustRightInd w:val="0"/>
        <w:spacing w:after="160" w:line="276" w:lineRule="auto"/>
        <w:rPr>
          <w:rFonts w:ascii="Noto Sans" w:eastAsiaTheme="minorHAnsi" w:hAnsi="Noto Sans" w:cs="Noto Sans"/>
          <w:b/>
          <w:bCs/>
          <w:sz w:val="22"/>
        </w:rPr>
      </w:pPr>
      <w:r w:rsidRPr="004574F3">
        <w:rPr>
          <w:rFonts w:ascii="Noto Sans" w:eastAsiaTheme="minorHAnsi" w:hAnsi="Noto Sans" w:cs="Noto Sans"/>
          <w:b/>
          <w:bCs/>
          <w:sz w:val="22"/>
        </w:rPr>
        <w:t>Consumer engagement – packaging as a conversation enabler</w:t>
      </w:r>
    </w:p>
    <w:p w14:paraId="290C7A27"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Packaging often provides the first physical interaction between brand and consumer, and first impressions are everything. Corrugated packaging, particularly in retail and ecommerce settings, has become a crucial touchpoint for consumer engagement. </w:t>
      </w:r>
    </w:p>
    <w:p w14:paraId="5EB6E429" w14:textId="4DC933A4"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For brands seeking to stand out on crowded shelves or create memorable unboxing experiences at home, digital printing provides a dynamic and versatile solution. The combination of corrugated packaging and digital printing enables not only high-resolution, eye-catching designs that elevate the consumer experience but also quick and cost-effective production of packaging variations, empowering brands to </w:t>
      </w:r>
      <w:hyperlink r:id="rId9" w:history="1">
        <w:r w:rsidRPr="004574F3">
          <w:rPr>
            <w:rFonts w:ascii="Noto Sans" w:eastAsiaTheme="minorHAnsi" w:hAnsi="Noto Sans" w:cs="Noto Sans"/>
            <w:color w:val="0000FF"/>
            <w:sz w:val="22"/>
            <w:u w:val="single"/>
          </w:rPr>
          <w:t xml:space="preserve">tell their </w:t>
        </w:r>
        <w:r w:rsidRPr="004574F3">
          <w:rPr>
            <w:rFonts w:ascii="Noto Sans" w:eastAsiaTheme="minorHAnsi" w:hAnsi="Noto Sans" w:cs="Noto Sans"/>
            <w:color w:val="0000FF"/>
            <w:sz w:val="22"/>
            <w:u w:val="single"/>
          </w:rPr>
          <w:lastRenderedPageBreak/>
          <w:t>unique stories</w:t>
        </w:r>
      </w:hyperlink>
      <w:r w:rsidRPr="004574F3">
        <w:rPr>
          <w:rFonts w:ascii="Noto Sans" w:eastAsiaTheme="minorHAnsi" w:hAnsi="Noto Sans" w:cs="Noto Sans"/>
          <w:sz w:val="22"/>
        </w:rPr>
        <w:t>. Limited-edition designs, for example, add a sense of exclusivity and collectability, which can strengthen emotional connections with consumers and inspire brand loyalty.</w:t>
      </w:r>
    </w:p>
    <w:p w14:paraId="295BF4DD"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Moreover, digital technology enables the integration of connected packaging through features like 2D </w:t>
      </w:r>
      <w:proofErr w:type="gramStart"/>
      <w:r w:rsidRPr="004574F3">
        <w:rPr>
          <w:rFonts w:ascii="Noto Sans" w:eastAsiaTheme="minorHAnsi" w:hAnsi="Noto Sans" w:cs="Noto Sans"/>
          <w:sz w:val="22"/>
        </w:rPr>
        <w:t>codes</w:t>
      </w:r>
      <w:proofErr w:type="gramEnd"/>
      <w:r w:rsidRPr="004574F3">
        <w:rPr>
          <w:rFonts w:ascii="Noto Sans" w:eastAsiaTheme="minorHAnsi" w:hAnsi="Noto Sans" w:cs="Noto Sans"/>
          <w:sz w:val="22"/>
        </w:rPr>
        <w:t xml:space="preserve">. These digitally printed QR codes serve as gateways to an extended brand experience, guiding consumers to interactive and informative digital content. As </w:t>
      </w:r>
      <w:hyperlink r:id="rId10" w:history="1">
        <w:r w:rsidRPr="004574F3">
          <w:rPr>
            <w:rFonts w:ascii="Noto Sans" w:eastAsiaTheme="minorHAnsi" w:hAnsi="Noto Sans" w:cs="Noto Sans"/>
            <w:color w:val="0000FF"/>
            <w:sz w:val="22"/>
            <w:u w:val="single"/>
          </w:rPr>
          <w:t>Merkle’s 2025 Connected Experience Research</w:t>
        </w:r>
      </w:hyperlink>
      <w:r w:rsidRPr="004574F3">
        <w:rPr>
          <w:rFonts w:ascii="Noto Sans" w:eastAsiaTheme="minorHAnsi" w:hAnsi="Noto Sans" w:cs="Noto Sans"/>
          <w:sz w:val="22"/>
        </w:rPr>
        <w:t xml:space="preserve"> report highlights, QR code engagement has surged – 87% of consumers now interact with them, up from 64% in 2024. </w:t>
      </w:r>
      <w:proofErr w:type="gramStart"/>
      <w:r w:rsidRPr="004574F3">
        <w:rPr>
          <w:rFonts w:ascii="Noto Sans" w:eastAsiaTheme="minorHAnsi" w:hAnsi="Noto Sans" w:cs="Noto Sans"/>
          <w:sz w:val="22"/>
        </w:rPr>
        <w:t>Many</w:t>
      </w:r>
      <w:proofErr w:type="gramEnd"/>
      <w:r w:rsidRPr="004574F3">
        <w:rPr>
          <w:rFonts w:ascii="Noto Sans" w:eastAsiaTheme="minorHAnsi" w:hAnsi="Noto Sans" w:cs="Noto Sans"/>
          <w:sz w:val="22"/>
        </w:rPr>
        <w:t xml:space="preserve"> do so out of curiosity, seeking deeper insights into the product.</w:t>
      </w:r>
    </w:p>
    <w:p w14:paraId="47CD9D19"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Through QR codes powered by GS1 or augmented reality (AR), consumers can access a wide range of content – from promotional games to vital information on provenance, sustainability, and recycling. This interactive bridge between the physical and digital realms enhances brand storytelling, offers a platform for brands to gather vital consumer feedback, and builds lasting relationships.</w:t>
      </w:r>
    </w:p>
    <w:p w14:paraId="3610A79E" w14:textId="5D2F794E"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Finally, digital presses with variable data printing and late-stage </w:t>
      </w:r>
      <w:r w:rsidR="004574F3" w:rsidRPr="004574F3">
        <w:rPr>
          <w:rFonts w:ascii="Noto Sans" w:eastAsiaTheme="minorHAnsi" w:hAnsi="Noto Sans" w:cs="Noto Sans"/>
          <w:sz w:val="22"/>
        </w:rPr>
        <w:t>customization</w:t>
      </w:r>
      <w:r w:rsidRPr="004574F3">
        <w:rPr>
          <w:rFonts w:ascii="Noto Sans" w:eastAsiaTheme="minorHAnsi" w:hAnsi="Noto Sans" w:cs="Noto Sans"/>
          <w:sz w:val="22"/>
        </w:rPr>
        <w:t xml:space="preserve"> capabilities enable converters to help brands provide better distinction of product variants, delivering additional shelf impact and enabling more efficient picking. Messaging can </w:t>
      </w:r>
      <w:proofErr w:type="gramStart"/>
      <w:r w:rsidRPr="004574F3">
        <w:rPr>
          <w:rFonts w:ascii="Noto Sans" w:eastAsiaTheme="minorHAnsi" w:hAnsi="Noto Sans" w:cs="Noto Sans"/>
          <w:sz w:val="22"/>
        </w:rPr>
        <w:t>be tailored</w:t>
      </w:r>
      <w:proofErr w:type="gramEnd"/>
      <w:r w:rsidRPr="004574F3">
        <w:rPr>
          <w:rFonts w:ascii="Noto Sans" w:eastAsiaTheme="minorHAnsi" w:hAnsi="Noto Sans" w:cs="Noto Sans"/>
          <w:sz w:val="22"/>
        </w:rPr>
        <w:t xml:space="preserve"> to specific customer segments for a </w:t>
      </w:r>
      <w:r w:rsidR="004574F3" w:rsidRPr="004574F3">
        <w:rPr>
          <w:rFonts w:ascii="Noto Sans" w:eastAsiaTheme="minorHAnsi" w:hAnsi="Noto Sans" w:cs="Noto Sans"/>
          <w:sz w:val="22"/>
        </w:rPr>
        <w:t>localized</w:t>
      </w:r>
      <w:r w:rsidRPr="004574F3">
        <w:rPr>
          <w:rFonts w:ascii="Noto Sans" w:eastAsiaTheme="minorHAnsi" w:hAnsi="Noto Sans" w:cs="Noto Sans"/>
          <w:sz w:val="22"/>
        </w:rPr>
        <w:t xml:space="preserve"> or even </w:t>
      </w:r>
      <w:r w:rsidR="004574F3" w:rsidRPr="004574F3">
        <w:rPr>
          <w:rFonts w:ascii="Noto Sans" w:eastAsiaTheme="minorHAnsi" w:hAnsi="Noto Sans" w:cs="Noto Sans"/>
          <w:sz w:val="22"/>
        </w:rPr>
        <w:t>personalized</w:t>
      </w:r>
      <w:r w:rsidRPr="004574F3">
        <w:rPr>
          <w:rFonts w:ascii="Noto Sans" w:eastAsiaTheme="minorHAnsi" w:hAnsi="Noto Sans" w:cs="Noto Sans"/>
          <w:sz w:val="22"/>
        </w:rPr>
        <w:t xml:space="preserve"> experience, boosting relevance and engagement. For converters, embracing digital print to produce innovative corrugated packaging is not just an upgrade; </w:t>
      </w:r>
      <w:proofErr w:type="gramStart"/>
      <w:r w:rsidRPr="004574F3">
        <w:rPr>
          <w:rFonts w:ascii="Noto Sans" w:eastAsiaTheme="minorHAnsi" w:hAnsi="Noto Sans" w:cs="Noto Sans"/>
          <w:sz w:val="22"/>
        </w:rPr>
        <w:t>it’s</w:t>
      </w:r>
      <w:proofErr w:type="gramEnd"/>
      <w:r w:rsidRPr="004574F3">
        <w:rPr>
          <w:rFonts w:ascii="Noto Sans" w:eastAsiaTheme="minorHAnsi" w:hAnsi="Noto Sans" w:cs="Noto Sans"/>
          <w:sz w:val="22"/>
        </w:rPr>
        <w:t xml:space="preserve"> a strategic tool enabling the next level of consumer connection in a more sustainable and efficient process.</w:t>
      </w:r>
    </w:p>
    <w:p w14:paraId="37FB2294" w14:textId="77777777" w:rsidR="00233DF5" w:rsidRPr="004574F3" w:rsidRDefault="00233DF5" w:rsidP="00233DF5">
      <w:pPr>
        <w:autoSpaceDE w:val="0"/>
        <w:autoSpaceDN w:val="0"/>
        <w:adjustRightInd w:val="0"/>
        <w:spacing w:after="160" w:line="276" w:lineRule="auto"/>
        <w:rPr>
          <w:rFonts w:ascii="Noto Sans" w:eastAsiaTheme="minorHAnsi" w:hAnsi="Noto Sans" w:cs="Noto Sans"/>
          <w:b/>
          <w:bCs/>
          <w:sz w:val="22"/>
        </w:rPr>
      </w:pPr>
      <w:r w:rsidRPr="004574F3">
        <w:rPr>
          <w:rFonts w:ascii="Noto Sans" w:eastAsiaTheme="minorHAnsi" w:hAnsi="Noto Sans" w:cs="Noto Sans"/>
          <w:b/>
          <w:bCs/>
          <w:sz w:val="22"/>
        </w:rPr>
        <w:t>Conclusion</w:t>
      </w:r>
    </w:p>
    <w:p w14:paraId="386A5ADD" w14:textId="22A882DB"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 xml:space="preserve">In-store and at home, packaging is the silent salesperson – the first touchpoint that shapes consumer perception – and in an era of </w:t>
      </w:r>
      <w:r w:rsidR="004574F3" w:rsidRPr="004574F3">
        <w:rPr>
          <w:rFonts w:ascii="Noto Sans" w:eastAsiaTheme="minorHAnsi" w:hAnsi="Noto Sans" w:cs="Noto Sans"/>
          <w:sz w:val="22"/>
        </w:rPr>
        <w:t>personalization</w:t>
      </w:r>
      <w:r w:rsidRPr="004574F3">
        <w:rPr>
          <w:rFonts w:ascii="Noto Sans" w:eastAsiaTheme="minorHAnsi" w:hAnsi="Noto Sans" w:cs="Noto Sans"/>
          <w:sz w:val="22"/>
        </w:rPr>
        <w:t xml:space="preserve"> and speed, </w:t>
      </w:r>
      <w:proofErr w:type="gramStart"/>
      <w:r w:rsidRPr="004574F3">
        <w:rPr>
          <w:rFonts w:ascii="Noto Sans" w:eastAsiaTheme="minorHAnsi" w:hAnsi="Noto Sans" w:cs="Noto Sans"/>
          <w:sz w:val="22"/>
        </w:rPr>
        <w:t>it’s</w:t>
      </w:r>
      <w:proofErr w:type="gramEnd"/>
      <w:r w:rsidRPr="004574F3">
        <w:rPr>
          <w:rFonts w:ascii="Noto Sans" w:eastAsiaTheme="minorHAnsi" w:hAnsi="Noto Sans" w:cs="Noto Sans"/>
          <w:sz w:val="22"/>
        </w:rPr>
        <w:t xml:space="preserve"> about connecting when it matters most. </w:t>
      </w:r>
    </w:p>
    <w:p w14:paraId="632C949E" w14:textId="77777777" w:rsidR="00233DF5" w:rsidRPr="004574F3" w:rsidRDefault="00233DF5" w:rsidP="00233DF5">
      <w:pPr>
        <w:autoSpaceDE w:val="0"/>
        <w:autoSpaceDN w:val="0"/>
        <w:adjustRightInd w:val="0"/>
        <w:spacing w:after="160" w:line="276" w:lineRule="auto"/>
        <w:rPr>
          <w:rFonts w:ascii="Noto Sans" w:eastAsiaTheme="minorHAnsi" w:hAnsi="Noto Sans" w:cs="Noto Sans"/>
          <w:sz w:val="22"/>
        </w:rPr>
      </w:pPr>
      <w:r w:rsidRPr="004574F3">
        <w:rPr>
          <w:rFonts w:ascii="Noto Sans" w:eastAsiaTheme="minorHAnsi" w:hAnsi="Noto Sans" w:cs="Noto Sans"/>
          <w:sz w:val="22"/>
        </w:rPr>
        <w:t>Digital corrugated packaging print not only complements traditional analogue solutions but also unlocks new value for converters, giving brands the tools to accelerate shelf presence, stay relevant, react in real time to market dynamics, and facilitate consumer loyalty. In a world where speed and accuracy define success, digital’s role in enabling faster, more flexible, and more relevant packaging solutions is a powerful competitive advantage.</w:t>
      </w:r>
    </w:p>
    <w:p w14:paraId="404E646A" w14:textId="77777777" w:rsidR="00233DF5" w:rsidRPr="004574F3" w:rsidRDefault="00233DF5" w:rsidP="00233DF5">
      <w:pPr>
        <w:spacing w:after="160" w:line="259" w:lineRule="auto"/>
        <w:rPr>
          <w:rFonts w:ascii="Noto Sans" w:eastAsiaTheme="minorHAnsi" w:hAnsi="Noto Sans" w:cs="Noto Sans"/>
          <w:sz w:val="22"/>
        </w:rPr>
      </w:pPr>
      <w:r w:rsidRPr="004574F3">
        <w:rPr>
          <w:rFonts w:ascii="Noto Sans" w:eastAsiaTheme="minorHAnsi" w:hAnsi="Noto Sans" w:cs="Noto Sans"/>
          <w:sz w:val="22"/>
        </w:rPr>
        <w:lastRenderedPageBreak/>
        <w:t xml:space="preserve">By embracing digital corrugated packaging printing as a value-added service, converters can offer their brand partners more than speed – they can deliver measurable savings, reduced waste, and packaging that truly engages. </w:t>
      </w:r>
    </w:p>
    <w:p w14:paraId="1A6F0962" w14:textId="58A2CE5F" w:rsidR="00233DF5" w:rsidRPr="004574F3" w:rsidRDefault="00233DF5" w:rsidP="00233DF5">
      <w:pPr>
        <w:spacing w:after="160" w:line="259" w:lineRule="auto"/>
        <w:rPr>
          <w:rFonts w:ascii="Noto Sans" w:eastAsiaTheme="minorHAnsi" w:hAnsi="Noto Sans" w:cs="Noto Sans"/>
          <w:sz w:val="22"/>
        </w:rPr>
      </w:pPr>
      <w:r w:rsidRPr="004574F3">
        <w:rPr>
          <w:rFonts w:ascii="Noto Sans" w:eastAsiaTheme="minorHAnsi" w:hAnsi="Noto Sans" w:cs="Noto Sans"/>
          <w:sz w:val="22"/>
        </w:rPr>
        <w:t xml:space="preserve">To bring their interactive packaging ambitions to life, converters should look to a </w:t>
      </w:r>
      <w:hyperlink r:id="rId11" w:history="1">
        <w:r w:rsidRPr="004574F3">
          <w:rPr>
            <w:rFonts w:ascii="Noto Sans" w:eastAsiaTheme="minorHAnsi" w:hAnsi="Noto Sans" w:cs="Noto Sans"/>
            <w:color w:val="0000FF"/>
            <w:sz w:val="22"/>
            <w:u w:val="single"/>
          </w:rPr>
          <w:t>digital press partner</w:t>
        </w:r>
      </w:hyperlink>
      <w:r w:rsidRPr="004574F3">
        <w:rPr>
          <w:rFonts w:ascii="Noto Sans" w:eastAsiaTheme="minorHAnsi" w:hAnsi="Noto Sans" w:cs="Noto Sans"/>
          <w:sz w:val="22"/>
        </w:rPr>
        <w:t xml:space="preserve"> with proven expertise in advanced variable data printing – a partner who can help them elevate the consumer experience and stay ahead of the competition in a continuously evolving market.</w:t>
      </w:r>
    </w:p>
    <w:p w14:paraId="30C7A408" w14:textId="77777777" w:rsidR="00233DF5" w:rsidRPr="004574F3" w:rsidRDefault="00233DF5" w:rsidP="00233DF5">
      <w:pPr>
        <w:spacing w:after="160" w:line="259" w:lineRule="auto"/>
        <w:rPr>
          <w:rFonts w:ascii="Noto Sans" w:eastAsiaTheme="minorHAnsi" w:hAnsi="Noto Sans" w:cs="Noto Sans"/>
          <w:sz w:val="22"/>
        </w:rPr>
      </w:pPr>
      <w:r w:rsidRPr="004574F3">
        <w:rPr>
          <w:rFonts w:ascii="Noto Sans" w:eastAsiaTheme="minorHAnsi" w:hAnsi="Noto Sans" w:cs="Noto Sans"/>
          <w:sz w:val="22"/>
        </w:rPr>
        <w:t>ENDS</w:t>
      </w:r>
    </w:p>
    <w:p w14:paraId="512A86E4" w14:textId="74C1EEA5" w:rsidR="005524DB" w:rsidRPr="00AF742E" w:rsidRDefault="00B15DBB" w:rsidP="00B15DBB">
      <w:pPr>
        <w:spacing w:line="240" w:lineRule="auto"/>
        <w:rPr>
          <w:rFonts w:ascii="Noto Sans" w:eastAsia="Gill Sans" w:hAnsi="Noto Sans" w:cs="Noto Sans"/>
          <w:bCs/>
          <w:sz w:val="22"/>
        </w:rPr>
      </w:pPr>
      <w:r w:rsidRPr="004574F3">
        <w:rPr>
          <w:rFonts w:ascii="Noto Sans" w:eastAsia="Gill Sans" w:hAnsi="Noto Sans" w:cs="Noto Sans"/>
          <w:b/>
          <w:szCs w:val="18"/>
        </w:rPr>
        <w:br/>
      </w:r>
      <w:r w:rsidR="00240801" w:rsidRPr="004574F3">
        <w:rPr>
          <w:rFonts w:ascii="Noto Sans" w:eastAsia="Gill Sans" w:hAnsi="Noto Sans" w:cs="Noto Sans"/>
          <w:b/>
          <w:szCs w:val="18"/>
        </w:rPr>
        <w:t>Disclaimers</w:t>
      </w:r>
      <w:r w:rsidR="00240801" w:rsidRPr="004574F3">
        <w:rPr>
          <w:rFonts w:ascii="Noto Sans" w:eastAsia="Gill Sans" w:hAnsi="Noto Sans" w:cs="Noto Sans"/>
          <w:b/>
          <w:szCs w:val="18"/>
        </w:rPr>
        <w:br/>
      </w:r>
      <w:r w:rsidR="00240801" w:rsidRPr="004574F3">
        <w:rPr>
          <w:rFonts w:ascii="Noto Sans" w:eastAsia="Gill Sans" w:hAnsi="Noto Sans" w:cs="Noto Sans"/>
          <w:szCs w:val="18"/>
        </w:rPr>
        <w:br/>
      </w:r>
      <w:r w:rsidR="00240801" w:rsidRPr="004574F3">
        <w:rPr>
          <w:rFonts w:ascii="Noto Sans" w:hAnsi="Noto Sans" w:cs="Noto Sans"/>
          <w:b/>
          <w:bCs/>
          <w:szCs w:val="18"/>
        </w:rPr>
        <w:t>Inks</w:t>
      </w:r>
      <w:r w:rsidR="00240801" w:rsidRPr="004574F3">
        <w:rPr>
          <w:rFonts w:ascii="Noto Sans" w:hAnsi="Noto Sans" w:cs="Noto Sans"/>
          <w:szCs w:val="18"/>
        </w:rPr>
        <w:br/>
        <w:t xml:space="preserve">The information contained in this document </w:t>
      </w:r>
      <w:proofErr w:type="gramStart"/>
      <w:r w:rsidR="00240801" w:rsidRPr="004574F3">
        <w:rPr>
          <w:rFonts w:ascii="Noto Sans" w:hAnsi="Noto Sans" w:cs="Noto Sans"/>
          <w:szCs w:val="18"/>
        </w:rPr>
        <w:t>is not intended</w:t>
      </w:r>
      <w:proofErr w:type="gramEnd"/>
      <w:r w:rsidR="00240801" w:rsidRPr="004574F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4574F3">
        <w:rPr>
          <w:rFonts w:ascii="Noto Sans" w:hAnsi="Noto Sans" w:cs="Noto Sans"/>
          <w:szCs w:val="18"/>
        </w:rPr>
        <w:t>regards</w:t>
      </w:r>
      <w:proofErr w:type="gramEnd"/>
      <w:r w:rsidR="00240801" w:rsidRPr="004574F3">
        <w:rPr>
          <w:rFonts w:ascii="Noto Sans" w:hAnsi="Noto Sans" w:cs="Noto Sans"/>
          <w:szCs w:val="18"/>
        </w:rPr>
        <w:t xml:space="preserve"> to the suitability of any ink for your </w:t>
      </w:r>
      <w:proofErr w:type="gramStart"/>
      <w:r w:rsidR="00240801" w:rsidRPr="004574F3">
        <w:rPr>
          <w:rFonts w:ascii="Noto Sans" w:hAnsi="Noto Sans" w:cs="Noto Sans"/>
          <w:szCs w:val="18"/>
        </w:rPr>
        <w:t>particular application</w:t>
      </w:r>
      <w:proofErr w:type="gramEnd"/>
      <w:r w:rsidR="00240801" w:rsidRPr="004574F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4574F3">
        <w:rPr>
          <w:rFonts w:ascii="Noto Sans" w:hAnsi="Noto Sans" w:cs="Noto Sans"/>
          <w:szCs w:val="18"/>
        </w:rPr>
        <w:br/>
      </w:r>
      <w:r w:rsidR="00240801" w:rsidRPr="004574F3">
        <w:rPr>
          <w:rFonts w:ascii="Noto Sans" w:hAnsi="Noto Sans" w:cs="Noto Sans"/>
          <w:szCs w:val="18"/>
        </w:rPr>
        <w:br/>
      </w:r>
      <w:r w:rsidR="00240801" w:rsidRPr="004574F3">
        <w:rPr>
          <w:rFonts w:ascii="Noto Sans" w:hAnsi="Noto Sans" w:cs="Noto Sans"/>
          <w:b/>
          <w:bCs/>
          <w:szCs w:val="18"/>
        </w:rPr>
        <w:t>General</w:t>
      </w:r>
      <w:r w:rsidR="00240801" w:rsidRPr="004574F3">
        <w:rPr>
          <w:rFonts w:ascii="Noto Sans" w:hAnsi="Noto Sans" w:cs="Noto Sans"/>
          <w:szCs w:val="18"/>
        </w:rPr>
        <w:br/>
      </w:r>
      <w:r w:rsidR="003E7580" w:rsidRPr="004574F3">
        <w:rPr>
          <w:rFonts w:ascii="Noto Sans" w:hAnsi="Noto Sans" w:cs="Noto Sans"/>
          <w:szCs w:val="18"/>
        </w:rPr>
        <w:t xml:space="preserve">Information contained within this press release </w:t>
      </w:r>
      <w:proofErr w:type="gramStart"/>
      <w:r w:rsidR="003E7580" w:rsidRPr="004574F3">
        <w:rPr>
          <w:rFonts w:ascii="Noto Sans" w:hAnsi="Noto Sans" w:cs="Noto Sans"/>
          <w:szCs w:val="18"/>
        </w:rPr>
        <w:t>is considered to be</w:t>
      </w:r>
      <w:proofErr w:type="gramEnd"/>
      <w:r w:rsidR="003E7580" w:rsidRPr="004574F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4574F3">
        <w:rPr>
          <w:rFonts w:ascii="Noto Sans" w:hAnsi="Noto Sans" w:cs="Noto Sans"/>
          <w:szCs w:val="18"/>
        </w:rPr>
        <w:t xml:space="preserve">All </w:t>
      </w:r>
      <w:proofErr w:type="gramStart"/>
      <w:r w:rsidR="00240801" w:rsidRPr="004574F3">
        <w:rPr>
          <w:rFonts w:ascii="Noto Sans" w:hAnsi="Noto Sans" w:cs="Noto Sans"/>
          <w:szCs w:val="18"/>
        </w:rPr>
        <w:t>performance related</w:t>
      </w:r>
      <w:proofErr w:type="gramEnd"/>
      <w:r w:rsidR="00240801" w:rsidRPr="004574F3">
        <w:rPr>
          <w:rFonts w:ascii="Noto Sans" w:hAnsi="Noto Sans" w:cs="Noto Sans"/>
          <w:szCs w:val="18"/>
        </w:rPr>
        <w:t xml:space="preserve"> figures and claims quoted in this document </w:t>
      </w:r>
      <w:proofErr w:type="gramStart"/>
      <w:r w:rsidR="00240801" w:rsidRPr="004574F3">
        <w:rPr>
          <w:rFonts w:ascii="Noto Sans" w:hAnsi="Noto Sans" w:cs="Noto Sans"/>
          <w:szCs w:val="18"/>
        </w:rPr>
        <w:t>were obtained</w:t>
      </w:r>
      <w:proofErr w:type="gramEnd"/>
      <w:r w:rsidR="00240801" w:rsidRPr="004574F3">
        <w:rPr>
          <w:rFonts w:ascii="Noto Sans" w:hAnsi="Noto Sans" w:cs="Noto Sans"/>
          <w:szCs w:val="18"/>
        </w:rPr>
        <w:t xml:space="preserve"> under specific conditions and may only </w:t>
      </w:r>
      <w:proofErr w:type="gramStart"/>
      <w:r w:rsidR="00240801" w:rsidRPr="004574F3">
        <w:rPr>
          <w:rFonts w:ascii="Noto Sans" w:hAnsi="Noto Sans" w:cs="Noto Sans"/>
          <w:szCs w:val="18"/>
        </w:rPr>
        <w:t>be replicated</w:t>
      </w:r>
      <w:proofErr w:type="gramEnd"/>
      <w:r w:rsidR="00240801" w:rsidRPr="004574F3">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4574F3">
        <w:rPr>
          <w:rFonts w:ascii="Noto Sans" w:hAnsi="Noto Sans" w:cs="Noto Sans"/>
          <w:szCs w:val="18"/>
        </w:rPr>
        <w:br/>
      </w:r>
      <w:r w:rsidR="00240801" w:rsidRPr="004574F3">
        <w:rPr>
          <w:rFonts w:ascii="Noto Sans" w:hAnsi="Noto Sans" w:cs="Noto Sans"/>
          <w:szCs w:val="18"/>
        </w:rPr>
        <w:br/>
      </w:r>
      <w:r w:rsidR="00240801" w:rsidRPr="004574F3">
        <w:rPr>
          <w:rFonts w:ascii="Noto Sans" w:hAnsi="Noto Sans" w:cs="Noto Sans"/>
          <w:b/>
          <w:bCs/>
          <w:szCs w:val="18"/>
        </w:rPr>
        <w:t>Imagery</w:t>
      </w:r>
      <w:r w:rsidR="00240801" w:rsidRPr="004574F3">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4574F3">
        <w:rPr>
          <w:rFonts w:ascii="Noto Sans" w:hAnsi="Noto Sans" w:cs="Noto Sans"/>
          <w:szCs w:val="18"/>
        </w:rPr>
        <w:br/>
      </w:r>
      <w:r w:rsidR="00240801" w:rsidRPr="004574F3">
        <w:rPr>
          <w:rFonts w:ascii="Noto Sans" w:hAnsi="Noto Sans" w:cs="Noto Sans"/>
          <w:szCs w:val="18"/>
        </w:rPr>
        <w:br/>
      </w:r>
      <w:r w:rsidR="00240801" w:rsidRPr="004574F3">
        <w:rPr>
          <w:rFonts w:ascii="Noto Sans" w:hAnsi="Noto Sans" w:cs="Noto Sans"/>
          <w:b/>
          <w:bCs/>
          <w:szCs w:val="18"/>
        </w:rPr>
        <w:t>Videos</w:t>
      </w:r>
      <w:r w:rsidR="00240801" w:rsidRPr="004574F3">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4574F3">
        <w:rPr>
          <w:rFonts w:ascii="Noto Sans" w:hAnsi="Noto Sans" w:cs="Noto Sans"/>
          <w:szCs w:val="18"/>
        </w:rPr>
        <w:br/>
      </w:r>
      <w:r w:rsidR="00240801" w:rsidRPr="004574F3">
        <w:rPr>
          <w:rFonts w:ascii="Noto Sans" w:eastAsia="Gill Sans" w:hAnsi="Noto Sans" w:cs="Noto Sans"/>
          <w:szCs w:val="18"/>
        </w:rPr>
        <w:br/>
      </w:r>
      <w:bookmarkStart w:id="1" w:name="_Hlk61949672"/>
      <w:r w:rsidR="00240801" w:rsidRPr="004574F3">
        <w:rPr>
          <w:rFonts w:ascii="Noto Sans" w:eastAsia="Gill Sans" w:hAnsi="Noto Sans" w:cs="Noto Sans"/>
          <w:b/>
          <w:szCs w:val="18"/>
        </w:rPr>
        <w:t>Notes to Editors:</w:t>
      </w:r>
      <w:r w:rsidR="00240801" w:rsidRPr="004574F3">
        <w:rPr>
          <w:rFonts w:ascii="Noto Sans" w:eastAsia="Gill Sans" w:hAnsi="Noto Sans" w:cs="Noto Sans"/>
          <w:b/>
          <w:szCs w:val="18"/>
        </w:rPr>
        <w:br/>
      </w:r>
      <w:r w:rsidR="00240801" w:rsidRPr="004574F3">
        <w:rPr>
          <w:rFonts w:ascii="Noto Sans" w:eastAsia="Gill Sans" w:hAnsi="Noto Sans" w:cs="Noto Sans"/>
          <w:szCs w:val="18"/>
        </w:rPr>
        <w:br/>
      </w:r>
      <w:r w:rsidR="00240801" w:rsidRPr="004574F3">
        <w:rPr>
          <w:rFonts w:ascii="Noto Sans" w:eastAsia="Gill Sans" w:hAnsi="Noto Sans" w:cs="Noto Sans"/>
          <w:b/>
          <w:szCs w:val="18"/>
        </w:rPr>
        <w:t>About Domino</w:t>
      </w:r>
      <w:r w:rsidR="00240801" w:rsidRPr="004574F3">
        <w:rPr>
          <w:rFonts w:ascii="Noto Sans" w:eastAsia="Gill Sans" w:hAnsi="Noto Sans" w:cs="Noto Sans"/>
          <w:b/>
          <w:szCs w:val="18"/>
        </w:rPr>
        <w:br/>
      </w:r>
      <w:r w:rsidR="00240801" w:rsidRPr="004574F3">
        <w:rPr>
          <w:rFonts w:ascii="Noto Sans" w:eastAsia="Gill Sans" w:hAnsi="Noto Sans" w:cs="Noto Sans"/>
          <w:szCs w:val="18"/>
        </w:rPr>
        <w:br/>
        <w:t xml:space="preserve">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w:t>
      </w:r>
      <w:r w:rsidR="00240801" w:rsidRPr="004574F3">
        <w:rPr>
          <w:rFonts w:ascii="Noto Sans" w:eastAsia="Gill Sans" w:hAnsi="Noto Sans" w:cs="Noto Sans"/>
          <w:szCs w:val="18"/>
        </w:rPr>
        <w:lastRenderedPageBreak/>
        <w:t>a complete range of labelling, corrugated, and variable printing applications.</w:t>
      </w:r>
      <w:r w:rsidR="00240801" w:rsidRPr="004574F3">
        <w:rPr>
          <w:rFonts w:ascii="Noto Sans" w:eastAsia="Gill Sans" w:hAnsi="Noto Sans" w:cs="Noto Sans"/>
          <w:szCs w:val="18"/>
        </w:rPr>
        <w:br/>
      </w:r>
      <w:r w:rsidR="00240801" w:rsidRPr="004574F3">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4574F3">
        <w:rPr>
          <w:rFonts w:ascii="Noto Sans" w:eastAsia="Gill Sans" w:hAnsi="Noto Sans" w:cs="Noto Sans"/>
          <w:szCs w:val="18"/>
        </w:rPr>
        <w:br/>
      </w:r>
      <w:r w:rsidR="00240801" w:rsidRPr="004574F3">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4574F3">
        <w:rPr>
          <w:rFonts w:ascii="Noto Sans" w:eastAsia="Gill Sans" w:hAnsi="Noto Sans" w:cs="Noto Sans"/>
          <w:szCs w:val="18"/>
        </w:rPr>
        <w:t>are located in</w:t>
      </w:r>
      <w:proofErr w:type="gramEnd"/>
      <w:r w:rsidR="00240801" w:rsidRPr="004574F3">
        <w:rPr>
          <w:rFonts w:ascii="Noto Sans" w:eastAsia="Gill Sans" w:hAnsi="Noto Sans" w:cs="Noto Sans"/>
          <w:szCs w:val="18"/>
        </w:rPr>
        <w:t xml:space="preserve"> China, Germany, India, Sweden, Switzerland, UK, and the USA.</w:t>
      </w:r>
      <w:r w:rsidR="00240801" w:rsidRPr="004574F3">
        <w:rPr>
          <w:rFonts w:ascii="Noto Sans" w:eastAsia="Gill Sans" w:hAnsi="Noto Sans" w:cs="Noto Sans"/>
          <w:szCs w:val="18"/>
        </w:rPr>
        <w:br/>
      </w:r>
      <w:r w:rsidR="00240801" w:rsidRPr="004574F3">
        <w:rPr>
          <w:rFonts w:ascii="Noto Sans" w:eastAsia="Gill Sans" w:hAnsi="Noto Sans" w:cs="Noto Sans"/>
          <w:szCs w:val="18"/>
        </w:rPr>
        <w:br/>
        <w:t>Domino became an autonomous division within Brother Industries Ltd. on 11</w:t>
      </w:r>
      <w:r w:rsidR="00240801" w:rsidRPr="004574F3">
        <w:rPr>
          <w:rFonts w:ascii="Noto Sans" w:eastAsia="Gill Sans" w:hAnsi="Noto Sans" w:cs="Noto Sans"/>
          <w:szCs w:val="18"/>
          <w:vertAlign w:val="superscript"/>
        </w:rPr>
        <w:t>th</w:t>
      </w:r>
      <w:r w:rsidR="00240801" w:rsidRPr="004574F3">
        <w:rPr>
          <w:rFonts w:ascii="Noto Sans" w:eastAsia="Gill Sans" w:hAnsi="Noto Sans" w:cs="Noto Sans"/>
          <w:szCs w:val="18"/>
        </w:rPr>
        <w:t xml:space="preserve"> June 2015. </w:t>
      </w:r>
      <w:r w:rsidR="00240801" w:rsidRPr="004574F3">
        <w:rPr>
          <w:rFonts w:ascii="Noto Sans" w:eastAsia="Gill Sans" w:hAnsi="Noto Sans" w:cs="Noto Sans"/>
          <w:szCs w:val="18"/>
        </w:rPr>
        <w:br/>
      </w:r>
      <w:r w:rsidR="00240801" w:rsidRPr="004574F3">
        <w:rPr>
          <w:rFonts w:ascii="Noto Sans" w:eastAsia="Gill Sans" w:hAnsi="Noto Sans" w:cs="Noto Sans"/>
          <w:szCs w:val="18"/>
        </w:rPr>
        <w:br/>
        <w:t xml:space="preserve">For further information on Domino, please visit </w:t>
      </w:r>
      <w:hyperlink r:id="rId12">
        <w:r w:rsidR="00240801" w:rsidRPr="004574F3">
          <w:rPr>
            <w:rFonts w:ascii="Noto Sans" w:eastAsia="Gill Sans" w:hAnsi="Noto Sans" w:cs="Noto Sans"/>
            <w:szCs w:val="18"/>
            <w:u w:val="single"/>
          </w:rPr>
          <w:t>www.domino-printing.com</w:t>
        </w:r>
      </w:hyperlink>
      <w:r w:rsidR="00240801" w:rsidRPr="004574F3">
        <w:rPr>
          <w:rFonts w:ascii="Noto Sans" w:eastAsia="Gill Sans" w:hAnsi="Noto Sans" w:cs="Noto Sans"/>
          <w:szCs w:val="18"/>
        </w:rPr>
        <w:t xml:space="preserve"> </w:t>
      </w:r>
      <w:r w:rsidR="00240801" w:rsidRPr="004574F3">
        <w:rPr>
          <w:rFonts w:ascii="Noto Sans" w:eastAsia="Gill Sans" w:hAnsi="Noto Sans" w:cs="Noto Sans"/>
          <w:szCs w:val="18"/>
        </w:rPr>
        <w:br/>
      </w:r>
      <w:r w:rsidR="00240801" w:rsidRPr="004574F3">
        <w:rPr>
          <w:rFonts w:ascii="Noto Sans" w:eastAsia="Gill Sans" w:hAnsi="Noto Sans" w:cs="Noto Sans"/>
          <w:szCs w:val="18"/>
        </w:rPr>
        <w:br/>
      </w:r>
      <w:r w:rsidR="00240801" w:rsidRPr="004574F3">
        <w:rPr>
          <w:rFonts w:ascii="Noto Sans" w:eastAsia="Gill Sans" w:hAnsi="Noto Sans" w:cs="Noto Sans"/>
          <w:b/>
          <w:szCs w:val="18"/>
        </w:rPr>
        <w:t>For more information, please contact:</w:t>
      </w:r>
      <w:r w:rsidR="00240801" w:rsidRPr="004574F3">
        <w:rPr>
          <w:rFonts w:ascii="Noto Sans" w:eastAsia="Gill Sans" w:hAnsi="Noto Sans" w:cs="Noto Sans"/>
          <w:b/>
          <w:szCs w:val="18"/>
        </w:rPr>
        <w:br/>
      </w:r>
      <w:r w:rsidR="00240801" w:rsidRPr="004574F3">
        <w:rPr>
          <w:rFonts w:ascii="Noto Sans" w:eastAsia="Gill Sans" w:hAnsi="Noto Sans" w:cs="Noto Sans"/>
          <w:b/>
          <w:szCs w:val="18"/>
        </w:rPr>
        <w:br/>
      </w:r>
      <w:r w:rsidR="00240801" w:rsidRPr="004574F3">
        <w:rPr>
          <w:rFonts w:ascii="Noto Sans" w:hAnsi="Noto Sans" w:cs="Noto Sans"/>
          <w:szCs w:val="18"/>
        </w:rPr>
        <w:t>Kathrin Farr</w:t>
      </w:r>
      <w:r w:rsidR="00240801" w:rsidRPr="004574F3">
        <w:rPr>
          <w:rFonts w:ascii="Noto Sans" w:hAnsi="Noto Sans" w:cs="Noto Sans"/>
          <w:szCs w:val="18"/>
        </w:rPr>
        <w:br/>
        <w:t xml:space="preserve">Content Executive and Copywriter  </w:t>
      </w:r>
      <w:r w:rsidR="00240801" w:rsidRPr="004574F3">
        <w:rPr>
          <w:rFonts w:ascii="Noto Sans" w:hAnsi="Noto Sans" w:cs="Noto Sans"/>
          <w:szCs w:val="18"/>
        </w:rPr>
        <w:br/>
        <w:t>Domino Printing Sciences</w:t>
      </w:r>
      <w:r w:rsidR="00240801" w:rsidRPr="004574F3">
        <w:rPr>
          <w:rFonts w:ascii="Noto Sans" w:hAnsi="Noto Sans" w:cs="Noto Sans"/>
          <w:szCs w:val="18"/>
        </w:rPr>
        <w:br/>
        <w:t>Tel: +44 (0) 1954 782551</w:t>
      </w:r>
      <w:r w:rsidR="00240801" w:rsidRPr="004574F3">
        <w:rPr>
          <w:rFonts w:ascii="Noto Sans" w:hAnsi="Noto Sans" w:cs="Noto Sans"/>
          <w:szCs w:val="18"/>
        </w:rPr>
        <w:br/>
      </w:r>
      <w:hyperlink r:id="rId13" w:history="1">
        <w:r w:rsidR="00240801" w:rsidRPr="004574F3">
          <w:rPr>
            <w:rStyle w:val="Hyperlink"/>
            <w:rFonts w:ascii="Noto Sans" w:hAnsi="Noto Sans" w:cs="Noto Sans"/>
            <w:szCs w:val="18"/>
          </w:rPr>
          <w:t>Kathrin.Farr@domino-uk.com</w:t>
        </w:r>
      </w:hyperlink>
      <w:r w:rsidR="00240801" w:rsidRPr="004574F3">
        <w:rPr>
          <w:rFonts w:ascii="Noto Sans" w:hAnsi="Noto Sans" w:cs="Noto Sans"/>
          <w:szCs w:val="18"/>
        </w:rPr>
        <w:t xml:space="preserve"> </w:t>
      </w:r>
      <w:r w:rsidR="00240801" w:rsidRPr="004574F3">
        <w:rPr>
          <w:rFonts w:ascii="Noto Sans" w:hAnsi="Noto Sans" w:cs="Noto Sans"/>
          <w:szCs w:val="18"/>
        </w:rPr>
        <w:br/>
      </w:r>
      <w:bookmarkEnd w:id="0"/>
      <w:bookmarkEnd w:id="1"/>
      <w:r w:rsidR="00240801" w:rsidRPr="004574F3">
        <w:rPr>
          <w:rFonts w:ascii="Noto Sans" w:hAnsi="Noto Sans" w:cs="Noto Sans"/>
          <w:szCs w:val="18"/>
        </w:rPr>
        <w:br/>
      </w:r>
      <w:r w:rsidR="00F67E02" w:rsidRPr="004574F3">
        <w:rPr>
          <w:rFonts w:ascii="Noto Sans" w:hAnsi="Noto Sans" w:cs="Noto Sans"/>
          <w:szCs w:val="18"/>
        </w:rPr>
        <w:t xml:space="preserve">Alex Challinor </w:t>
      </w:r>
      <w:r w:rsidR="00F67E02" w:rsidRPr="004574F3">
        <w:rPr>
          <w:rFonts w:ascii="Noto Sans" w:hAnsi="Noto Sans" w:cs="Noto Sans"/>
          <w:szCs w:val="18"/>
        </w:rPr>
        <w:br/>
        <w:t xml:space="preserve">PR and Content Manager </w:t>
      </w:r>
      <w:r w:rsidR="00F67E02" w:rsidRPr="004574F3">
        <w:rPr>
          <w:rFonts w:ascii="Noto Sans" w:hAnsi="Noto Sans" w:cs="Noto Sans"/>
          <w:szCs w:val="18"/>
        </w:rPr>
        <w:br/>
        <w:t xml:space="preserve">Domino Printing Sciences </w:t>
      </w:r>
      <w:r w:rsidR="00F67E02" w:rsidRPr="004574F3">
        <w:rPr>
          <w:rFonts w:ascii="Noto Sans" w:hAnsi="Noto Sans" w:cs="Noto Sans"/>
          <w:szCs w:val="18"/>
        </w:rPr>
        <w:br/>
        <w:t xml:space="preserve">Tel. : +44 (0) </w:t>
      </w:r>
      <w:hyperlink r:id="rId14" w:history="1">
        <w:r w:rsidR="00F67E02" w:rsidRPr="004574F3">
          <w:rPr>
            <w:rFonts w:ascii="Noto Sans" w:hAnsi="Noto Sans" w:cs="Noto Sans"/>
            <w:szCs w:val="18"/>
          </w:rPr>
          <w:t>1954 782 551</w:t>
        </w:r>
      </w:hyperlink>
      <w:r w:rsidR="00F67E02" w:rsidRPr="004574F3">
        <w:rPr>
          <w:rFonts w:ascii="Noto Sans" w:hAnsi="Noto Sans" w:cs="Noto Sans"/>
          <w:szCs w:val="18"/>
        </w:rPr>
        <w:br/>
      </w:r>
      <w:hyperlink r:id="rId15" w:history="1">
        <w:r w:rsidR="00F67E02" w:rsidRPr="004574F3">
          <w:rPr>
            <w:rStyle w:val="Hyperlink"/>
            <w:rFonts w:ascii="Noto Sans" w:hAnsi="Noto Sans" w:cs="Noto Sans"/>
            <w:szCs w:val="18"/>
          </w:rPr>
          <w:t>Alex.Challinor@domino-uk.com</w:t>
        </w:r>
      </w:hyperlink>
      <w:r w:rsidR="00F67E02" w:rsidRPr="004574F3">
        <w:rPr>
          <w:rFonts w:ascii="Noto Sans" w:hAnsi="Noto Sans" w:cs="Noto Sans"/>
          <w:szCs w:val="18"/>
        </w:rPr>
        <w:t xml:space="preserve"> </w:t>
      </w:r>
      <w:r w:rsidR="00F67E02" w:rsidRPr="004574F3">
        <w:rPr>
          <w:rFonts w:ascii="Noto Sans" w:hAnsi="Noto Sans" w:cs="Noto Sans"/>
          <w:szCs w:val="18"/>
        </w:rPr>
        <w:br/>
      </w:r>
    </w:p>
    <w:sectPr w:rsidR="005524DB" w:rsidRPr="00AF742E" w:rsidSect="000F6D0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4574F3" w:rsidRDefault="00F67E02" w:rsidP="00785717">
      <w:pPr>
        <w:spacing w:line="240" w:lineRule="auto"/>
      </w:pPr>
      <w:r w:rsidRPr="004574F3">
        <w:separator/>
      </w:r>
    </w:p>
  </w:endnote>
  <w:endnote w:type="continuationSeparator" w:id="0">
    <w:p w14:paraId="1CAA8BC0" w14:textId="77777777" w:rsidR="00F67E02" w:rsidRPr="004574F3" w:rsidRDefault="00F67E02" w:rsidP="00785717">
      <w:pPr>
        <w:spacing w:line="240" w:lineRule="auto"/>
      </w:pPr>
      <w:r w:rsidRPr="004574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4574F3"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4574F3" w:rsidRDefault="000F6D00" w:rsidP="00785717">
    <w:pPr>
      <w:pStyle w:val="Footer"/>
    </w:pPr>
    <w:r w:rsidRPr="004574F3">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4574F3">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4574F3"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4574F3" w:rsidRDefault="00F67E02" w:rsidP="00785717">
      <w:pPr>
        <w:spacing w:line="240" w:lineRule="auto"/>
      </w:pPr>
      <w:r w:rsidRPr="004574F3">
        <w:separator/>
      </w:r>
    </w:p>
  </w:footnote>
  <w:footnote w:type="continuationSeparator" w:id="0">
    <w:p w14:paraId="668D0CF5" w14:textId="77777777" w:rsidR="00F67E02" w:rsidRPr="004574F3" w:rsidRDefault="00F67E02" w:rsidP="00785717">
      <w:pPr>
        <w:spacing w:line="240" w:lineRule="auto"/>
      </w:pPr>
      <w:r w:rsidRPr="004574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4574F3"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4574F3" w:rsidRDefault="002766D9">
    <w:pPr>
      <w:pStyle w:val="Header"/>
    </w:pPr>
    <w:r w:rsidRPr="004574F3">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4574F3"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33DF5"/>
    <w:rsid w:val="00240801"/>
    <w:rsid w:val="002766D9"/>
    <w:rsid w:val="00355501"/>
    <w:rsid w:val="00372E92"/>
    <w:rsid w:val="003810AA"/>
    <w:rsid w:val="003E7580"/>
    <w:rsid w:val="004574F3"/>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AF742E"/>
    <w:rsid w:val="00B15DBB"/>
    <w:rsid w:val="00B23C3C"/>
    <w:rsid w:val="00B546C5"/>
    <w:rsid w:val="00BC7C15"/>
    <w:rsid w:val="00C063FE"/>
    <w:rsid w:val="00C44603"/>
    <w:rsid w:val="00C541FE"/>
    <w:rsid w:val="00CF1AD5"/>
    <w:rsid w:val="00D66674"/>
    <w:rsid w:val="00DA7C4A"/>
    <w:rsid w:val="00DE1F9A"/>
    <w:rsid w:val="00E03029"/>
    <w:rsid w:val="00EC1C5A"/>
    <w:rsid w:val="00F67E02"/>
    <w:rsid w:val="00F82F7D"/>
    <w:rsid w:val="00FE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A5F88"/>
  <w15:chartTrackingRefBased/>
  <w15:docId w15:val="{D8C5A001-7F01-408B-A782-974C56BD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industries/consumer-packaged-goods/our-insights/state-of-consumer" TargetMode="External"/><Relationship Id="rId13" Type="http://schemas.openxmlformats.org/officeDocument/2006/relationships/hyperlink" Target="mailto:Kathrin.Farr@domino-uk.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dhl.com/discover/en-in/logistics-advice/logistics-insights/the-benefits-of-cardboard-and-corrugated-boxes-for-packaging" TargetMode="External"/><Relationship Id="rId12" Type="http://schemas.openxmlformats.org/officeDocument/2006/relationships/hyperlink" Target="http://www.domino-printing.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smithers.com/resources/2019/jan/trends-changing-the-corrugated-packaging-market" TargetMode="External"/><Relationship Id="rId11" Type="http://schemas.openxmlformats.org/officeDocument/2006/relationships/hyperlink" Target="https://www.domino-printing.com/en/?utm_medium=non-paid&amp;utm_source=onlinepublication&amp;utm_content=tl-speed-to-shelf&amp;utm_campaign=2025-int-en-Global-PR-DP-FY25-Q3" TargetMode="External"/><Relationship Id="rId5" Type="http://schemas.openxmlformats.org/officeDocument/2006/relationships/endnotes" Target="endnotes.xml"/><Relationship Id="rId15" Type="http://schemas.openxmlformats.org/officeDocument/2006/relationships/hyperlink" Target="mailto:Alex.Challinor@domino-uk.com" TargetMode="External"/><Relationship Id="rId23" Type="http://schemas.openxmlformats.org/officeDocument/2006/relationships/theme" Target="theme/theme1.xml"/><Relationship Id="rId10" Type="http://schemas.openxmlformats.org/officeDocument/2006/relationships/hyperlink" Target="https://www.merkle.com/en/merkle-now/ebooks/2025/connected-experiences-research-report-2025.html"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omino-printing.com/en/blog/2024/connected-packaging-and-consumer-engagement?utm_medium=non-paid&amp;utm_source=onlinepublication&amp;utm_content=tl-speed-to-shelf&amp;utm_campaign=2025-int-en-Global-PR-DP-FY25-Q3" TargetMode="External"/><Relationship Id="rId14" Type="http://schemas.openxmlformats.org/officeDocument/2006/relationships/hyperlink" Target="tel:+44%20(0)1954%20782%20551"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1557</Words>
  <Characters>9488</Characters>
  <Application>Microsoft Office Word</Application>
  <DocSecurity>0</DocSecurity>
  <Lines>171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2025-10-02T14:18:00Z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0c006525-56cc-41d3-99d5-06e28fc87be0</vt:lpwstr>
  </property>
</Properties>
</file>