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99DB" w14:textId="77777777" w:rsidR="00CB32AD" w:rsidRPr="00CB32AD" w:rsidRDefault="00CB32AD" w:rsidP="00CB32AD">
      <w:pPr>
        <w:spacing w:before="120" w:after="12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9F040D8" w14:textId="77777777" w:rsidR="00CB32AD" w:rsidRPr="00CB32AD" w:rsidRDefault="00CB32AD" w:rsidP="00CB32AD">
      <w:pPr>
        <w:spacing w:before="120" w:after="12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B32AD">
        <w:rPr>
          <w:rFonts w:ascii="Calibri" w:eastAsia="Calibri" w:hAnsi="Calibri" w:cs="Calibri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DCC23DE" wp14:editId="5B88CF6B">
            <wp:simplePos x="0" y="0"/>
            <wp:positionH relativeFrom="margin">
              <wp:posOffset>2736850</wp:posOffset>
            </wp:positionH>
            <wp:positionV relativeFrom="paragraph">
              <wp:posOffset>-573405</wp:posOffset>
            </wp:positionV>
            <wp:extent cx="3124361" cy="1124008"/>
            <wp:effectExtent l="0" t="0" r="0" b="0"/>
            <wp:wrapNone/>
            <wp:docPr id="2133038123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123" name="Obraz 1" descr="Obraz zawierający tekst, Czcionka, zrzut ekranu, Jaskrawoniebieski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61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499F3" w14:textId="77777777" w:rsidR="00CB32AD" w:rsidRPr="00CB32AD" w:rsidRDefault="00CB32AD" w:rsidP="00CB32AD">
      <w:pPr>
        <w:spacing w:before="120" w:after="12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2C2E64F" w14:textId="77777777" w:rsidR="00CB32AD" w:rsidRPr="00CB32AD" w:rsidRDefault="00CB32AD" w:rsidP="00CB32AD">
      <w:pPr>
        <w:spacing w:before="120" w:after="12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A0A0ED0" w14:textId="77777777" w:rsidR="00CB32AD" w:rsidRPr="00CB32AD" w:rsidRDefault="00CB32AD" w:rsidP="00CB32AD">
      <w:pPr>
        <w:spacing w:before="120" w:after="12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B32AD">
        <w:rPr>
          <w:rFonts w:ascii="Calibri" w:eastAsia="Calibri" w:hAnsi="Calibri" w:cs="Calibri"/>
          <w:kern w:val="0"/>
          <w:sz w:val="24"/>
          <w:szCs w:val="24"/>
          <w14:ligatures w14:val="none"/>
        </w:rPr>
        <w:t>Kontakt dla mediów:                                                                                            Informacja prasowa</w:t>
      </w:r>
    </w:p>
    <w:p w14:paraId="3EE6F830" w14:textId="76145BE9" w:rsidR="00CB32AD" w:rsidRPr="00CB32AD" w:rsidRDefault="00CB32AD" w:rsidP="00CB32AD">
      <w:pPr>
        <w:spacing w:before="120" w:after="12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B32A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e-mail: </w:t>
      </w:r>
      <w:hyperlink r:id="rId5">
        <w:r w:rsidRPr="00CB32AD">
          <w:rPr>
            <w:rFonts w:ascii="Calibri" w:eastAsia="Calibri" w:hAnsi="Calibri" w:cs="Calibri"/>
            <w:color w:val="0563C1"/>
            <w:kern w:val="0"/>
            <w:sz w:val="24"/>
            <w:szCs w:val="24"/>
            <w:u w:val="single"/>
            <w14:ligatures w14:val="none"/>
          </w:rPr>
          <w:t>media@parp.gov.pl</w:t>
        </w:r>
      </w:hyperlink>
      <w:r w:rsidRPr="00CB32A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                                     Warszawa, </w:t>
      </w:r>
      <w:r w:rsidR="00214BD4">
        <w:rPr>
          <w:rFonts w:ascii="Calibri" w:eastAsia="Calibri" w:hAnsi="Calibri" w:cs="Calibri"/>
          <w:kern w:val="0"/>
          <w:sz w:val="24"/>
          <w:szCs w:val="24"/>
          <w14:ligatures w14:val="none"/>
        </w:rPr>
        <w:t>02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.10</w:t>
      </w:r>
      <w:r w:rsidRPr="00CB32AD">
        <w:rPr>
          <w:rFonts w:ascii="Calibri" w:eastAsia="Calibri" w:hAnsi="Calibri" w:cs="Calibri"/>
          <w:kern w:val="0"/>
          <w:sz w:val="24"/>
          <w:szCs w:val="24"/>
          <w14:ligatures w14:val="none"/>
        </w:rPr>
        <w:t>.2025 r.</w:t>
      </w:r>
    </w:p>
    <w:p w14:paraId="2512732F" w14:textId="77777777" w:rsidR="00CB32AD" w:rsidRDefault="00CB32AD" w:rsidP="00750765">
      <w:pPr>
        <w:spacing w:line="276" w:lineRule="auto"/>
        <w:rPr>
          <w:rFonts w:ascii="Calibri" w:hAnsi="Calibri" w:cs="Calibri"/>
          <w:b/>
          <w:bCs/>
          <w:sz w:val="36"/>
          <w:szCs w:val="36"/>
        </w:rPr>
      </w:pPr>
    </w:p>
    <w:p w14:paraId="1988E58D" w14:textId="19747E00" w:rsidR="00427F87" w:rsidRPr="00750765" w:rsidRDefault="00750765" w:rsidP="00214BD4">
      <w:pPr>
        <w:pStyle w:val="Nagwek1"/>
        <w:spacing w:before="120" w:after="120" w:line="276" w:lineRule="auto"/>
        <w:rPr>
          <w:b w:val="0"/>
        </w:rPr>
      </w:pPr>
      <w:r w:rsidRPr="00750765">
        <w:t>Wsparcie na internacjonalizację. 100 mln zł w nowym naborze „Promocja marki innowacyjnych MŚP”</w:t>
      </w:r>
    </w:p>
    <w:p w14:paraId="646A95C0" w14:textId="0D797C8B" w:rsidR="00750765" w:rsidRPr="00750765" w:rsidRDefault="00750765" w:rsidP="00214BD4">
      <w:pPr>
        <w:spacing w:before="12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750765">
        <w:rPr>
          <w:rFonts w:ascii="Calibri" w:hAnsi="Calibri" w:cs="Calibri"/>
          <w:b/>
          <w:bCs/>
          <w:sz w:val="24"/>
          <w:szCs w:val="24"/>
        </w:rPr>
        <w:t>Polska Agencja Rozwoju Przedsiębiorczości (PARP) ogłasza nabór w konkursie „Promocja marki innowacyjnych MŚP” w ramach Fundusz</w:t>
      </w:r>
      <w:r>
        <w:rPr>
          <w:rFonts w:ascii="Calibri" w:hAnsi="Calibri" w:cs="Calibri"/>
          <w:b/>
          <w:bCs/>
          <w:sz w:val="24"/>
          <w:szCs w:val="24"/>
        </w:rPr>
        <w:t>y</w:t>
      </w:r>
      <w:r w:rsidRPr="00750765">
        <w:rPr>
          <w:rFonts w:ascii="Calibri" w:hAnsi="Calibri" w:cs="Calibri"/>
          <w:b/>
          <w:bCs/>
          <w:sz w:val="24"/>
          <w:szCs w:val="24"/>
        </w:rPr>
        <w:t xml:space="preserve"> Europejski</w:t>
      </w:r>
      <w:r>
        <w:rPr>
          <w:rFonts w:ascii="Calibri" w:hAnsi="Calibri" w:cs="Calibri"/>
          <w:b/>
          <w:bCs/>
          <w:sz w:val="24"/>
          <w:szCs w:val="24"/>
        </w:rPr>
        <w:t>ch</w:t>
      </w:r>
      <w:r w:rsidRPr="00750765">
        <w:rPr>
          <w:rFonts w:ascii="Calibri" w:hAnsi="Calibri" w:cs="Calibri"/>
          <w:b/>
          <w:bCs/>
          <w:sz w:val="24"/>
          <w:szCs w:val="24"/>
        </w:rPr>
        <w:t xml:space="preserve"> dla Nowoczesnej Gospodarki. Do rozdysponowania jest 100 mln zł na wsparcie przedsiębiorstw planujących ekspansję zagraniczną. Wnioski można składać od 5 listopada 2025 r. do 8 stycznia 2026 r.</w:t>
      </w:r>
    </w:p>
    <w:p w14:paraId="763DAB14" w14:textId="31E0C412" w:rsidR="00750765" w:rsidRP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t xml:space="preserve">Z najnowszego </w:t>
      </w:r>
      <w:r>
        <w:rPr>
          <w:rFonts w:ascii="Calibri" w:hAnsi="Calibri" w:cs="Calibri"/>
          <w:sz w:val="24"/>
          <w:szCs w:val="24"/>
        </w:rPr>
        <w:t>„</w:t>
      </w:r>
      <w:r w:rsidRPr="00750765">
        <w:rPr>
          <w:rFonts w:ascii="Calibri" w:hAnsi="Calibri" w:cs="Calibri"/>
          <w:sz w:val="24"/>
          <w:szCs w:val="24"/>
        </w:rPr>
        <w:t>Raportu o stanie sektora MŚP w Polsce</w:t>
      </w:r>
      <w:r>
        <w:rPr>
          <w:rFonts w:ascii="Calibri" w:hAnsi="Calibri" w:cs="Calibri"/>
          <w:sz w:val="24"/>
          <w:szCs w:val="24"/>
        </w:rPr>
        <w:t>”</w:t>
      </w:r>
      <w:r w:rsidRPr="00750765">
        <w:rPr>
          <w:rFonts w:ascii="Calibri" w:hAnsi="Calibri" w:cs="Calibri"/>
          <w:sz w:val="24"/>
          <w:szCs w:val="24"/>
        </w:rPr>
        <w:t xml:space="preserve"> wynika, że mikro, małe i średnie firmy odpowiadają za 46,6 proc. PKB i zatrudniają ponad 6,9 mln osób. </w:t>
      </w:r>
      <w:r>
        <w:rPr>
          <w:rFonts w:ascii="Calibri" w:hAnsi="Calibri" w:cs="Calibri"/>
          <w:sz w:val="24"/>
          <w:szCs w:val="24"/>
        </w:rPr>
        <w:t>M</w:t>
      </w:r>
      <w:r w:rsidRPr="00750765">
        <w:rPr>
          <w:rFonts w:ascii="Calibri" w:hAnsi="Calibri" w:cs="Calibri"/>
          <w:sz w:val="24"/>
          <w:szCs w:val="24"/>
        </w:rPr>
        <w:t xml:space="preserve">ikroprzedsiębiorstwa stanowią aż 97,2 proc. wszystkich firm w Polsce. Choć sektor odgrywa kluczową rolę w rozwoju kraju, jego obecność na rynkach międzynarodowych wciąż jest ograniczona </w:t>
      </w:r>
      <w:r>
        <w:rPr>
          <w:rFonts w:ascii="Calibri" w:hAnsi="Calibri" w:cs="Calibri"/>
          <w:sz w:val="24"/>
          <w:szCs w:val="24"/>
        </w:rPr>
        <w:t>-</w:t>
      </w:r>
      <w:r w:rsidRPr="00750765">
        <w:rPr>
          <w:rFonts w:ascii="Calibri" w:hAnsi="Calibri" w:cs="Calibri"/>
          <w:sz w:val="24"/>
          <w:szCs w:val="24"/>
        </w:rPr>
        <w:t xml:space="preserve"> tylko ok. 5 proc. przedsiębiorstw sprzedaje swoje produkty za granicę, a zaledwie 1 proc. świadczy usługi eksportowe.</w:t>
      </w:r>
    </w:p>
    <w:p w14:paraId="3FD7D158" w14:textId="50F675E7" w:rsidR="00750765" w:rsidRP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t>Polskie firmy mają ogromny potencjał, by konkurować na globalnej scenie. Rolą PARP jest stworzenie im warunków, które pozwolą skutecznie rozwijać ekspansję zagraniczną</w:t>
      </w:r>
      <w:r>
        <w:rPr>
          <w:rFonts w:ascii="Calibri" w:hAnsi="Calibri" w:cs="Calibri"/>
          <w:sz w:val="24"/>
          <w:szCs w:val="24"/>
        </w:rPr>
        <w:t xml:space="preserve">, </w:t>
      </w:r>
      <w:r w:rsidRPr="00750765">
        <w:rPr>
          <w:rFonts w:ascii="Calibri" w:hAnsi="Calibri" w:cs="Calibri"/>
          <w:sz w:val="24"/>
          <w:szCs w:val="24"/>
        </w:rPr>
        <w:t>od wsparcia finansowego, przez doradztwo, po narzędzia promocji. Dzięki funduszom unijnym przedsiębiorcy mogą nie tylko zwiększać sprzedaż, lecz także budować trwałe i rozpoznawalne marki, które wzmacniają pozycję Polski jako gospodarki innowacyjnej</w:t>
      </w:r>
      <w:r w:rsidR="00214BD4">
        <w:rPr>
          <w:rFonts w:ascii="Calibri" w:hAnsi="Calibri" w:cs="Calibri"/>
          <w:sz w:val="24"/>
          <w:szCs w:val="24"/>
        </w:rPr>
        <w:t>.</w:t>
      </w:r>
    </w:p>
    <w:p w14:paraId="5D43A7B8" w14:textId="77777777" w:rsidR="00750765" w:rsidRPr="00750765" w:rsidRDefault="00750765" w:rsidP="00214BD4">
      <w:pPr>
        <w:pStyle w:val="Nagwek2"/>
        <w:spacing w:before="120" w:after="120" w:line="276" w:lineRule="auto"/>
        <w:rPr>
          <w:b w:val="0"/>
        </w:rPr>
      </w:pPr>
      <w:r w:rsidRPr="00750765">
        <w:t>Wzmocnienie pozycji polskich marek na świecie</w:t>
      </w:r>
    </w:p>
    <w:p w14:paraId="40C2A9AA" w14:textId="677EDE84" w:rsidR="00750765" w:rsidRP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t xml:space="preserve">Program ma na celu zwiększenie rozpoznawalności innowacyjnych polskich firm na rynkach międzynarodowych. Dofinansowanie mogą otrzymać projekty obejmujące udział w targach w charakterze wystawcy – </w:t>
      </w:r>
      <w:r w:rsidR="00982AFA">
        <w:rPr>
          <w:rFonts w:ascii="Calibri" w:hAnsi="Calibri" w:cs="Calibri"/>
          <w:sz w:val="24"/>
          <w:szCs w:val="24"/>
        </w:rPr>
        <w:t xml:space="preserve">obowiązkowo w co najmniej jednych </w:t>
      </w:r>
      <w:r w:rsidR="00982AFA" w:rsidRPr="001A2274">
        <w:rPr>
          <w:rFonts w:ascii="Calibri" w:hAnsi="Calibri" w:cs="Calibri"/>
          <w:sz w:val="24"/>
          <w:szCs w:val="24"/>
        </w:rPr>
        <w:t>targach ujętych na liście wydarzeń, na których będę organizowane stoiska narodowe dla danego sektora, dostępnej na stronie internetowej Ministerstwa Rozwoju i Technologii (</w:t>
      </w:r>
      <w:hyperlink r:id="rId6" w:history="1">
        <w:r w:rsidR="00982AFA" w:rsidRPr="001A2274">
          <w:rPr>
            <w:rStyle w:val="Hipercze"/>
            <w:rFonts w:ascii="Calibri" w:hAnsi="Calibri" w:cs="Calibri"/>
            <w:sz w:val="24"/>
            <w:szCs w:val="24"/>
          </w:rPr>
          <w:t>https://www.gov.pl/web/rozwoj-technologia/promocja-eksportu</w:t>
        </w:r>
      </w:hyperlink>
      <w:r w:rsidR="00982AFA" w:rsidRPr="001A2274">
        <w:rPr>
          <w:rFonts w:ascii="Calibri" w:hAnsi="Calibri" w:cs="Calibri"/>
          <w:sz w:val="24"/>
          <w:szCs w:val="24"/>
        </w:rPr>
        <w:t>)</w:t>
      </w:r>
      <w:r w:rsidRPr="00750765">
        <w:rPr>
          <w:rFonts w:ascii="Calibri" w:hAnsi="Calibri" w:cs="Calibri"/>
          <w:sz w:val="24"/>
          <w:szCs w:val="24"/>
        </w:rPr>
        <w:t xml:space="preserve">, </w:t>
      </w:r>
      <w:r w:rsidR="00743C87">
        <w:rPr>
          <w:rFonts w:ascii="Calibri" w:hAnsi="Calibri" w:cs="Calibri"/>
          <w:sz w:val="24"/>
          <w:szCs w:val="24"/>
        </w:rPr>
        <w:t>ale również</w:t>
      </w:r>
      <w:r w:rsidRPr="00750765">
        <w:rPr>
          <w:rFonts w:ascii="Calibri" w:hAnsi="Calibri" w:cs="Calibri"/>
          <w:sz w:val="24"/>
          <w:szCs w:val="24"/>
        </w:rPr>
        <w:t xml:space="preserve"> na innych wybranych </w:t>
      </w:r>
      <w:r w:rsidR="00743C87">
        <w:rPr>
          <w:rFonts w:ascii="Calibri" w:hAnsi="Calibri" w:cs="Calibri"/>
          <w:sz w:val="24"/>
          <w:szCs w:val="24"/>
        </w:rPr>
        <w:t xml:space="preserve">przez siebie </w:t>
      </w:r>
      <w:r w:rsidRPr="00750765">
        <w:rPr>
          <w:rFonts w:ascii="Calibri" w:hAnsi="Calibri" w:cs="Calibri"/>
          <w:sz w:val="24"/>
          <w:szCs w:val="24"/>
        </w:rPr>
        <w:t>wydarzeniach branżowych. Wsparciem objęte są również wyjazdowe misje gospodarcze połączone ze spotkaniami z kontrahentami</w:t>
      </w:r>
      <w:r w:rsidR="00091BA4">
        <w:rPr>
          <w:rFonts w:ascii="Calibri" w:hAnsi="Calibri" w:cs="Calibri"/>
          <w:sz w:val="24"/>
          <w:szCs w:val="24"/>
        </w:rPr>
        <w:t xml:space="preserve"> oraz udziałem w wydarzeniach targowych w charakterze zwiedzającego</w:t>
      </w:r>
      <w:r w:rsidRPr="00750765">
        <w:rPr>
          <w:rFonts w:ascii="Calibri" w:hAnsi="Calibri" w:cs="Calibri"/>
          <w:sz w:val="24"/>
          <w:szCs w:val="24"/>
        </w:rPr>
        <w:t>.</w:t>
      </w:r>
      <w:r w:rsidR="00B863C9" w:rsidRPr="00750765" w:rsidDel="00B863C9">
        <w:rPr>
          <w:rFonts w:ascii="Calibri" w:hAnsi="Calibri" w:cs="Calibri"/>
          <w:sz w:val="24"/>
          <w:szCs w:val="24"/>
        </w:rPr>
        <w:t xml:space="preserve"> </w:t>
      </w:r>
    </w:p>
    <w:p w14:paraId="1B867450" w14:textId="7CBD1A5D" w:rsidR="00214BD4" w:rsidRP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lastRenderedPageBreak/>
        <w:t>Wsparcie skierowane jest do mikro, małych i średnich przedsiębiorstw prowadzących działalność gospodarczą w Polsce. Program obejmuje kluczowe sektory polskiej gospodarki, m.in. medyczny i farmaceutyczny, zielonych technologii, IT/ICT, przemysł kreatywny, kosmetyczny, maszynowy, meblarski, motoryzacyjny, lotniczo-kosmiczny oraz spożywczy.</w:t>
      </w:r>
    </w:p>
    <w:p w14:paraId="0FFEAD51" w14:textId="77777777" w:rsidR="00750765" w:rsidRPr="00750765" w:rsidRDefault="00750765" w:rsidP="00214BD4">
      <w:pPr>
        <w:pStyle w:val="Nagwek2"/>
        <w:spacing w:before="120" w:after="120" w:line="276" w:lineRule="auto"/>
      </w:pPr>
      <w:r w:rsidRPr="00750765">
        <w:t>Jakie koszty kwalifikują się do dofinansowania?</w:t>
      </w:r>
    </w:p>
    <w:p w14:paraId="3E2B63C2" w14:textId="20F8EFAA" w:rsidR="00750765" w:rsidRP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t xml:space="preserve">Budżet naboru wynosi 100 mln zł. Wysokość dofinansowania sięga do 85 proc. </w:t>
      </w:r>
      <w:r w:rsidR="00C9789E" w:rsidRPr="00BA0B7E">
        <w:rPr>
          <w:rFonts w:ascii="Calibri" w:hAnsi="Calibri" w:cs="Calibri"/>
          <w:sz w:val="24"/>
          <w:szCs w:val="24"/>
        </w:rPr>
        <w:t xml:space="preserve">w przypadku </w:t>
      </w:r>
      <w:r w:rsidRPr="00750765">
        <w:rPr>
          <w:rFonts w:ascii="Calibri" w:hAnsi="Calibri" w:cs="Calibri"/>
          <w:sz w:val="24"/>
          <w:szCs w:val="24"/>
        </w:rPr>
        <w:t xml:space="preserve">kosztów podróży służbowych oraz do 50 proc. </w:t>
      </w:r>
      <w:r w:rsidR="00C9789E">
        <w:rPr>
          <w:rFonts w:ascii="Calibri" w:hAnsi="Calibri" w:cs="Calibri"/>
          <w:sz w:val="24"/>
          <w:szCs w:val="24"/>
        </w:rPr>
        <w:t xml:space="preserve">dla </w:t>
      </w:r>
      <w:r w:rsidRPr="00750765">
        <w:rPr>
          <w:rFonts w:ascii="Calibri" w:hAnsi="Calibri" w:cs="Calibri"/>
          <w:sz w:val="24"/>
          <w:szCs w:val="24"/>
        </w:rPr>
        <w:t>pozostałych kosztów kwalifikowanych.</w:t>
      </w:r>
    </w:p>
    <w:p w14:paraId="767FC06C" w14:textId="68906867" w:rsidR="00750765" w:rsidRP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t>Program obejmuje szeroki katalog wydatków, które mogą być pokryte z funduszy unijnych.</w:t>
      </w:r>
      <w:r w:rsidR="00CB32AD">
        <w:rPr>
          <w:rFonts w:ascii="Calibri" w:hAnsi="Calibri" w:cs="Calibri"/>
          <w:sz w:val="24"/>
          <w:szCs w:val="24"/>
        </w:rPr>
        <w:t xml:space="preserve"> </w:t>
      </w:r>
      <w:r w:rsidRPr="00750765">
        <w:rPr>
          <w:rFonts w:ascii="Calibri" w:hAnsi="Calibri" w:cs="Calibri"/>
          <w:sz w:val="24"/>
          <w:szCs w:val="24"/>
        </w:rPr>
        <w:t>Przedsiębiorcy mogą uzyskać wsparcie na wynajem, budowę i obsługę stoiska targowego podczas udziału w wydarzeniach w charakterze wystawcy. Sfinansowane mogą być także koszty rezerwacji powierzchni wystawienniczej, co daje firmom większą elastyczność w dopasowaniu ekspozycji do standardów targowych w różnych krajach.</w:t>
      </w:r>
    </w:p>
    <w:p w14:paraId="61C5AFC7" w14:textId="5F5C46AA" w:rsidR="00750765" w:rsidRPr="00750765" w:rsidRDefault="00EC1D74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Ważną</w:t>
      </w:r>
      <w:r w:rsidR="00750765" w:rsidRPr="00750765">
        <w:rPr>
          <w:rFonts w:ascii="Calibri" w:hAnsi="Calibri" w:cs="Calibri"/>
          <w:sz w:val="24"/>
          <w:szCs w:val="24"/>
        </w:rPr>
        <w:t xml:space="preserve"> kategorią są koszty podróży służbowych pracowników uczestniczących w targach lub misjach gospodarczych. Intensywność wsparcia dla tego typu wydatków wynosi aż 85 proc., </w:t>
      </w:r>
      <w:r w:rsidR="00CB32AD">
        <w:rPr>
          <w:rFonts w:ascii="Calibri" w:hAnsi="Calibri" w:cs="Calibri"/>
          <w:sz w:val="24"/>
          <w:szCs w:val="24"/>
        </w:rPr>
        <w:t>co wpływa na możliwość dotarcia do odległych wydarzeń na świecie</w:t>
      </w:r>
      <w:r w:rsidR="00750765" w:rsidRPr="00750765">
        <w:rPr>
          <w:rFonts w:ascii="Calibri" w:hAnsi="Calibri" w:cs="Calibri"/>
          <w:sz w:val="24"/>
          <w:szCs w:val="24"/>
        </w:rPr>
        <w:t>.</w:t>
      </w:r>
    </w:p>
    <w:p w14:paraId="1B3836D7" w14:textId="10ACE3C9" w:rsidR="00750765" w:rsidRP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t xml:space="preserve">Program pokrywa również wydatki na organizację pokazów, prezentacji i degustacji podczas misji gospodarczych, które pozwalają bezpośrednio zaprezentować produkty i usługi potencjalnym kontrahentom. Dodatkowo można sfinansować koszty przygotowania i realizacji kampanii promocyjnych, w tym kampanii medialnych, </w:t>
      </w:r>
      <w:r w:rsidR="00EC1D74">
        <w:rPr>
          <w:rFonts w:ascii="Calibri" w:hAnsi="Calibri" w:cs="Calibri"/>
          <w:sz w:val="24"/>
          <w:szCs w:val="24"/>
        </w:rPr>
        <w:t xml:space="preserve">elektronicznych </w:t>
      </w:r>
      <w:r w:rsidRPr="00750765">
        <w:rPr>
          <w:rFonts w:ascii="Calibri" w:hAnsi="Calibri" w:cs="Calibri"/>
          <w:sz w:val="24"/>
          <w:szCs w:val="24"/>
        </w:rPr>
        <w:t>materiałów marketingowych czy działań w kanałach cyfrowych.</w:t>
      </w:r>
    </w:p>
    <w:p w14:paraId="4E3A2C18" w14:textId="613AFF7C" w:rsid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t xml:space="preserve">Na etapie </w:t>
      </w:r>
      <w:r w:rsidR="006021A1">
        <w:rPr>
          <w:rFonts w:ascii="Calibri" w:hAnsi="Calibri" w:cs="Calibri"/>
          <w:sz w:val="24"/>
          <w:szCs w:val="24"/>
        </w:rPr>
        <w:t>przygotowywania wniosku</w:t>
      </w:r>
      <w:r w:rsidRPr="00750765">
        <w:rPr>
          <w:rFonts w:ascii="Calibri" w:hAnsi="Calibri" w:cs="Calibri"/>
          <w:sz w:val="24"/>
          <w:szCs w:val="24"/>
        </w:rPr>
        <w:t xml:space="preserve"> przedsiębiorcy mogą również uwzględnić </w:t>
      </w:r>
      <w:r w:rsidR="00270B80">
        <w:rPr>
          <w:rFonts w:ascii="Calibri" w:hAnsi="Calibri" w:cs="Calibri"/>
          <w:sz w:val="24"/>
          <w:szCs w:val="24"/>
        </w:rPr>
        <w:t xml:space="preserve">w projekcie </w:t>
      </w:r>
      <w:r w:rsidRPr="00750765">
        <w:rPr>
          <w:rFonts w:ascii="Calibri" w:hAnsi="Calibri" w:cs="Calibri"/>
          <w:sz w:val="24"/>
          <w:szCs w:val="24"/>
        </w:rPr>
        <w:t>koszty pośrednie w wysokości 7 proc. wartości kosztów bezpośrednich – to rozwiązanie pozwala pokryć nieuniknione wydatki administracyjne związane z realizacją działań.</w:t>
      </w:r>
    </w:p>
    <w:p w14:paraId="754A06E0" w14:textId="77777777" w:rsidR="00214BD4" w:rsidRDefault="00214BD4" w:rsidP="00214BD4">
      <w:pPr>
        <w:pStyle w:val="Nagwek2"/>
        <w:spacing w:before="120" w:after="120" w:line="276" w:lineRule="auto"/>
        <w:rPr>
          <w:rFonts w:eastAsiaTheme="minorHAnsi" w:cs="Calibri"/>
          <w:bCs/>
          <w:color w:val="auto"/>
          <w:sz w:val="24"/>
          <w:szCs w:val="24"/>
        </w:rPr>
      </w:pPr>
      <w:r w:rsidRPr="00214BD4">
        <w:rPr>
          <w:rFonts w:eastAsiaTheme="minorHAnsi" w:cs="Calibri"/>
          <w:bCs/>
          <w:color w:val="auto"/>
          <w:sz w:val="24"/>
          <w:szCs w:val="24"/>
        </w:rPr>
        <w:t>UWAGA! W bieżącym naborze do wniosku o dofinansowanie należy obowiązkowo załączyć dokumenty potwierdzające pozyskanie środków na finansowanie wkładu własnego. Szczegóły znajdują się w instrukcji przygotowania wniosku. Koniecznie zapoznaj się z instrukcją!</w:t>
      </w:r>
    </w:p>
    <w:p w14:paraId="138C317C" w14:textId="32EE268F" w:rsidR="00750765" w:rsidRPr="00750765" w:rsidRDefault="00750765" w:rsidP="00214BD4">
      <w:pPr>
        <w:pStyle w:val="Nagwek2"/>
        <w:spacing w:before="120" w:after="120" w:line="276" w:lineRule="auto"/>
      </w:pPr>
      <w:r w:rsidRPr="00750765">
        <w:t>Jak i kiedy aplikować?</w:t>
      </w:r>
    </w:p>
    <w:p w14:paraId="6DDEBDE9" w14:textId="629F0B14" w:rsid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50765">
        <w:rPr>
          <w:rFonts w:ascii="Calibri" w:hAnsi="Calibri" w:cs="Calibri"/>
          <w:sz w:val="24"/>
          <w:szCs w:val="24"/>
        </w:rPr>
        <w:t>Wnioski o dofinansowanie należy składać wyłącznie online poprzez Lokalny System Informatyczny dostępny na stronie internetowej PARP. Nabór potrwa od 5 listopada 2025 r. do 8 stycznia 2026 r. (do godz. 16:00).</w:t>
      </w:r>
    </w:p>
    <w:p w14:paraId="4E0C1B88" w14:textId="4065E659" w:rsidR="00750765" w:rsidRDefault="00750765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Więcej informacji o naborze „Promocja marki innowacyjnych MŚP” </w:t>
      </w:r>
      <w:hyperlink r:id="rId7" w:history="1">
        <w:r w:rsidRPr="00462A42">
          <w:rPr>
            <w:rStyle w:val="Hipercze"/>
            <w:rFonts w:ascii="Calibri" w:hAnsi="Calibri" w:cs="Calibri"/>
            <w:sz w:val="24"/>
            <w:szCs w:val="24"/>
          </w:rPr>
          <w:t>znajduje się na stronie PARP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1A0F7A50" w14:textId="77777777" w:rsidR="00214BD4" w:rsidRDefault="00214BD4" w:rsidP="00214BD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79F76D9F" w14:textId="3051951A" w:rsidR="00CB32AD" w:rsidRPr="00750765" w:rsidRDefault="00CB32AD" w:rsidP="0075076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4D1C0BD" wp14:editId="60079AF2">
            <wp:extent cx="5760720" cy="563880"/>
            <wp:effectExtent l="0" t="0" r="0" b="7620"/>
            <wp:docPr id="16359840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84082" name="Obraz 16359840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2AD" w:rsidRPr="0075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5"/>
    <w:rsid w:val="00091BA4"/>
    <w:rsid w:val="00214BD4"/>
    <w:rsid w:val="00270B80"/>
    <w:rsid w:val="003E7011"/>
    <w:rsid w:val="00427F87"/>
    <w:rsid w:val="00462A42"/>
    <w:rsid w:val="005C202B"/>
    <w:rsid w:val="006021A1"/>
    <w:rsid w:val="00743C87"/>
    <w:rsid w:val="00750765"/>
    <w:rsid w:val="00755FC3"/>
    <w:rsid w:val="007B5928"/>
    <w:rsid w:val="00982AFA"/>
    <w:rsid w:val="009F5F16"/>
    <w:rsid w:val="00B863C9"/>
    <w:rsid w:val="00C9789E"/>
    <w:rsid w:val="00CB32AD"/>
    <w:rsid w:val="00EC1D74"/>
    <w:rsid w:val="00F3732F"/>
    <w:rsid w:val="00F4481C"/>
    <w:rsid w:val="00F85831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089"/>
  <w15:chartTrackingRefBased/>
  <w15:docId w15:val="{F759178E-551A-47FB-9EA1-6854CD97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BD4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BD4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BD4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14BD4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7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7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7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7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7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7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765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9789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21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21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21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1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1A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82AF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feng.parp.gov.pl/component/grants/grants/promocja-marki-innowacyjnych-m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rozwoj-technologia/promocja-eksportu" TargetMode="External"/><Relationship Id="rId5" Type="http://schemas.openxmlformats.org/officeDocument/2006/relationships/hyperlink" Target="mailto:media@parp.gov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Czyżewska Magdalena</dc:creator>
  <cp:keywords/>
  <dc:description/>
  <cp:lastModifiedBy>Nowicka Luiza</cp:lastModifiedBy>
  <cp:revision>3</cp:revision>
  <dcterms:created xsi:type="dcterms:W3CDTF">2025-10-02T11:58:00Z</dcterms:created>
  <dcterms:modified xsi:type="dcterms:W3CDTF">2025-10-02T13:39:00Z</dcterms:modified>
</cp:coreProperties>
</file>