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A7B7" w14:textId="3077507B" w:rsidR="00CF4A47" w:rsidRDefault="00F16C51" w:rsidP="391007D9">
      <w:pPr>
        <w:spacing w:before="240" w:after="24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>
        <w:rPr>
          <w:rFonts w:ascii="Aptos" w:eastAsia="Aptos" w:hAnsi="Aptos" w:cs="Aptos"/>
          <w:b/>
          <w:bCs/>
          <w:sz w:val="20"/>
          <w:szCs w:val="20"/>
        </w:rPr>
        <w:t>C</w:t>
      </w:r>
      <w:r w:rsidRPr="00F16C51">
        <w:rPr>
          <w:rFonts w:ascii="Aptos" w:eastAsia="Aptos" w:hAnsi="Aptos" w:cs="Aptos"/>
          <w:b/>
          <w:bCs/>
          <w:sz w:val="20"/>
          <w:szCs w:val="20"/>
        </w:rPr>
        <w:t>omemorações do centenário de Maria Helena da Rocha Pereira</w:t>
      </w:r>
    </w:p>
    <w:p w14:paraId="21CC0216" w14:textId="062C886D" w:rsidR="00CF4A47" w:rsidRDefault="074C9156" w:rsidP="391007D9">
      <w:pPr>
        <w:spacing w:before="240" w:after="240" w:line="36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391007D9">
        <w:rPr>
          <w:rFonts w:ascii="Aptos" w:eastAsia="Aptos" w:hAnsi="Aptos" w:cs="Aptos"/>
          <w:b/>
          <w:bCs/>
          <w:sz w:val="28"/>
          <w:szCs w:val="28"/>
        </w:rPr>
        <w:t>Universidade de Coimbra lanç</w:t>
      </w:r>
      <w:r w:rsidR="00F16C51">
        <w:rPr>
          <w:rFonts w:ascii="Aptos" w:eastAsia="Aptos" w:hAnsi="Aptos" w:cs="Aptos"/>
          <w:b/>
          <w:bCs/>
          <w:sz w:val="28"/>
          <w:szCs w:val="28"/>
        </w:rPr>
        <w:t>ou</w:t>
      </w:r>
      <w:r w:rsidRPr="391007D9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00F16C51">
        <w:rPr>
          <w:rFonts w:ascii="Aptos" w:eastAsia="Aptos" w:hAnsi="Aptos" w:cs="Aptos"/>
          <w:b/>
          <w:bCs/>
          <w:sz w:val="28"/>
          <w:szCs w:val="28"/>
        </w:rPr>
        <w:t xml:space="preserve">livro </w:t>
      </w:r>
      <w:r w:rsidRPr="391007D9">
        <w:rPr>
          <w:rFonts w:ascii="Aptos" w:eastAsia="Aptos" w:hAnsi="Aptos" w:cs="Aptos"/>
          <w:b/>
          <w:bCs/>
          <w:sz w:val="28"/>
          <w:szCs w:val="28"/>
        </w:rPr>
        <w:t>“</w:t>
      </w:r>
      <w:proofErr w:type="spellStart"/>
      <w:r w:rsidRPr="391007D9">
        <w:rPr>
          <w:rFonts w:ascii="Aptos" w:eastAsia="Aptos" w:hAnsi="Aptos" w:cs="Aptos"/>
          <w:b/>
          <w:bCs/>
          <w:sz w:val="28"/>
          <w:szCs w:val="28"/>
        </w:rPr>
        <w:t>Saeculum</w:t>
      </w:r>
      <w:proofErr w:type="spellEnd"/>
      <w:r w:rsidRPr="391007D9">
        <w:rPr>
          <w:rFonts w:ascii="Aptos" w:eastAsia="Aptos" w:hAnsi="Aptos" w:cs="Aptos"/>
          <w:b/>
          <w:bCs/>
          <w:sz w:val="28"/>
          <w:szCs w:val="28"/>
        </w:rPr>
        <w:t xml:space="preserve">” </w:t>
      </w:r>
      <w:r w:rsidR="00F16C51">
        <w:rPr>
          <w:rFonts w:ascii="Aptos" w:eastAsia="Aptos" w:hAnsi="Aptos" w:cs="Aptos"/>
          <w:b/>
          <w:bCs/>
          <w:sz w:val="28"/>
          <w:szCs w:val="28"/>
        </w:rPr>
        <w:t>em homenagem a</w:t>
      </w:r>
      <w:r w:rsidRPr="391007D9">
        <w:rPr>
          <w:rFonts w:ascii="Aptos" w:eastAsia="Aptos" w:hAnsi="Aptos" w:cs="Aptos"/>
          <w:b/>
          <w:bCs/>
          <w:sz w:val="28"/>
          <w:szCs w:val="28"/>
        </w:rPr>
        <w:t xml:space="preserve"> Maria Helena da Rocha Pereira</w:t>
      </w:r>
    </w:p>
    <w:p w14:paraId="727A4F70" w14:textId="4D720B9F" w:rsidR="00CF4A47" w:rsidRDefault="77D03ABD" w:rsidP="391007D9">
      <w:pPr>
        <w:spacing w:before="240" w:after="240" w:line="360" w:lineRule="auto"/>
        <w:jc w:val="center"/>
        <w:rPr>
          <w:rFonts w:ascii="Aptos" w:eastAsia="Aptos" w:hAnsi="Aptos" w:cs="Aptos"/>
          <w:i/>
          <w:iCs/>
          <w:sz w:val="22"/>
          <w:szCs w:val="22"/>
        </w:rPr>
      </w:pPr>
      <w:r w:rsidRPr="391007D9">
        <w:rPr>
          <w:rFonts w:ascii="Aptos" w:eastAsia="Aptos" w:hAnsi="Aptos" w:cs="Aptos"/>
          <w:i/>
          <w:iCs/>
          <w:sz w:val="22"/>
          <w:szCs w:val="22"/>
        </w:rPr>
        <w:t>O evento</w:t>
      </w:r>
      <w:r w:rsidR="00F16C51">
        <w:rPr>
          <w:rFonts w:ascii="Aptos" w:eastAsia="Aptos" w:hAnsi="Aptos" w:cs="Aptos"/>
          <w:i/>
          <w:iCs/>
          <w:sz w:val="22"/>
          <w:szCs w:val="22"/>
        </w:rPr>
        <w:t>, realizado na passada sexta-feira,</w:t>
      </w:r>
      <w:r w:rsidRPr="391007D9">
        <w:rPr>
          <w:rFonts w:ascii="Aptos" w:eastAsia="Aptos" w:hAnsi="Aptos" w:cs="Aptos"/>
          <w:i/>
          <w:iCs/>
          <w:sz w:val="22"/>
          <w:szCs w:val="22"/>
        </w:rPr>
        <w:t xml:space="preserve"> marc</w:t>
      </w:r>
      <w:r w:rsidR="00F16C51">
        <w:rPr>
          <w:rFonts w:ascii="Aptos" w:eastAsia="Aptos" w:hAnsi="Aptos" w:cs="Aptos"/>
          <w:i/>
          <w:iCs/>
          <w:sz w:val="22"/>
          <w:szCs w:val="22"/>
        </w:rPr>
        <w:t>ou</w:t>
      </w:r>
      <w:r w:rsidRPr="391007D9">
        <w:rPr>
          <w:rFonts w:ascii="Aptos" w:eastAsia="Aptos" w:hAnsi="Aptos" w:cs="Aptos"/>
          <w:i/>
          <w:iCs/>
          <w:sz w:val="22"/>
          <w:szCs w:val="22"/>
        </w:rPr>
        <w:t xml:space="preserve"> o arranque oficial do Ano do Centenário, com o lançamento da publicação “</w:t>
      </w:r>
      <w:proofErr w:type="spellStart"/>
      <w:r w:rsidRPr="391007D9">
        <w:rPr>
          <w:rFonts w:ascii="Aptos" w:eastAsia="Aptos" w:hAnsi="Aptos" w:cs="Aptos"/>
          <w:i/>
          <w:iCs/>
          <w:sz w:val="22"/>
          <w:szCs w:val="22"/>
        </w:rPr>
        <w:t>Saeculum</w:t>
      </w:r>
      <w:proofErr w:type="spellEnd"/>
      <w:r w:rsidRPr="391007D9">
        <w:rPr>
          <w:rFonts w:ascii="Aptos" w:eastAsia="Aptos" w:hAnsi="Aptos" w:cs="Aptos"/>
          <w:i/>
          <w:iCs/>
          <w:sz w:val="22"/>
          <w:szCs w:val="22"/>
        </w:rPr>
        <w:t xml:space="preserve"> – Homenagem a Maria Helena da Rocha Pereira” e apresentação do programa comemorativo</w:t>
      </w:r>
    </w:p>
    <w:p w14:paraId="529958CC" w14:textId="4C5C8BA0" w:rsidR="00CF4A47" w:rsidRDefault="00D14758" w:rsidP="391007D9">
      <w:pPr>
        <w:spacing w:before="240" w:after="240" w:line="360" w:lineRule="auto"/>
        <w:jc w:val="both"/>
      </w:pPr>
      <w:r>
        <w:rPr>
          <w:rFonts w:ascii="Aptos" w:eastAsia="Aptos" w:hAnsi="Aptos" w:cs="Aptos"/>
          <w:b/>
          <w:bCs/>
        </w:rPr>
        <w:t>Coimbra</w:t>
      </w:r>
      <w:r w:rsidR="08DAA619" w:rsidRPr="391007D9">
        <w:rPr>
          <w:rFonts w:ascii="Aptos" w:eastAsia="Aptos" w:hAnsi="Aptos" w:cs="Aptos"/>
          <w:b/>
          <w:bCs/>
        </w:rPr>
        <w:t xml:space="preserve">, </w:t>
      </w:r>
      <w:r>
        <w:rPr>
          <w:rFonts w:ascii="Aptos" w:eastAsia="Aptos" w:hAnsi="Aptos" w:cs="Aptos"/>
          <w:b/>
          <w:bCs/>
        </w:rPr>
        <w:t>01</w:t>
      </w:r>
      <w:r w:rsidR="08DAA619" w:rsidRPr="391007D9">
        <w:rPr>
          <w:rFonts w:ascii="Aptos" w:eastAsia="Aptos" w:hAnsi="Aptos" w:cs="Aptos"/>
          <w:b/>
          <w:bCs/>
        </w:rPr>
        <w:t xml:space="preserve"> de </w:t>
      </w:r>
      <w:r>
        <w:rPr>
          <w:rFonts w:ascii="Aptos" w:eastAsia="Aptos" w:hAnsi="Aptos" w:cs="Aptos"/>
          <w:b/>
          <w:bCs/>
        </w:rPr>
        <w:t>outubro</w:t>
      </w:r>
      <w:r w:rsidR="08DAA619" w:rsidRPr="391007D9">
        <w:rPr>
          <w:rFonts w:ascii="Aptos" w:eastAsia="Aptos" w:hAnsi="Aptos" w:cs="Aptos"/>
          <w:b/>
          <w:bCs/>
        </w:rPr>
        <w:t xml:space="preserve"> de 2025 - </w:t>
      </w:r>
      <w:r w:rsidR="08DAA619" w:rsidRPr="391007D9">
        <w:rPr>
          <w:rFonts w:ascii="Aptos" w:eastAsia="Aptos" w:hAnsi="Aptos" w:cs="Aptos"/>
        </w:rPr>
        <w:t>A Universidade de Coimbra assinal</w:t>
      </w:r>
      <w:r w:rsidR="00F16C51">
        <w:rPr>
          <w:rFonts w:ascii="Aptos" w:eastAsia="Aptos" w:hAnsi="Aptos" w:cs="Aptos"/>
        </w:rPr>
        <w:t>ou</w:t>
      </w:r>
      <w:r w:rsidR="08DAA619" w:rsidRPr="391007D9">
        <w:rPr>
          <w:rFonts w:ascii="Aptos" w:eastAsia="Aptos" w:hAnsi="Aptos" w:cs="Aptos"/>
        </w:rPr>
        <w:t>, no p</w:t>
      </w:r>
      <w:r w:rsidR="00F16C51">
        <w:rPr>
          <w:rFonts w:ascii="Aptos" w:eastAsia="Aptos" w:hAnsi="Aptos" w:cs="Aptos"/>
        </w:rPr>
        <w:t>assado</w:t>
      </w:r>
      <w:r w:rsidR="08DAA619" w:rsidRPr="391007D9">
        <w:rPr>
          <w:rFonts w:ascii="Aptos" w:eastAsia="Aptos" w:hAnsi="Aptos" w:cs="Aptos"/>
        </w:rPr>
        <w:t xml:space="preserve"> dia 26 de setembro, o início das comemorações do </w:t>
      </w:r>
      <w:r w:rsidR="00F3703B">
        <w:rPr>
          <w:rFonts w:ascii="Aptos" w:eastAsia="Aptos" w:hAnsi="Aptos" w:cs="Aptos"/>
        </w:rPr>
        <w:t>Ano do Centenário</w:t>
      </w:r>
      <w:r w:rsidR="00F3703B" w:rsidRPr="391007D9">
        <w:rPr>
          <w:rFonts w:ascii="Aptos" w:eastAsia="Aptos" w:hAnsi="Aptos" w:cs="Aptos"/>
        </w:rPr>
        <w:t xml:space="preserve"> </w:t>
      </w:r>
      <w:r w:rsidR="00F3703B">
        <w:rPr>
          <w:rFonts w:ascii="Aptos" w:eastAsia="Aptos" w:hAnsi="Aptos" w:cs="Aptos"/>
        </w:rPr>
        <w:t>do Nascimento</w:t>
      </w:r>
      <w:r w:rsidR="00F3703B" w:rsidRPr="391007D9">
        <w:rPr>
          <w:rFonts w:ascii="Aptos" w:eastAsia="Aptos" w:hAnsi="Aptos" w:cs="Aptos"/>
        </w:rPr>
        <w:t xml:space="preserve"> </w:t>
      </w:r>
      <w:r w:rsidR="08DAA619" w:rsidRPr="391007D9">
        <w:rPr>
          <w:rFonts w:ascii="Aptos" w:eastAsia="Aptos" w:hAnsi="Aptos" w:cs="Aptos"/>
        </w:rPr>
        <w:t>de Maria Helena da Rocha Pereira, figura maior da cultura e da academia portuguesa, cuja obra e legado continuam a inspirar gerações.</w:t>
      </w:r>
    </w:p>
    <w:p w14:paraId="67626034" w14:textId="1D880D92" w:rsidR="00CF4A47" w:rsidRDefault="00DCBB88" w:rsidP="391007D9">
      <w:pPr>
        <w:spacing w:before="240" w:after="240" w:line="360" w:lineRule="auto"/>
        <w:jc w:val="both"/>
      </w:pPr>
      <w:r w:rsidRPr="391007D9">
        <w:rPr>
          <w:rFonts w:ascii="Aptos" w:eastAsia="Aptos" w:hAnsi="Aptos" w:cs="Aptos"/>
        </w:rPr>
        <w:t>A sessão “</w:t>
      </w:r>
      <w:proofErr w:type="spellStart"/>
      <w:r w:rsidRPr="00D14758">
        <w:rPr>
          <w:rFonts w:ascii="Aptos" w:eastAsia="Aptos" w:hAnsi="Aptos" w:cs="Aptos"/>
          <w:i/>
          <w:iCs/>
        </w:rPr>
        <w:t>Saeculum</w:t>
      </w:r>
      <w:proofErr w:type="spellEnd"/>
      <w:r w:rsidRPr="391007D9">
        <w:rPr>
          <w:rFonts w:ascii="Aptos" w:eastAsia="Aptos" w:hAnsi="Aptos" w:cs="Aptos"/>
        </w:rPr>
        <w:t xml:space="preserve"> – Homenagem a Maria Helena da Rocha Pereira” te</w:t>
      </w:r>
      <w:r w:rsidR="00F16C51">
        <w:rPr>
          <w:rFonts w:ascii="Aptos" w:eastAsia="Aptos" w:hAnsi="Aptos" w:cs="Aptos"/>
        </w:rPr>
        <w:t xml:space="preserve">ve </w:t>
      </w:r>
      <w:r w:rsidRPr="391007D9">
        <w:rPr>
          <w:rFonts w:ascii="Aptos" w:eastAsia="Aptos" w:hAnsi="Aptos" w:cs="Aptos"/>
        </w:rPr>
        <w:t xml:space="preserve">lugar na Sala do Senado da Reitoria da Universidade de Coimbra, sob a presidência do Magnífico Reitor, Professor Doutor Amílcar Falcão. O evento </w:t>
      </w:r>
      <w:r w:rsidR="00F16C51" w:rsidRPr="391007D9">
        <w:rPr>
          <w:rFonts w:ascii="Aptos" w:eastAsia="Aptos" w:hAnsi="Aptos" w:cs="Aptos"/>
        </w:rPr>
        <w:t>inclu</w:t>
      </w:r>
      <w:r w:rsidR="00F16C51">
        <w:rPr>
          <w:rFonts w:ascii="Aptos" w:eastAsia="Aptos" w:hAnsi="Aptos" w:cs="Aptos"/>
        </w:rPr>
        <w:t>iu</w:t>
      </w:r>
      <w:r w:rsidRPr="391007D9">
        <w:rPr>
          <w:rFonts w:ascii="Aptos" w:eastAsia="Aptos" w:hAnsi="Aptos" w:cs="Aptos"/>
        </w:rPr>
        <w:t xml:space="preserve"> o lançamento da publicação evocativa com o mesmo nome e a apresentação oficial do programa das atividades que decorrerão ao longo do ano.</w:t>
      </w:r>
    </w:p>
    <w:p w14:paraId="0DBF7858" w14:textId="156558D0" w:rsidR="00CF4A47" w:rsidRDefault="00DCBB88" w:rsidP="391007D9">
      <w:pPr>
        <w:spacing w:before="240" w:after="240" w:line="360" w:lineRule="auto"/>
        <w:jc w:val="both"/>
      </w:pPr>
      <w:r w:rsidRPr="391007D9">
        <w:rPr>
          <w:rFonts w:ascii="Aptos" w:eastAsia="Aptos" w:hAnsi="Aptos" w:cs="Aptos"/>
        </w:rPr>
        <w:t xml:space="preserve">As comemorações do Ano </w:t>
      </w:r>
      <w:r w:rsidR="00F3703B">
        <w:rPr>
          <w:rFonts w:ascii="Aptos" w:eastAsia="Aptos" w:hAnsi="Aptos" w:cs="Aptos"/>
        </w:rPr>
        <w:t xml:space="preserve">do </w:t>
      </w:r>
      <w:r w:rsidRPr="391007D9">
        <w:rPr>
          <w:rFonts w:ascii="Aptos" w:eastAsia="Aptos" w:hAnsi="Aptos" w:cs="Aptos"/>
        </w:rPr>
        <w:t xml:space="preserve">Centenário decorrem entre 3 de setembro de 2025 e 3 de setembro de 2026, período que marca simbolicamente os 100 anos do nascimento da insigne helenista, tradutora e professora universitária. Promovidas pelo Centro de Estudos Clássicos e Humanísticos (CECH) da Faculdade de Letras da Universidade de Coimbra, em articulação com diversas instituições nacionais e </w:t>
      </w:r>
      <w:r w:rsidR="00F3703B">
        <w:rPr>
          <w:rFonts w:ascii="Aptos" w:eastAsia="Aptos" w:hAnsi="Aptos" w:cs="Aptos"/>
        </w:rPr>
        <w:t>estrangeiras</w:t>
      </w:r>
      <w:r w:rsidRPr="391007D9">
        <w:rPr>
          <w:rFonts w:ascii="Aptos" w:eastAsia="Aptos" w:hAnsi="Aptos" w:cs="Aptos"/>
        </w:rPr>
        <w:t>, estas iniciativas pretendem homenagear o legado de Maria Helena da Rocha Pereira e promover o diálogo em torno da relevância dos estudos clássicos na sociedade contemporânea.</w:t>
      </w:r>
    </w:p>
    <w:p w14:paraId="3C20C2E7" w14:textId="11D20337" w:rsidR="00CF4A47" w:rsidRDefault="00DCBB88" w:rsidP="391007D9">
      <w:pPr>
        <w:spacing w:before="240" w:after="240" w:line="360" w:lineRule="auto"/>
        <w:jc w:val="both"/>
      </w:pPr>
      <w:r w:rsidRPr="391007D9">
        <w:rPr>
          <w:rFonts w:ascii="Aptos" w:eastAsia="Aptos" w:hAnsi="Aptos" w:cs="Aptos"/>
        </w:rPr>
        <w:t xml:space="preserve">Maria Helena da Rocha Pereira (1925–2017) foi uma referência incontornável na área dos Estudos Clássicos, tendo contribuído de forma ímpar para o ensino e investigação da </w:t>
      </w:r>
      <w:r w:rsidR="00F3703B">
        <w:rPr>
          <w:rFonts w:ascii="Aptos" w:eastAsia="Aptos" w:hAnsi="Aptos" w:cs="Aptos"/>
        </w:rPr>
        <w:t xml:space="preserve">cultura clássica, das </w:t>
      </w:r>
      <w:r w:rsidRPr="391007D9">
        <w:rPr>
          <w:rFonts w:ascii="Aptos" w:eastAsia="Aptos" w:hAnsi="Aptos" w:cs="Aptos"/>
        </w:rPr>
        <w:t>literatura</w:t>
      </w:r>
      <w:r w:rsidR="00F3703B">
        <w:rPr>
          <w:rFonts w:ascii="Aptos" w:eastAsia="Aptos" w:hAnsi="Aptos" w:cs="Aptos"/>
        </w:rPr>
        <w:t>s</w:t>
      </w:r>
      <w:r w:rsidRPr="391007D9">
        <w:rPr>
          <w:rFonts w:ascii="Aptos" w:eastAsia="Aptos" w:hAnsi="Aptos" w:cs="Aptos"/>
        </w:rPr>
        <w:t xml:space="preserve"> grega e latina</w:t>
      </w:r>
      <w:r w:rsidR="00F3703B">
        <w:rPr>
          <w:rFonts w:ascii="Aptos" w:eastAsia="Aptos" w:hAnsi="Aptos" w:cs="Aptos"/>
        </w:rPr>
        <w:t xml:space="preserve"> e da arte grega</w:t>
      </w:r>
      <w:r w:rsidRPr="391007D9">
        <w:rPr>
          <w:rFonts w:ascii="Aptos" w:eastAsia="Aptos" w:hAnsi="Aptos" w:cs="Aptos"/>
        </w:rPr>
        <w:t xml:space="preserve"> em Portugal. A sua erudição, rigor e paixão pelo conhecimento marcaram profundamente a Universidade </w:t>
      </w:r>
      <w:r w:rsidRPr="391007D9">
        <w:rPr>
          <w:rFonts w:ascii="Aptos" w:eastAsia="Aptos" w:hAnsi="Aptos" w:cs="Aptos"/>
        </w:rPr>
        <w:lastRenderedPageBreak/>
        <w:t>de Coimbra, onde lecionou durante décadas, e o panorama cultural nacional</w:t>
      </w:r>
      <w:r w:rsidR="00F3703B">
        <w:rPr>
          <w:rFonts w:ascii="Aptos" w:eastAsia="Aptos" w:hAnsi="Aptos" w:cs="Aptos"/>
        </w:rPr>
        <w:t xml:space="preserve"> e internacional</w:t>
      </w:r>
      <w:r w:rsidRPr="391007D9">
        <w:rPr>
          <w:rFonts w:ascii="Aptos" w:eastAsia="Aptos" w:hAnsi="Aptos" w:cs="Aptos"/>
        </w:rPr>
        <w:t>.</w:t>
      </w:r>
    </w:p>
    <w:p w14:paraId="54D4A346" w14:textId="56839980" w:rsidR="00CF4A47" w:rsidRDefault="00DCBB88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391007D9">
        <w:rPr>
          <w:rFonts w:ascii="Aptos" w:eastAsia="Aptos" w:hAnsi="Aptos" w:cs="Aptos"/>
        </w:rPr>
        <w:t xml:space="preserve">As comemorações do Ano </w:t>
      </w:r>
      <w:r w:rsidR="00F3703B">
        <w:rPr>
          <w:rFonts w:ascii="Aptos" w:eastAsia="Aptos" w:hAnsi="Aptos" w:cs="Aptos"/>
        </w:rPr>
        <w:t xml:space="preserve">do </w:t>
      </w:r>
      <w:r w:rsidRPr="391007D9">
        <w:rPr>
          <w:rFonts w:ascii="Aptos" w:eastAsia="Aptos" w:hAnsi="Aptos" w:cs="Aptos"/>
        </w:rPr>
        <w:t>Centenário pretendem celebrar a memória</w:t>
      </w:r>
      <w:r w:rsidR="7BE766B4" w:rsidRPr="391007D9">
        <w:rPr>
          <w:rFonts w:ascii="Aptos" w:eastAsia="Aptos" w:hAnsi="Aptos" w:cs="Aptos"/>
        </w:rPr>
        <w:t xml:space="preserve"> de uma das grandes figuras da cultura portuguesa,</w:t>
      </w:r>
      <w:r w:rsidRPr="391007D9">
        <w:rPr>
          <w:rFonts w:ascii="Aptos" w:eastAsia="Aptos" w:hAnsi="Aptos" w:cs="Aptos"/>
        </w:rPr>
        <w:t xml:space="preserve"> e promover o diálogo entre gerações em torno da importância dos clássicos na formação humanista e na construção do pensamento crítico.</w:t>
      </w:r>
    </w:p>
    <w:p w14:paraId="092EF4B1" w14:textId="3FE8B221" w:rsidR="00CF4A47" w:rsidRDefault="00DCBB88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391007D9">
        <w:rPr>
          <w:rFonts w:ascii="Aptos" w:eastAsia="Aptos" w:hAnsi="Aptos" w:cs="Aptos"/>
        </w:rPr>
        <w:t xml:space="preserve">Pode consultar mais informações </w:t>
      </w:r>
      <w:r w:rsidR="00F16C51">
        <w:rPr>
          <w:rFonts w:ascii="Aptos" w:eastAsia="Aptos" w:hAnsi="Aptos" w:cs="Aptos"/>
        </w:rPr>
        <w:t xml:space="preserve">e agenda </w:t>
      </w:r>
      <w:r w:rsidRPr="391007D9">
        <w:rPr>
          <w:rFonts w:ascii="Aptos" w:eastAsia="Aptos" w:hAnsi="Aptos" w:cs="Aptos"/>
        </w:rPr>
        <w:t xml:space="preserve">em </w:t>
      </w:r>
      <w:hyperlink r:id="rId6" w:history="1">
        <w:r w:rsidR="00F16C51" w:rsidRPr="00BE44E9">
          <w:rPr>
            <w:rStyle w:val="Hiperligao"/>
            <w:rFonts w:ascii="Aptos" w:eastAsia="Aptos" w:hAnsi="Aptos" w:cs="Aptos"/>
          </w:rPr>
          <w:t>https://www.uc.pt/cech/centenario-mhrp/agenda/</w:t>
        </w:r>
      </w:hyperlink>
    </w:p>
    <w:p w14:paraId="2D6E2FD7" w14:textId="77777777" w:rsidR="00F16C51" w:rsidRDefault="00F16C51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</w:p>
    <w:p w14:paraId="2818DB35" w14:textId="301F8F26" w:rsidR="391007D9" w:rsidRDefault="391007D9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</w:p>
    <w:sectPr w:rsidR="391007D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6938" w14:textId="77777777" w:rsidR="004F44FA" w:rsidRDefault="004F44FA">
      <w:pPr>
        <w:spacing w:after="0" w:line="240" w:lineRule="auto"/>
      </w:pPr>
      <w:r>
        <w:separator/>
      </w:r>
    </w:p>
  </w:endnote>
  <w:endnote w:type="continuationSeparator" w:id="0">
    <w:p w14:paraId="63041B4D" w14:textId="77777777" w:rsidR="004F44FA" w:rsidRDefault="004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1007D9" w14:paraId="01D2FF3A" w14:textId="77777777" w:rsidTr="391007D9">
      <w:trPr>
        <w:trHeight w:val="300"/>
      </w:trPr>
      <w:tc>
        <w:tcPr>
          <w:tcW w:w="3005" w:type="dxa"/>
        </w:tcPr>
        <w:p w14:paraId="6880C516" w14:textId="50F50F73" w:rsidR="391007D9" w:rsidRDefault="391007D9" w:rsidP="391007D9">
          <w:pPr>
            <w:pStyle w:val="Cabealho"/>
            <w:ind w:left="-115"/>
          </w:pPr>
        </w:p>
      </w:tc>
      <w:tc>
        <w:tcPr>
          <w:tcW w:w="3005" w:type="dxa"/>
        </w:tcPr>
        <w:p w14:paraId="527CEC01" w14:textId="7B230556" w:rsidR="391007D9" w:rsidRDefault="391007D9" w:rsidP="391007D9">
          <w:pPr>
            <w:pStyle w:val="Cabealho"/>
            <w:jc w:val="center"/>
          </w:pPr>
        </w:p>
      </w:tc>
      <w:tc>
        <w:tcPr>
          <w:tcW w:w="3005" w:type="dxa"/>
        </w:tcPr>
        <w:p w14:paraId="5B63078D" w14:textId="488E75EA" w:rsidR="391007D9" w:rsidRDefault="391007D9" w:rsidP="391007D9">
          <w:pPr>
            <w:pStyle w:val="Cabealho"/>
            <w:ind w:right="-115"/>
            <w:jc w:val="right"/>
          </w:pPr>
        </w:p>
      </w:tc>
    </w:tr>
  </w:tbl>
  <w:p w14:paraId="06507BE7" w14:textId="46B6C6FB" w:rsidR="391007D9" w:rsidRDefault="391007D9" w:rsidP="39100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94C3" w14:textId="77777777" w:rsidR="004F44FA" w:rsidRDefault="004F44FA">
      <w:pPr>
        <w:spacing w:after="0" w:line="240" w:lineRule="auto"/>
      </w:pPr>
      <w:r>
        <w:separator/>
      </w:r>
    </w:p>
  </w:footnote>
  <w:footnote w:type="continuationSeparator" w:id="0">
    <w:p w14:paraId="10405C7A" w14:textId="77777777" w:rsidR="004F44FA" w:rsidRDefault="004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1007D9" w14:paraId="5CD9CC46" w14:textId="77777777" w:rsidTr="391007D9">
      <w:trPr>
        <w:trHeight w:val="300"/>
      </w:trPr>
      <w:tc>
        <w:tcPr>
          <w:tcW w:w="3005" w:type="dxa"/>
        </w:tcPr>
        <w:p w14:paraId="7E25E1BE" w14:textId="71C4F1A6" w:rsidR="391007D9" w:rsidRDefault="391007D9" w:rsidP="391007D9">
          <w:pPr>
            <w:pStyle w:val="Cabealho"/>
            <w:ind w:left="-115"/>
          </w:pPr>
        </w:p>
      </w:tc>
      <w:tc>
        <w:tcPr>
          <w:tcW w:w="3005" w:type="dxa"/>
        </w:tcPr>
        <w:p w14:paraId="1B98CA4F" w14:textId="1AEF5299" w:rsidR="391007D9" w:rsidRDefault="391007D9" w:rsidP="391007D9">
          <w:pPr>
            <w:pStyle w:val="Cabealho"/>
            <w:jc w:val="center"/>
          </w:pPr>
        </w:p>
      </w:tc>
      <w:tc>
        <w:tcPr>
          <w:tcW w:w="3005" w:type="dxa"/>
        </w:tcPr>
        <w:p w14:paraId="70162623" w14:textId="3B5142F3" w:rsidR="391007D9" w:rsidRDefault="391007D9" w:rsidP="391007D9">
          <w:pPr>
            <w:pStyle w:val="Cabealh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915A469" wp14:editId="279B9730">
                <wp:extent cx="498764" cy="498764"/>
                <wp:effectExtent l="0" t="0" r="0" b="0"/>
                <wp:docPr id="1951571317" name="Imagem 1951571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764" cy="498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C9C341B" wp14:editId="07EA3FAB">
                <wp:extent cx="871105" cy="580736"/>
                <wp:effectExtent l="0" t="0" r="0" b="0"/>
                <wp:docPr id="188439640" name="Imagem 188439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105" cy="580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EFF7E0" w14:textId="7F4B8423" w:rsidR="391007D9" w:rsidRDefault="391007D9" w:rsidP="391007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F9F112"/>
    <w:rsid w:val="003E5D6B"/>
    <w:rsid w:val="004F44FA"/>
    <w:rsid w:val="005D233B"/>
    <w:rsid w:val="00691DA9"/>
    <w:rsid w:val="00A51335"/>
    <w:rsid w:val="00CF4A47"/>
    <w:rsid w:val="00D14758"/>
    <w:rsid w:val="00DCBB88"/>
    <w:rsid w:val="00F16C51"/>
    <w:rsid w:val="00F3703B"/>
    <w:rsid w:val="074C9156"/>
    <w:rsid w:val="08DAA619"/>
    <w:rsid w:val="09008A18"/>
    <w:rsid w:val="0C784D3A"/>
    <w:rsid w:val="0F5C2492"/>
    <w:rsid w:val="17AD7348"/>
    <w:rsid w:val="18827D21"/>
    <w:rsid w:val="1E25B848"/>
    <w:rsid w:val="20489107"/>
    <w:rsid w:val="22CAC4B6"/>
    <w:rsid w:val="29F9F112"/>
    <w:rsid w:val="372A2137"/>
    <w:rsid w:val="391007D9"/>
    <w:rsid w:val="3C37ABB6"/>
    <w:rsid w:val="51ECE6D7"/>
    <w:rsid w:val="5405123C"/>
    <w:rsid w:val="565053E4"/>
    <w:rsid w:val="59A9E735"/>
    <w:rsid w:val="77D03ABD"/>
    <w:rsid w:val="7BE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F112"/>
  <w15:chartTrackingRefBased/>
  <w15:docId w15:val="{8DAEFD9C-31A0-4412-996B-FFA6B53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391007D9"/>
    <w:rPr>
      <w:color w:val="467886"/>
      <w:u w:val="single"/>
    </w:rPr>
  </w:style>
  <w:style w:type="paragraph" w:styleId="Cabealho">
    <w:name w:val="header"/>
    <w:basedOn w:val="Normal"/>
    <w:uiPriority w:val="99"/>
    <w:unhideWhenUsed/>
    <w:rsid w:val="391007D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91007D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F16C5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3703B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370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3703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3703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370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3703B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370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.pt/cech/centenario-mhrp/agend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Hugo Costa</cp:lastModifiedBy>
  <cp:revision>2</cp:revision>
  <dcterms:created xsi:type="dcterms:W3CDTF">2025-10-01T13:41:00Z</dcterms:created>
  <dcterms:modified xsi:type="dcterms:W3CDTF">2025-10-01T13:41:00Z</dcterms:modified>
</cp:coreProperties>
</file>