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01.10.2025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33333"/>
          <w:sz w:val="30"/>
          <w:szCs w:val="30"/>
          <w:highlight w:val="white"/>
          <w:rtl w:val="0"/>
        </w:rPr>
        <w:t xml:space="preserve">Labcon, Value Media i Salestube z kampanią 360 promującą loterię „Foxy… i kasa w BLIK”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Trwa loteria „Foxy… i kasa w BLIK”, której kampanię 360 dla klienta Foxy (ICT Poland) w modelu House of Communication realizują należące do Group One agencje Labcon, Value Media oraz Salestube. Po zarejestrowaniu paragonu uczestnicy mają szansę na wygraną w postaci szybkiego przelewu BLIK. Codziennie do rozdania są 33 nagrody, w tym unikalna dzienna wygrana – 1000 zł. Loteria trwa do 14 listopada 2025 r.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Każda rolka Foxy to inwestycja, która przynosi „odsetki” – dosłownie! Wystarczy kupić produkt marki, zarejestrować paragon na stronie loteriafoxy.pl i już każda rolka zamienia się w szansę na szybki zysk. Kampania bazuje na humorystycznej metaforze finansowej, w której Foxy zmienia się w „papier wartościowy”.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Jak wziąć udział?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Zasady są proste: wystarczy kupić dowolny produkt Foxy*, zarejestrować paragon na stronie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loteriafoxy.pl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i zdrapać eZdrapkę. Po szybkiej weryfikacji paragonu zwycięzcy otrzymują nagrody w formie czeków BLIK – szybkiej gotówki, którą można wydać na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wszystko,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co się chce. Dzięki dużej liczbie nagród, szanse na wygraną są naprawdę wysokie. W ramach jednego zgłoszenia, uczestnik może zarejestrować wyłącznie jeden paragon. Liczby zgłoszeń można natomiast dokonywać bez ograniczeń pod warunkiem posiadania osobnych dowodów zakupu.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Zwykle w sklepie płacimy za produkty, ale Foxy teraz daje szansę, by zakupy stały się źródłem zysku. W naszej loterii każda rolka papieru może zamienić się w gotówkę. Chcemy, by uczestnicy poczuli się częścią czegoś wyjątkowego, bo kto nie chciałby, by papier toaletowy stał się „papierem wartościowym?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podsumowuje Tomasz Walicki, Dyrektor Marketingu Foxy.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„Foxy… i kasa w BLIK” to loteria, która daje uczestnikom więcej niż szansę na wygraną –  realna możliwość szybkiego zysku. Codziennie do wygrania są 33 nagrody, w tym główna wygrana 1000 zł. Loteria trwa od 15 września do 14 listopada 2025 r. i jest dostępna dla każdego, kto zdecyduje się na zakup produktów Foxy – papieru toaletowego, ręczników kuchennych, chusteczek kosmetycznych oraz chusteczek higienicznych w wielopaku. Na zwycięzców czeka w sumie 2 046 nagród o łącznej wartości 310 000 zł! Dołącz do zabawy i poczuj się jak inwestor, czerpiąc zyski w postaci gotówki!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Wyniki loterii publikowane będą na bieżąco. Szczegóły, produkty biorące udział w loterii,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regulamin i formularz zgłoszeniowy dostępne są na stronie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loteriafoxy.pl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Inwestycja z szybkim i…ekologicznym zwrotem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Wybór Foxy to nie tylko okazja na szybką kasę podczas trwania loterii, ale także codzienna inwestycja w przyszłość naszej planety. Marka łączy jakość z odpowiedzialnością: produkty powstają z poszanowaniem zasobów naturalnych, a wszystkie surowce używane w produkcji papierów z asortymentu marki pochodzą z certyfikowanych źródeł. Co więcej, opakowania Foxy zawierają pełne, transparentne informacje o składzie produktów, sposobach utylizacji i wpływie na środowisko. Firma stawia na ekologiczną produkcję – do wytwarzania swojego asortymentu używa energii pochodzącej w 100% z odnawialnych źródeł.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 działania komunikacyjne loterii Foxy odpowiadają agencje należące do Group One, które obsługują klienta ICT Poland w modelu House of Communication, realizując działania mediowe i advocacy pod jednym dachem. Agencja mediowa Value Media odpowiada za strategię, planowanie i zakup mediów, agencja Labcon za działania PR, komunikację w social media oraz współpracę z influencerami, a Salestube za zakup i optymalizację reklamy real-time bidding, paid social oraz kampanię mailingową. Mechanizm wraz z KV loterii przygotowała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agencja Human2Human Sp. z o.o., która zajmuje się obsługą loterii oraz jej strony internetowej.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br w:type="textWrapping"/>
        <w:t xml:space="preserve">Działania komunikacyjne 360 obejmują promocję loterii na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platformach social mediowych (Facebook, Instagram, TikTok), w tym trendujące działania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FOOH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(Fake Out Of Home) oraz współpracę z influencerami, kampanię wideo na VOD, YouTube, Connected TV, współprace z wydawcami Onet i Interia, promocję w gazetkach (Blix 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Gazetkowo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), artykuły sponsorowane, spoty w radio oraz radio online.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Loteria oraz kampania Foxy trwają od 15 września do 15 listopada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Value Media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Największa niezależna agencja mediowa w Polsce będąca częścią grupy marketingowo-technologicznej Group One. Zdobywca tytułu “Dom Mediowy Roku” 2018 i 2022 wg magazynu Media i Marketing Polska i wyróżnienia “Bogate Portfolio” 2025 oraz “Sukces Roku 2022” i “Wzrost Roku 2024” wg magazynu PRESS. Od 2021 roku obejmuje pozycję dominującą w światowym rankingu RECMA. W ramach podejścia House of Communication łączy kompetencje ponad 840 ekspertów do budowania silnych marek. Oferując rozwiązania end-to-end bierze odpowiedzialność za wynik biznesowy klientów w obszarach takich jak: strategia, komunikacja, kreacja, media, e-commerce oraz badania i analityka.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Raleway" w:cs="Raleway" w:eastAsia="Raleway" w:hAnsi="Raleway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Labcon - Relevant Stories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to agencja tworząca komunikację, która angażuje konsumentów. Nagradzana w konkursach takich jak: Effie Awards (3 srebrne statuetki), MIXX Awards (złoto, brąz i wyróżnienie), Innovation Awards (brąz), Złote Spinacze (2 x złoto, srebro, brąz), Young Creatives Cannes (2 x nagroda główna) oraz w konkursie Klubu Twórców Reklamy (srebrny miecz). Wyróżniona nagrodą specjalną Międzynarodowego Festiwalu Kreatywności Golden Drum. Dzięki szerokim kompetencjom (strategia, social media, influencer marketing, PR, branding)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tworzy rekomendacje przez pryzmat potrzeb klienta, a nie wąskiej specjalizacji. </w:t>
      </w:r>
    </w:p>
    <w:p w:rsidR="00000000" w:rsidDel="00000000" w:rsidP="00000000" w:rsidRDefault="00000000" w:rsidRPr="00000000" w14:paraId="00000027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Spółka e-commerce &amp; MarTech connected. Łączy kompetencje w obszarze e-commerce, technologii, danych i mediów, aby budować najlepsze doświadczenie użytkowników w świecie zakupów na ponad 30 światowych rynkach. Partner technologiczny i sprzedażowy Big Tech w regionie CEE, m.in. Google Marketing Platform, Google Cloud,  Salesforce, Synerise, Facebook, Tealium, Shopware. Jedna z pierwszych agencji na świecie z pełną certyfikacją Google Marketing Platform i największy reseller tej technologii w regionie CEE obsługujący ponad 200 klientów na świecie.  Agencja Digital 2021 oraz 2024 i 2025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Performance Marketing Diamonds 2022,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oraz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 2023.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2B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Specialist Group One</w:t>
      </w:r>
    </w:p>
    <w:p w:rsidR="00000000" w:rsidDel="00000000" w:rsidP="00000000" w:rsidRDefault="00000000" w:rsidRPr="00000000" w14:paraId="0000002C">
      <w:pPr>
        <w:spacing w:after="100" w:lineRule="auto"/>
        <w:jc w:val="center"/>
        <w:rPr>
          <w:rFonts w:ascii="Raleway" w:cs="Raleway" w:eastAsia="Raleway" w:hAnsi="Raleway"/>
          <w:i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Fonts w:ascii="Raleway" w:cs="Raleway" w:eastAsia="Raleway" w:hAnsi="Raleway"/>
          <w:i w:val="1"/>
          <w:color w:val="333333"/>
          <w:sz w:val="21"/>
          <w:szCs w:val="2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2D">
      <w:pPr>
        <w:shd w:fill="ffffff" w:val="clear"/>
        <w:spacing w:after="300" w:before="22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300" w:before="220" w:lineRule="auto"/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</w:rPr>
      <w:drawing>
        <wp:inline distB="114300" distT="114300" distL="114300" distR="114300">
          <wp:extent cx="5731200" cy="8382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79" l="0" r="0" t="79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ind w:left="720" w:firstLine="720"/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3075150</wp:posOffset>
          </wp:positionH>
          <wp:positionV relativeFrom="page">
            <wp:posOffset>333375</wp:posOffset>
          </wp:positionV>
          <wp:extent cx="1409700" cy="552450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8571" l="0" r="0" t="31972"/>
                  <a:stretch>
                    <a:fillRect/>
                  </a:stretch>
                </pic:blipFill>
                <pic:spPr>
                  <a:xfrm>
                    <a:off x="0" y="0"/>
                    <a:ext cx="14097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4010025</wp:posOffset>
          </wp:positionH>
          <wp:positionV relativeFrom="paragraph">
            <wp:posOffset>-57149</wp:posOffset>
          </wp:positionV>
          <wp:extent cx="2239800" cy="423746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40432" l="0" r="0" t="40599"/>
                  <a:stretch>
                    <a:fillRect/>
                  </a:stretch>
                </pic:blipFill>
                <pic:spPr>
                  <a:xfrm>
                    <a:off x="0" y="0"/>
                    <a:ext cx="2239800" cy="4237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1</wp:posOffset>
          </wp:positionV>
          <wp:extent cx="1881188" cy="300990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41930" l="0" r="0" t="42262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oteriafoxy.p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