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4D63F4" w14:textId="6D01AEA1" w:rsidR="00C14324" w:rsidRDefault="00AD1413" w:rsidP="001825CB">
      <w:pPr>
        <w:spacing w:after="120"/>
        <w:jc w:val="center"/>
        <w:rPr>
          <w:rFonts w:ascii="Aptos" w:hAnsi="Aptos"/>
          <w:b/>
          <w:color w:val="001B50"/>
        </w:rPr>
      </w:pPr>
      <w:r w:rsidRPr="00C0137C">
        <w:rPr>
          <w:rFonts w:ascii="Aptos" w:hAnsi="Aptos"/>
          <w:b/>
          <w:color w:val="001B50"/>
        </w:rPr>
        <w:t>REDUNIQ Insights</w:t>
      </w:r>
    </w:p>
    <w:p w14:paraId="7F7CE731" w14:textId="77777777" w:rsidR="00771CB8" w:rsidRPr="00C0137C" w:rsidRDefault="00771CB8" w:rsidP="001825CB">
      <w:pPr>
        <w:spacing w:after="120"/>
        <w:jc w:val="center"/>
        <w:rPr>
          <w:rFonts w:ascii="Aptos" w:hAnsi="Aptos"/>
          <w:b/>
          <w:color w:val="001B50"/>
        </w:rPr>
      </w:pPr>
    </w:p>
    <w:p w14:paraId="210E68D5" w14:textId="3C5749A0" w:rsidR="00B03882" w:rsidRDefault="00815EE7" w:rsidP="2814F5A4">
      <w:pPr>
        <w:pBdr>
          <w:top w:val="nil"/>
          <w:left w:val="nil"/>
          <w:bottom w:val="nil"/>
          <w:right w:val="nil"/>
          <w:between w:val="nil"/>
        </w:pBdr>
        <w:spacing w:after="240" w:line="288" w:lineRule="auto"/>
        <w:jc w:val="center"/>
        <w:rPr>
          <w:rFonts w:ascii="Aptos" w:hAnsi="Aptos"/>
          <w:b/>
          <w:bCs/>
          <w:color w:val="001B50"/>
          <w:sz w:val="35"/>
          <w:szCs w:val="35"/>
        </w:rPr>
      </w:pPr>
      <w:r>
        <w:rPr>
          <w:rFonts w:ascii="Aptos" w:hAnsi="Aptos"/>
          <w:b/>
          <w:bCs/>
          <w:color w:val="001B50"/>
          <w:sz w:val="35"/>
          <w:szCs w:val="35"/>
        </w:rPr>
        <w:t>Portugueses</w:t>
      </w:r>
      <w:r w:rsidR="00A1081E">
        <w:rPr>
          <w:rFonts w:ascii="Aptos" w:hAnsi="Aptos"/>
          <w:b/>
          <w:bCs/>
          <w:color w:val="001B50"/>
          <w:sz w:val="35"/>
          <w:szCs w:val="35"/>
        </w:rPr>
        <w:t xml:space="preserve"> são motor do consumo e </w:t>
      </w:r>
      <w:r w:rsidR="00D44D4F">
        <w:rPr>
          <w:rFonts w:ascii="Aptos" w:hAnsi="Aptos"/>
          <w:b/>
          <w:bCs/>
          <w:color w:val="001B50"/>
          <w:sz w:val="35"/>
          <w:szCs w:val="35"/>
        </w:rPr>
        <w:t xml:space="preserve">impulsionam </w:t>
      </w:r>
      <w:r w:rsidR="00880B20">
        <w:rPr>
          <w:rFonts w:ascii="Aptos" w:hAnsi="Aptos"/>
          <w:b/>
          <w:bCs/>
          <w:color w:val="001B50"/>
          <w:sz w:val="35"/>
          <w:szCs w:val="35"/>
        </w:rPr>
        <w:t xml:space="preserve">  </w:t>
      </w:r>
      <w:r w:rsidR="00A1081E">
        <w:rPr>
          <w:rFonts w:ascii="Aptos" w:hAnsi="Aptos"/>
          <w:b/>
          <w:bCs/>
          <w:color w:val="001B50"/>
          <w:sz w:val="35"/>
          <w:szCs w:val="35"/>
        </w:rPr>
        <w:t>a economia</w:t>
      </w:r>
      <w:r w:rsidR="00550140" w:rsidRPr="00550140">
        <w:rPr>
          <w:rFonts w:ascii="Aptos" w:hAnsi="Aptos"/>
          <w:b/>
          <w:bCs/>
          <w:color w:val="001B50"/>
          <w:sz w:val="35"/>
          <w:szCs w:val="35"/>
        </w:rPr>
        <w:t xml:space="preserve"> no verão de 2025</w:t>
      </w:r>
      <w:r w:rsidR="001643D4">
        <w:rPr>
          <w:rFonts w:ascii="Aptos" w:hAnsi="Aptos"/>
          <w:b/>
          <w:bCs/>
          <w:color w:val="001B50"/>
          <w:sz w:val="35"/>
          <w:szCs w:val="35"/>
        </w:rPr>
        <w:t xml:space="preserve"> </w:t>
      </w:r>
    </w:p>
    <w:p w14:paraId="4F58AA9C" w14:textId="7652E39B" w:rsidR="00D142B7" w:rsidRPr="00D142B7" w:rsidRDefault="00550140" w:rsidP="2814F5A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360" w:line="288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 faturação geral do País aumentou 9,9</w:t>
      </w:r>
      <w:r w:rsidR="001643D4">
        <w:rPr>
          <w:b/>
          <w:bCs/>
          <w:sz w:val="20"/>
          <w:szCs w:val="20"/>
        </w:rPr>
        <w:t>9</w:t>
      </w:r>
      <w:r>
        <w:rPr>
          <w:b/>
          <w:bCs/>
          <w:sz w:val="20"/>
          <w:szCs w:val="20"/>
        </w:rPr>
        <w:t xml:space="preserve">% no verão de 2025, </w:t>
      </w:r>
      <w:r w:rsidR="004C7EE0">
        <w:rPr>
          <w:b/>
          <w:bCs/>
          <w:sz w:val="20"/>
          <w:szCs w:val="20"/>
        </w:rPr>
        <w:t>com um for</w:t>
      </w:r>
      <w:r w:rsidR="001239C0">
        <w:rPr>
          <w:b/>
          <w:bCs/>
          <w:sz w:val="20"/>
          <w:szCs w:val="20"/>
        </w:rPr>
        <w:t>t</w:t>
      </w:r>
      <w:r w:rsidR="004C7EE0">
        <w:rPr>
          <w:b/>
          <w:bCs/>
          <w:sz w:val="20"/>
          <w:szCs w:val="20"/>
        </w:rPr>
        <w:t>e contributo do mercado nacional, que cresceu</w:t>
      </w:r>
      <w:r w:rsidR="001239C0">
        <w:rPr>
          <w:b/>
          <w:bCs/>
          <w:sz w:val="20"/>
          <w:szCs w:val="20"/>
        </w:rPr>
        <w:t xml:space="preserve"> 13,56%.</w:t>
      </w:r>
    </w:p>
    <w:p w14:paraId="1535AB04" w14:textId="05E79F80" w:rsidR="00D142B7" w:rsidRDefault="00550140" w:rsidP="2814F5A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360" w:line="288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O Algarve destacou-se com o maior ticket médio (43€), mas o Centro registou </w:t>
      </w:r>
      <w:r w:rsidR="00F1208B">
        <w:rPr>
          <w:b/>
          <w:bCs/>
          <w:sz w:val="20"/>
          <w:szCs w:val="20"/>
        </w:rPr>
        <w:t>o maior crescimento da faturação (16,</w:t>
      </w:r>
      <w:r w:rsidR="001643D4">
        <w:rPr>
          <w:b/>
          <w:bCs/>
          <w:sz w:val="20"/>
          <w:szCs w:val="20"/>
        </w:rPr>
        <w:t>4</w:t>
      </w:r>
      <w:r w:rsidR="00F1208B">
        <w:rPr>
          <w:b/>
          <w:bCs/>
          <w:sz w:val="20"/>
          <w:szCs w:val="20"/>
        </w:rPr>
        <w:t>5%)</w:t>
      </w:r>
      <w:r w:rsidR="00D142B7" w:rsidRPr="2814F5A4">
        <w:rPr>
          <w:b/>
          <w:bCs/>
          <w:sz w:val="20"/>
          <w:szCs w:val="20"/>
        </w:rPr>
        <w:t>.</w:t>
      </w:r>
    </w:p>
    <w:p w14:paraId="7BBF74F4" w14:textId="5D018511" w:rsidR="00F1208B" w:rsidRPr="00D142B7" w:rsidRDefault="00F1208B" w:rsidP="2814F5A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360" w:line="288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Os turistas franceses</w:t>
      </w:r>
      <w:r w:rsidR="00A7082C">
        <w:rPr>
          <w:b/>
          <w:bCs/>
          <w:sz w:val="20"/>
          <w:szCs w:val="20"/>
        </w:rPr>
        <w:t xml:space="preserve"> (15,9</w:t>
      </w:r>
      <w:r w:rsidR="001643D4">
        <w:rPr>
          <w:b/>
          <w:bCs/>
          <w:sz w:val="20"/>
          <w:szCs w:val="20"/>
        </w:rPr>
        <w:t>1</w:t>
      </w:r>
      <w:r w:rsidR="00A7082C">
        <w:rPr>
          <w:b/>
          <w:bCs/>
          <w:sz w:val="20"/>
          <w:szCs w:val="20"/>
        </w:rPr>
        <w:t>%)</w:t>
      </w:r>
      <w:r>
        <w:rPr>
          <w:b/>
          <w:bCs/>
          <w:sz w:val="20"/>
          <w:szCs w:val="20"/>
        </w:rPr>
        <w:t xml:space="preserve"> e irlande</w:t>
      </w:r>
      <w:r w:rsidR="00A7082C">
        <w:rPr>
          <w:b/>
          <w:bCs/>
          <w:sz w:val="20"/>
          <w:szCs w:val="20"/>
        </w:rPr>
        <w:t>ses (14,</w:t>
      </w:r>
      <w:r w:rsidR="001643D4">
        <w:rPr>
          <w:b/>
          <w:bCs/>
          <w:sz w:val="20"/>
          <w:szCs w:val="20"/>
        </w:rPr>
        <w:t>29</w:t>
      </w:r>
      <w:r w:rsidR="00A7082C">
        <w:rPr>
          <w:b/>
          <w:bCs/>
          <w:sz w:val="20"/>
          <w:szCs w:val="20"/>
        </w:rPr>
        <w:t>%) foram os que mais contribuíram para a faturação estrangeira este ano</w:t>
      </w:r>
      <w:r w:rsidR="00255FA2">
        <w:rPr>
          <w:b/>
          <w:bCs/>
          <w:sz w:val="20"/>
          <w:szCs w:val="20"/>
        </w:rPr>
        <w:t>.</w:t>
      </w:r>
    </w:p>
    <w:p w14:paraId="0884E527" w14:textId="5A70A27A" w:rsidR="00BD77FA" w:rsidRPr="00022EDC" w:rsidRDefault="00157CD9" w:rsidP="005441BF">
      <w:pPr>
        <w:spacing w:after="240" w:line="360" w:lineRule="auto"/>
        <w:jc w:val="both"/>
      </w:pPr>
      <w:r>
        <w:rPr>
          <w:b/>
        </w:rPr>
        <w:t>Lisboa,</w:t>
      </w:r>
      <w:r w:rsidR="000C05E3">
        <w:rPr>
          <w:b/>
        </w:rPr>
        <w:t xml:space="preserve"> </w:t>
      </w:r>
      <w:r w:rsidR="00AD1A0E">
        <w:rPr>
          <w:b/>
        </w:rPr>
        <w:t>30</w:t>
      </w:r>
      <w:r w:rsidR="00583BE0">
        <w:rPr>
          <w:b/>
        </w:rPr>
        <w:t xml:space="preserve"> de </w:t>
      </w:r>
      <w:r w:rsidR="0005430B">
        <w:rPr>
          <w:b/>
        </w:rPr>
        <w:t>setembro</w:t>
      </w:r>
      <w:r>
        <w:rPr>
          <w:b/>
        </w:rPr>
        <w:t xml:space="preserve"> de 202</w:t>
      </w:r>
      <w:r w:rsidR="00982F98">
        <w:rPr>
          <w:b/>
        </w:rPr>
        <w:t>5</w:t>
      </w:r>
      <w:r>
        <w:rPr>
          <w:b/>
        </w:rPr>
        <w:t xml:space="preserve"> </w:t>
      </w:r>
      <w:r w:rsidR="00815EE7">
        <w:t>–</w:t>
      </w:r>
      <w:r w:rsidR="005441BF" w:rsidRPr="005441BF">
        <w:t xml:space="preserve"> </w:t>
      </w:r>
      <w:r w:rsidR="00815EE7">
        <w:t>O verão é sempre um período positivo para a economia portuguesa, com o bom tempo a</w:t>
      </w:r>
      <w:r w:rsidR="00D44D4F">
        <w:t xml:space="preserve"> levar </w:t>
      </w:r>
      <w:r w:rsidR="00815EE7">
        <w:t>turistas e residentes a passarem mais tempo fora de casa. Este ano não foi exceção e, d</w:t>
      </w:r>
      <w:r w:rsidR="005441BF">
        <w:t xml:space="preserve">e acordo com o </w:t>
      </w:r>
      <w:hyperlink r:id="rId12" w:history="1">
        <w:r w:rsidR="005441BF" w:rsidRPr="00AD1A0E">
          <w:rPr>
            <w:rStyle w:val="Hiperligao"/>
          </w:rPr>
          <w:t>relatório de verão da REDUNIQ Insights</w:t>
        </w:r>
      </w:hyperlink>
      <w:r w:rsidR="005441BF">
        <w:t xml:space="preserve">, que analisa a evolução dos pagamentos registados por cartão </w:t>
      </w:r>
      <w:r w:rsidR="006C7240">
        <w:t xml:space="preserve">na </w:t>
      </w:r>
      <w:r w:rsidR="005441BF">
        <w:t>rede de aceitação de pagamentos da</w:t>
      </w:r>
      <w:hyperlink r:id="rId13" w:history="1">
        <w:r w:rsidR="005441BF" w:rsidRPr="00435C0B">
          <w:rPr>
            <w:rStyle w:val="Hiperligao"/>
          </w:rPr>
          <w:t xml:space="preserve"> REDUNIQ</w:t>
        </w:r>
      </w:hyperlink>
      <w:r w:rsidR="005441BF">
        <w:t xml:space="preserve">, </w:t>
      </w:r>
      <w:r w:rsidR="00B135E4">
        <w:t>a força deste crescimento veio, sobretudo, d</w:t>
      </w:r>
      <w:r w:rsidR="00D60DBE">
        <w:t>os portugueses. E</w:t>
      </w:r>
      <w:r w:rsidR="005441BF">
        <w:t xml:space="preserve">ntre </w:t>
      </w:r>
      <w:r w:rsidR="005441BF" w:rsidRPr="00F74827">
        <w:t>1 de ju</w:t>
      </w:r>
      <w:r w:rsidR="00815EE7">
        <w:t>l</w:t>
      </w:r>
      <w:r w:rsidR="005441BF" w:rsidRPr="00F74827">
        <w:t>ho</w:t>
      </w:r>
      <w:r w:rsidR="005441BF">
        <w:t xml:space="preserve"> e 1 de setembro de 202</w:t>
      </w:r>
      <w:r w:rsidR="008B681E">
        <w:t>5</w:t>
      </w:r>
      <w:r w:rsidR="005441BF">
        <w:t>, houve um aumento de 9,9</w:t>
      </w:r>
      <w:r w:rsidR="00D60DBE">
        <w:t>9</w:t>
      </w:r>
      <w:r w:rsidR="005441BF">
        <w:t>% na faturação geral do país, verificando-se uma subida de 13,</w:t>
      </w:r>
      <w:r w:rsidR="00D60DBE">
        <w:t>5</w:t>
      </w:r>
      <w:r w:rsidR="005441BF">
        <w:t>6% na faturação de origem nacional e de 2</w:t>
      </w:r>
      <w:r w:rsidR="008B325D">
        <w:t>,</w:t>
      </w:r>
      <w:r w:rsidR="005441BF">
        <w:t>9</w:t>
      </w:r>
      <w:r w:rsidR="00D60DBE">
        <w:t>0</w:t>
      </w:r>
      <w:r w:rsidR="005441BF">
        <w:t xml:space="preserve">% na estrangeira, face a período </w:t>
      </w:r>
      <w:r w:rsidR="005441BF" w:rsidRPr="00022EDC">
        <w:t>homólogo anterior</w:t>
      </w:r>
      <w:r w:rsidR="00B135E4" w:rsidRPr="00022EDC">
        <w:t>.</w:t>
      </w:r>
    </w:p>
    <w:p w14:paraId="154EF8B4" w14:textId="69B6071B" w:rsidR="00815AAC" w:rsidRPr="00022EDC" w:rsidRDefault="00D859D4" w:rsidP="005441BF">
      <w:pPr>
        <w:spacing w:after="240" w:line="360" w:lineRule="auto"/>
        <w:jc w:val="both"/>
      </w:pPr>
      <w:r w:rsidRPr="00022EDC">
        <w:t>Os dados deste ano revelam transformações claras nos hábitos de consumo durante o período estiva</w:t>
      </w:r>
      <w:r w:rsidR="00D534BB" w:rsidRPr="00022EDC">
        <w:t xml:space="preserve">l, com o </w:t>
      </w:r>
      <w:r w:rsidR="00D534BB" w:rsidRPr="00CC6950">
        <w:rPr>
          <w:b/>
          <w:bCs/>
        </w:rPr>
        <w:t xml:space="preserve">setor dos </w:t>
      </w:r>
      <w:r w:rsidR="00815AAC" w:rsidRPr="00CC6950">
        <w:rPr>
          <w:b/>
          <w:bCs/>
        </w:rPr>
        <w:t>casinos e salas de jogo</w:t>
      </w:r>
      <w:r w:rsidR="00815AAC" w:rsidRPr="00022EDC">
        <w:t xml:space="preserve"> </w:t>
      </w:r>
      <w:r w:rsidR="00D534BB" w:rsidRPr="00022EDC">
        <w:t xml:space="preserve">a </w:t>
      </w:r>
      <w:r w:rsidR="00815AAC" w:rsidRPr="00022EDC">
        <w:t>registar</w:t>
      </w:r>
      <w:r w:rsidR="00D534BB" w:rsidRPr="00022EDC">
        <w:t>e</w:t>
      </w:r>
      <w:r w:rsidR="00815AAC" w:rsidRPr="00022EDC">
        <w:t xml:space="preserve">m uma subida impressionante de </w:t>
      </w:r>
      <w:r w:rsidR="00815AAC" w:rsidRPr="00CC6950">
        <w:rPr>
          <w:b/>
          <w:bCs/>
        </w:rPr>
        <w:t>296,9%</w:t>
      </w:r>
      <w:r w:rsidR="00815AAC" w:rsidRPr="00022EDC">
        <w:t>,</w:t>
      </w:r>
      <w:r w:rsidR="00D534BB" w:rsidRPr="00022EDC">
        <w:t xml:space="preserve"> enquanto</w:t>
      </w:r>
      <w:r w:rsidR="00815AAC" w:rsidRPr="00022EDC">
        <w:t xml:space="preserve"> as </w:t>
      </w:r>
      <w:r w:rsidR="00815AAC" w:rsidRPr="00CC6950">
        <w:rPr>
          <w:b/>
          <w:bCs/>
        </w:rPr>
        <w:t>gasolineiras avançaram 43,7%</w:t>
      </w:r>
      <w:r w:rsidR="00815AAC" w:rsidRPr="00022EDC">
        <w:t xml:space="preserve"> e a </w:t>
      </w:r>
      <w:r w:rsidR="00815AAC" w:rsidRPr="00CC6950">
        <w:rPr>
          <w:b/>
          <w:bCs/>
        </w:rPr>
        <w:t>veterinária cresceu 27,4%</w:t>
      </w:r>
      <w:r w:rsidR="00815AAC" w:rsidRPr="00022EDC">
        <w:t xml:space="preserve">. Em contraciclo, a </w:t>
      </w:r>
      <w:r w:rsidR="00815AAC" w:rsidRPr="00140114">
        <w:rPr>
          <w:b/>
          <w:bCs/>
        </w:rPr>
        <w:t>hotelaria e atividades turísticas recuaram 7,1</w:t>
      </w:r>
      <w:r w:rsidR="00FF3E52">
        <w:rPr>
          <w:b/>
          <w:bCs/>
        </w:rPr>
        <w:t>1</w:t>
      </w:r>
      <w:r w:rsidR="00815AAC" w:rsidRPr="00140114">
        <w:rPr>
          <w:b/>
          <w:bCs/>
        </w:rPr>
        <w:t>%</w:t>
      </w:r>
      <w:r w:rsidR="00815AAC" w:rsidRPr="00022EDC">
        <w:t xml:space="preserve">, mostrando que o turismo interno e externo viveu um verão mais contido neste segmento. Já a </w:t>
      </w:r>
      <w:r w:rsidR="00815AAC" w:rsidRPr="00140114">
        <w:rPr>
          <w:b/>
          <w:bCs/>
        </w:rPr>
        <w:t>restauração subiu 5,45%</w:t>
      </w:r>
      <w:r w:rsidR="00815AAC" w:rsidRPr="00022EDC">
        <w:t xml:space="preserve"> e os </w:t>
      </w:r>
      <w:proofErr w:type="spellStart"/>
      <w:r w:rsidR="00815AAC" w:rsidRPr="00140114">
        <w:rPr>
          <w:b/>
          <w:bCs/>
        </w:rPr>
        <w:t>hiper</w:t>
      </w:r>
      <w:proofErr w:type="spellEnd"/>
      <w:r w:rsidR="00815AAC" w:rsidRPr="00140114">
        <w:rPr>
          <w:b/>
          <w:bCs/>
        </w:rPr>
        <w:t xml:space="preserve"> e supermercados registaram mais 10,85%</w:t>
      </w:r>
      <w:r w:rsidR="00815AAC" w:rsidRPr="00022EDC">
        <w:t>, reforçando o papel central do consumo diário.</w:t>
      </w:r>
    </w:p>
    <w:p w14:paraId="1B2A01C4" w14:textId="762344C3" w:rsidR="002167BB" w:rsidRPr="00022EDC" w:rsidRDefault="002167BB" w:rsidP="00260A22">
      <w:pPr>
        <w:spacing w:after="240" w:line="360" w:lineRule="auto"/>
        <w:jc w:val="both"/>
      </w:pPr>
      <w:r w:rsidRPr="00022EDC">
        <w:t>O</w:t>
      </w:r>
      <w:r w:rsidR="00260A22" w:rsidRPr="00022EDC">
        <w:t xml:space="preserve"> número de transações </w:t>
      </w:r>
      <w:r w:rsidRPr="00022EDC">
        <w:t xml:space="preserve">também </w:t>
      </w:r>
      <w:r w:rsidR="00F725F4" w:rsidRPr="00022EDC">
        <w:t>aumentou no período em análise</w:t>
      </w:r>
      <w:r w:rsidRPr="00022EDC">
        <w:t xml:space="preserve">, </w:t>
      </w:r>
      <w:r w:rsidR="00567A36">
        <w:t xml:space="preserve">um aumento de </w:t>
      </w:r>
      <w:r w:rsidR="00260A22" w:rsidRPr="00022EDC">
        <w:t>11,42%</w:t>
      </w:r>
      <w:r w:rsidRPr="00022EDC">
        <w:t xml:space="preserve"> </w:t>
      </w:r>
      <w:r w:rsidR="00260A22" w:rsidRPr="00022EDC">
        <w:t>face ao ano anterior</w:t>
      </w:r>
      <w:r w:rsidRPr="00022EDC">
        <w:t xml:space="preserve">. </w:t>
      </w:r>
      <w:r w:rsidR="004921CC" w:rsidRPr="00022EDC">
        <w:t xml:space="preserve">Mais uma vez, os portugueses marcaram a diferença, com as transações </w:t>
      </w:r>
      <w:r w:rsidR="00132F9D">
        <w:t xml:space="preserve">de </w:t>
      </w:r>
      <w:r w:rsidR="00132F9D" w:rsidRPr="00567A36">
        <w:rPr>
          <w:b/>
          <w:bCs/>
        </w:rPr>
        <w:t xml:space="preserve">cartões nacionais </w:t>
      </w:r>
      <w:r w:rsidR="004921CC" w:rsidRPr="00567A36">
        <w:rPr>
          <w:b/>
          <w:bCs/>
        </w:rPr>
        <w:t>a crescerem 12,64%</w:t>
      </w:r>
      <w:r w:rsidR="004921CC" w:rsidRPr="00022EDC">
        <w:t>, enquanto as de origem estrangeira avançaram 7,18%.</w:t>
      </w:r>
    </w:p>
    <w:p w14:paraId="413C3F72" w14:textId="5E46965C" w:rsidR="00323D2C" w:rsidRPr="00022EDC" w:rsidRDefault="00A64586" w:rsidP="00FE4DCB">
      <w:pPr>
        <w:spacing w:after="240" w:line="360" w:lineRule="auto"/>
        <w:jc w:val="both"/>
      </w:pPr>
      <w:r w:rsidRPr="00022EDC">
        <w:t xml:space="preserve">Já o </w:t>
      </w:r>
      <w:r w:rsidRPr="00567A36">
        <w:rPr>
          <w:b/>
          <w:bCs/>
        </w:rPr>
        <w:t xml:space="preserve">ticket médio </w:t>
      </w:r>
      <w:r w:rsidR="003C5EE9" w:rsidRPr="00567A36">
        <w:rPr>
          <w:b/>
          <w:bCs/>
        </w:rPr>
        <w:t>esfriou neste verão, situando-se nos 33,86€</w:t>
      </w:r>
      <w:r w:rsidR="003C5EE9" w:rsidRPr="00022EDC">
        <w:t xml:space="preserve">, </w:t>
      </w:r>
      <w:r w:rsidRPr="00022EDC">
        <w:t xml:space="preserve">uma quebra de 1,96%. </w:t>
      </w:r>
      <w:r w:rsidR="003F4F4A" w:rsidRPr="00022EDC">
        <w:t xml:space="preserve">O consumo estrangeiro foi o principal contributo para esta descida, ao diminuir 4%, para os 49,55€. Por sua vez, o consumo nacional aumentou para os 29,59€. Embora o acréscimo seja </w:t>
      </w:r>
      <w:r w:rsidR="003F4F4A" w:rsidRPr="00022EDC">
        <w:lastRenderedPageBreak/>
        <w:t>residual (0,8</w:t>
      </w:r>
      <w:r w:rsidR="00E12DD7">
        <w:t>2</w:t>
      </w:r>
      <w:r w:rsidR="003F4F4A" w:rsidRPr="00022EDC">
        <w:t xml:space="preserve">%), </w:t>
      </w:r>
      <w:r w:rsidR="00937466" w:rsidRPr="00022EDC">
        <w:t>o comportamento dos portugueses demonstra uma evolução</w:t>
      </w:r>
      <w:r w:rsidR="003C5EE9" w:rsidRPr="00022EDC">
        <w:t xml:space="preserve"> positiva</w:t>
      </w:r>
      <w:r w:rsidR="00937466" w:rsidRPr="00022EDC">
        <w:t xml:space="preserve"> da economia</w:t>
      </w:r>
      <w:r w:rsidR="003C5EE9" w:rsidRPr="00022EDC">
        <w:t xml:space="preserve"> </w:t>
      </w:r>
      <w:r w:rsidR="002F4109" w:rsidRPr="00022EDC">
        <w:t>e do consumo nacional.</w:t>
      </w:r>
    </w:p>
    <w:p w14:paraId="5975121F" w14:textId="516660FA" w:rsidR="004739AE" w:rsidRPr="00022EDC" w:rsidRDefault="00E765AA" w:rsidP="00B2561C">
      <w:pPr>
        <w:spacing w:after="240" w:line="360" w:lineRule="auto"/>
        <w:jc w:val="both"/>
      </w:pPr>
      <w:r w:rsidRPr="00022EDC">
        <w:t>À semelhança do ano passado, o</w:t>
      </w:r>
      <w:r w:rsidR="0079444A" w:rsidRPr="00022EDC">
        <w:t>s turistas</w:t>
      </w:r>
      <w:r w:rsidR="005441BF" w:rsidRPr="00022EDC">
        <w:t xml:space="preserve"> </w:t>
      </w:r>
      <w:r w:rsidR="005441BF" w:rsidRPr="005A140A">
        <w:rPr>
          <w:b/>
          <w:bCs/>
        </w:rPr>
        <w:t>franceses (15,9</w:t>
      </w:r>
      <w:r w:rsidR="00DB6BFB" w:rsidRPr="005A140A">
        <w:rPr>
          <w:b/>
          <w:bCs/>
        </w:rPr>
        <w:t>1</w:t>
      </w:r>
      <w:r w:rsidR="005441BF" w:rsidRPr="005A140A">
        <w:rPr>
          <w:b/>
          <w:bCs/>
        </w:rPr>
        <w:t>%), irlandeses (14,</w:t>
      </w:r>
      <w:r w:rsidR="00DB6BFB" w:rsidRPr="005A140A">
        <w:rPr>
          <w:b/>
          <w:bCs/>
        </w:rPr>
        <w:t>29</w:t>
      </w:r>
      <w:r w:rsidR="005441BF" w:rsidRPr="005A140A">
        <w:rPr>
          <w:b/>
          <w:bCs/>
        </w:rPr>
        <w:t>%), ingleses (13</w:t>
      </w:r>
      <w:r w:rsidR="00995EC9" w:rsidRPr="005A140A">
        <w:rPr>
          <w:b/>
          <w:bCs/>
        </w:rPr>
        <w:t>,0</w:t>
      </w:r>
      <w:r w:rsidR="00DB6BFB" w:rsidRPr="005A140A">
        <w:rPr>
          <w:b/>
          <w:bCs/>
        </w:rPr>
        <w:t>4</w:t>
      </w:r>
      <w:r w:rsidR="005441BF" w:rsidRPr="005A140A">
        <w:rPr>
          <w:b/>
          <w:bCs/>
        </w:rPr>
        <w:t>%)</w:t>
      </w:r>
      <w:r w:rsidR="003C5EE9" w:rsidRPr="00022EDC">
        <w:t xml:space="preserve"> </w:t>
      </w:r>
      <w:r w:rsidR="005441BF" w:rsidRPr="00022EDC">
        <w:t>foram os que mais contribuíram para a faturação estrangeira</w:t>
      </w:r>
      <w:r w:rsidR="00912663" w:rsidRPr="00022EDC">
        <w:t xml:space="preserve"> este</w:t>
      </w:r>
      <w:r w:rsidR="005441BF" w:rsidRPr="00022EDC">
        <w:t xml:space="preserve"> verão. No entanto, o Brasil</w:t>
      </w:r>
      <w:r w:rsidR="00DA6256" w:rsidRPr="00022EDC">
        <w:t>,</w:t>
      </w:r>
      <w:r w:rsidR="005441BF" w:rsidRPr="00022EDC">
        <w:t xml:space="preserve"> a Alemanha </w:t>
      </w:r>
      <w:r w:rsidR="00DA6256" w:rsidRPr="00022EDC">
        <w:t xml:space="preserve">e os EUA </w:t>
      </w:r>
      <w:r w:rsidR="005441BF" w:rsidRPr="00022EDC">
        <w:t>foram os mercados com maior crescimento da faturação</w:t>
      </w:r>
      <w:r w:rsidR="00DB6BFB" w:rsidRPr="00022EDC">
        <w:t xml:space="preserve"> no top 10 dos mercados </w:t>
      </w:r>
      <w:r w:rsidR="008E2E0A" w:rsidRPr="00022EDC">
        <w:t>internacionais</w:t>
      </w:r>
      <w:r w:rsidR="005441BF" w:rsidRPr="00022EDC">
        <w:t xml:space="preserve"> (1</w:t>
      </w:r>
      <w:r w:rsidR="00DA6256" w:rsidRPr="00022EDC">
        <w:t>1,4</w:t>
      </w:r>
      <w:r w:rsidR="00DB6BFB" w:rsidRPr="00022EDC">
        <w:t>1</w:t>
      </w:r>
      <w:r w:rsidR="005441BF" w:rsidRPr="00022EDC">
        <w:t xml:space="preserve">%, </w:t>
      </w:r>
      <w:r w:rsidR="00DA6256" w:rsidRPr="00022EDC">
        <w:t>3,9</w:t>
      </w:r>
      <w:r w:rsidR="00DB6BFB" w:rsidRPr="00022EDC">
        <w:t>9</w:t>
      </w:r>
      <w:r w:rsidR="005441BF" w:rsidRPr="00022EDC">
        <w:t xml:space="preserve">% e </w:t>
      </w:r>
      <w:r w:rsidR="008A1F2A" w:rsidRPr="00022EDC">
        <w:t>2,1</w:t>
      </w:r>
      <w:r w:rsidR="00DB6BFB" w:rsidRPr="00022EDC">
        <w:t>0</w:t>
      </w:r>
      <w:r w:rsidR="005441BF" w:rsidRPr="00022EDC">
        <w:t>%, respetivamente).</w:t>
      </w:r>
      <w:r w:rsidR="00FE4DCB" w:rsidRPr="00022EDC">
        <w:t xml:space="preserve"> </w:t>
      </w:r>
    </w:p>
    <w:p w14:paraId="54CF629D" w14:textId="730D1F42" w:rsidR="005441BF" w:rsidRPr="00022EDC" w:rsidRDefault="00FE4DCB" w:rsidP="00B2561C">
      <w:pPr>
        <w:spacing w:after="240" w:line="360" w:lineRule="auto"/>
        <w:jc w:val="both"/>
      </w:pPr>
      <w:r w:rsidRPr="00022EDC">
        <w:t xml:space="preserve">O </w:t>
      </w:r>
      <w:r w:rsidRPr="005A140A">
        <w:rPr>
          <w:b/>
          <w:bCs/>
        </w:rPr>
        <w:t>ticket médio mais elevado pertenceu aos irlandeses</w:t>
      </w:r>
      <w:r w:rsidRPr="00022EDC">
        <w:t xml:space="preserve"> (131,12€), muito acima da média geral, </w:t>
      </w:r>
      <w:r w:rsidR="005441BF" w:rsidRPr="00022EDC">
        <w:t>seguido dos EUA (64,7</w:t>
      </w:r>
      <w:r w:rsidR="00DB6BFB" w:rsidRPr="00022EDC">
        <w:t>0€</w:t>
      </w:r>
      <w:r w:rsidR="005441BF" w:rsidRPr="00022EDC">
        <w:t xml:space="preserve">, </w:t>
      </w:r>
      <w:r w:rsidR="00DB6BFB" w:rsidRPr="00022EDC">
        <w:t xml:space="preserve">uma quebra de </w:t>
      </w:r>
      <w:r w:rsidR="005441BF" w:rsidRPr="00022EDC">
        <w:t>6,4</w:t>
      </w:r>
      <w:r w:rsidR="00DB6BFB" w:rsidRPr="00022EDC">
        <w:t>4</w:t>
      </w:r>
      <w:r w:rsidR="005441BF" w:rsidRPr="00022EDC">
        <w:t>%) e da Suíça (53,6</w:t>
      </w:r>
      <w:r w:rsidR="00BF1961" w:rsidRPr="00022EDC">
        <w:t>2</w:t>
      </w:r>
      <w:r w:rsidR="005441BF" w:rsidRPr="00022EDC">
        <w:t xml:space="preserve">€, </w:t>
      </w:r>
      <w:r w:rsidR="00DB6BFB" w:rsidRPr="00022EDC">
        <w:t xml:space="preserve">com uma redução de </w:t>
      </w:r>
      <w:r w:rsidR="005441BF" w:rsidRPr="00022EDC">
        <w:t>9,</w:t>
      </w:r>
      <w:r w:rsidR="00DB6BFB" w:rsidRPr="00022EDC">
        <w:t>5</w:t>
      </w:r>
      <w:r w:rsidR="005441BF" w:rsidRPr="00022EDC">
        <w:t>6%)</w:t>
      </w:r>
      <w:r w:rsidR="001643D4" w:rsidRPr="00022EDC">
        <w:t>.</w:t>
      </w:r>
    </w:p>
    <w:p w14:paraId="4B4225A3" w14:textId="4F6F09D0" w:rsidR="00B2561C" w:rsidRPr="00022EDC" w:rsidRDefault="003C5EE9" w:rsidP="00B2561C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color w:val="000000"/>
        </w:rPr>
      </w:pPr>
      <w:r w:rsidRPr="00022EDC">
        <w:rPr>
          <w:color w:val="000000"/>
        </w:rPr>
        <w:t xml:space="preserve">Em termos de performance </w:t>
      </w:r>
      <w:r w:rsidR="002F4109" w:rsidRPr="00022EDC">
        <w:rPr>
          <w:color w:val="000000"/>
        </w:rPr>
        <w:t>do</w:t>
      </w:r>
      <w:r w:rsidRPr="00022EDC">
        <w:rPr>
          <w:color w:val="000000"/>
        </w:rPr>
        <w:t xml:space="preserve"> país, o</w:t>
      </w:r>
      <w:r w:rsidR="00A83E91" w:rsidRPr="00022EDC">
        <w:rPr>
          <w:color w:val="000000"/>
        </w:rPr>
        <w:t xml:space="preserve"> </w:t>
      </w:r>
      <w:r w:rsidR="001643D4" w:rsidRPr="005A140A">
        <w:rPr>
          <w:b/>
          <w:bCs/>
          <w:color w:val="000000"/>
        </w:rPr>
        <w:t>Centro</w:t>
      </w:r>
      <w:r w:rsidR="003538A2" w:rsidRPr="005A140A">
        <w:rPr>
          <w:b/>
          <w:bCs/>
          <w:color w:val="000000"/>
        </w:rPr>
        <w:t xml:space="preserve"> foi a região mais dinâmica</w:t>
      </w:r>
      <w:r w:rsidR="003538A2" w:rsidRPr="00022EDC">
        <w:rPr>
          <w:color w:val="000000"/>
        </w:rPr>
        <w:t xml:space="preserve">, com aumentos de 16,45% </w:t>
      </w:r>
      <w:r w:rsidR="003F3A54" w:rsidRPr="00022EDC">
        <w:rPr>
          <w:color w:val="000000"/>
        </w:rPr>
        <w:t>na faturação e de 15,46% no número de transações</w:t>
      </w:r>
      <w:r w:rsidR="00F93E35" w:rsidRPr="00022EDC">
        <w:rPr>
          <w:color w:val="000000"/>
        </w:rPr>
        <w:t>, o que valoriza o trabalho que tem sido feito</w:t>
      </w:r>
      <w:r w:rsidR="00ED4908" w:rsidRPr="00022EDC">
        <w:rPr>
          <w:color w:val="000000"/>
        </w:rPr>
        <w:t xml:space="preserve"> </w:t>
      </w:r>
      <w:r w:rsidR="005A140A">
        <w:rPr>
          <w:color w:val="000000"/>
        </w:rPr>
        <w:t xml:space="preserve">pela região </w:t>
      </w:r>
      <w:r w:rsidR="00F93E35" w:rsidRPr="00022EDC">
        <w:rPr>
          <w:color w:val="000000"/>
        </w:rPr>
        <w:t>na promoção turística.</w:t>
      </w:r>
      <w:r w:rsidR="00B2561C" w:rsidRPr="00022EDC">
        <w:rPr>
          <w:color w:val="000000"/>
        </w:rPr>
        <w:t xml:space="preserve"> </w:t>
      </w:r>
      <w:r w:rsidR="008F6FFC" w:rsidRPr="00022EDC">
        <w:rPr>
          <w:color w:val="000000"/>
        </w:rPr>
        <w:t>O Alentejo (subida</w:t>
      </w:r>
      <w:r w:rsidR="00052040" w:rsidRPr="00022EDC">
        <w:rPr>
          <w:color w:val="000000"/>
        </w:rPr>
        <w:t>s</w:t>
      </w:r>
      <w:r w:rsidR="008F6FFC" w:rsidRPr="00022EDC">
        <w:rPr>
          <w:color w:val="000000"/>
        </w:rPr>
        <w:t xml:space="preserve"> de 14,51%</w:t>
      </w:r>
      <w:r w:rsidR="00C97232" w:rsidRPr="00022EDC">
        <w:rPr>
          <w:color w:val="000000"/>
        </w:rPr>
        <w:t xml:space="preserve"> e 14,49%, respetivamente</w:t>
      </w:r>
      <w:r w:rsidR="008F6FFC" w:rsidRPr="00022EDC">
        <w:rPr>
          <w:color w:val="000000"/>
        </w:rPr>
        <w:t>) e o Norte (</w:t>
      </w:r>
      <w:r w:rsidR="00B34A59" w:rsidRPr="00022EDC">
        <w:rPr>
          <w:color w:val="000000"/>
        </w:rPr>
        <w:t>aumentos</w:t>
      </w:r>
      <w:r w:rsidR="00052040" w:rsidRPr="00022EDC">
        <w:rPr>
          <w:color w:val="000000"/>
        </w:rPr>
        <w:t xml:space="preserve"> de </w:t>
      </w:r>
      <w:r w:rsidR="008F6FFC" w:rsidRPr="00022EDC">
        <w:rPr>
          <w:color w:val="000000"/>
        </w:rPr>
        <w:t>14,48%</w:t>
      </w:r>
      <w:r w:rsidR="00052040" w:rsidRPr="00022EDC">
        <w:rPr>
          <w:color w:val="000000"/>
        </w:rPr>
        <w:t xml:space="preserve"> e 14,67%</w:t>
      </w:r>
      <w:r w:rsidR="008F6FFC" w:rsidRPr="00022EDC">
        <w:rPr>
          <w:color w:val="000000"/>
        </w:rPr>
        <w:t>) também se destacaram, evidenciando uma diversificação cada vez maior dos destinos turísticos nacionais.</w:t>
      </w:r>
    </w:p>
    <w:p w14:paraId="61EC09A0" w14:textId="3E044177" w:rsidR="001643D4" w:rsidRPr="00022EDC" w:rsidRDefault="00F93E35" w:rsidP="00B2561C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color w:val="000000"/>
        </w:rPr>
      </w:pPr>
      <w:r w:rsidRPr="00022EDC">
        <w:rPr>
          <w:color w:val="000000"/>
        </w:rPr>
        <w:t>O</w:t>
      </w:r>
      <w:r w:rsidR="001643D4" w:rsidRPr="00022EDC">
        <w:rPr>
          <w:color w:val="000000"/>
        </w:rPr>
        <w:t xml:space="preserve"> </w:t>
      </w:r>
      <w:r w:rsidR="001643D4" w:rsidRPr="005A140A">
        <w:rPr>
          <w:b/>
          <w:bCs/>
          <w:color w:val="000000"/>
        </w:rPr>
        <w:t xml:space="preserve">Algarve, por sua vez, </w:t>
      </w:r>
      <w:r w:rsidRPr="005A140A">
        <w:rPr>
          <w:b/>
          <w:bCs/>
          <w:color w:val="000000"/>
        </w:rPr>
        <w:t>voltou a liderar em ticket médio</w:t>
      </w:r>
      <w:r w:rsidR="001643D4" w:rsidRPr="00022EDC">
        <w:rPr>
          <w:color w:val="000000"/>
        </w:rPr>
        <w:t xml:space="preserve">, </w:t>
      </w:r>
      <w:r w:rsidR="00224BCC" w:rsidRPr="00022EDC">
        <w:rPr>
          <w:color w:val="000000"/>
        </w:rPr>
        <w:t xml:space="preserve">embora este tenha reduzido 3%, para os </w:t>
      </w:r>
      <w:r w:rsidR="001643D4" w:rsidRPr="00022EDC">
        <w:rPr>
          <w:color w:val="000000"/>
        </w:rPr>
        <w:t>43,00€</w:t>
      </w:r>
      <w:r w:rsidR="008F6FFC" w:rsidRPr="00022EDC">
        <w:rPr>
          <w:color w:val="000000"/>
        </w:rPr>
        <w:t>;</w:t>
      </w:r>
      <w:r w:rsidR="002C1FBD" w:rsidRPr="00022EDC">
        <w:rPr>
          <w:color w:val="000000"/>
        </w:rPr>
        <w:t xml:space="preserve"> enquanto a </w:t>
      </w:r>
      <w:r w:rsidR="002C1FBD" w:rsidRPr="005A140A">
        <w:rPr>
          <w:b/>
          <w:bCs/>
          <w:color w:val="000000"/>
        </w:rPr>
        <w:t xml:space="preserve">Grande </w:t>
      </w:r>
      <w:r w:rsidR="00B2561C" w:rsidRPr="005A140A">
        <w:rPr>
          <w:b/>
          <w:bCs/>
          <w:color w:val="000000"/>
        </w:rPr>
        <w:t>Lisboa concentrou</w:t>
      </w:r>
      <w:r w:rsidR="002C1FBD" w:rsidRPr="005A140A">
        <w:rPr>
          <w:b/>
          <w:bCs/>
          <w:color w:val="000000"/>
        </w:rPr>
        <w:t xml:space="preserve"> a maior fatia da faturação nacional </w:t>
      </w:r>
      <w:r w:rsidR="00A83E91" w:rsidRPr="005A140A">
        <w:rPr>
          <w:b/>
          <w:bCs/>
          <w:color w:val="000000"/>
        </w:rPr>
        <w:t>(32,06%)</w:t>
      </w:r>
      <w:r w:rsidR="00A83E91" w:rsidRPr="00022EDC">
        <w:rPr>
          <w:color w:val="000000"/>
        </w:rPr>
        <w:t xml:space="preserve">, </w:t>
      </w:r>
      <w:r w:rsidR="001643D4" w:rsidRPr="00022EDC">
        <w:rPr>
          <w:color w:val="000000"/>
        </w:rPr>
        <w:t xml:space="preserve">seguida pelo Norte (24,61%) e pelo Algarve (15,10%). </w:t>
      </w:r>
    </w:p>
    <w:p w14:paraId="39291070" w14:textId="1EE89467" w:rsidR="00F940BE" w:rsidRPr="00022EDC" w:rsidRDefault="00F940BE" w:rsidP="00B256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color w:val="000000"/>
        </w:rPr>
      </w:pPr>
      <w:r w:rsidRPr="00022EDC">
        <w:rPr>
          <w:color w:val="000000"/>
        </w:rPr>
        <w:t xml:space="preserve">Os dias </w:t>
      </w:r>
      <w:r w:rsidRPr="008E2292">
        <w:rPr>
          <w:b/>
          <w:bCs/>
          <w:color w:val="000000"/>
        </w:rPr>
        <w:t>2 e 30 de agosto marcaram o pico da atividade económica</w:t>
      </w:r>
      <w:r w:rsidRPr="00022EDC">
        <w:rPr>
          <w:color w:val="000000"/>
        </w:rPr>
        <w:t xml:space="preserve"> do verão</w:t>
      </w:r>
      <w:r w:rsidR="00490F26" w:rsidRPr="00022EDC">
        <w:rPr>
          <w:color w:val="000000"/>
        </w:rPr>
        <w:t xml:space="preserve"> de 2025</w:t>
      </w:r>
      <w:r w:rsidRPr="00022EDC">
        <w:rPr>
          <w:color w:val="000000"/>
        </w:rPr>
        <w:t>, com aumentos de 22,4% e 21,3% respetivamente, face às mesmas datas de 2024.</w:t>
      </w:r>
    </w:p>
    <w:p w14:paraId="2DC424A8" w14:textId="2CF722CB" w:rsidR="00F81597" w:rsidRPr="00022EDC" w:rsidRDefault="00F81597" w:rsidP="00B256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color w:val="000000"/>
        </w:rPr>
      </w:pPr>
      <w:r w:rsidRPr="00022EDC">
        <w:rPr>
          <w:i/>
          <w:iCs/>
          <w:color w:val="000000"/>
        </w:rPr>
        <w:t xml:space="preserve">“Estes números </w:t>
      </w:r>
      <w:r w:rsidR="00FD539A" w:rsidRPr="00022EDC">
        <w:rPr>
          <w:i/>
          <w:iCs/>
          <w:color w:val="000000"/>
        </w:rPr>
        <w:t xml:space="preserve">revelam </w:t>
      </w:r>
      <w:r w:rsidRPr="00022EDC">
        <w:rPr>
          <w:i/>
          <w:iCs/>
          <w:color w:val="000000"/>
        </w:rPr>
        <w:t xml:space="preserve">que os portugueses </w:t>
      </w:r>
      <w:r w:rsidR="00FD539A" w:rsidRPr="00022EDC">
        <w:rPr>
          <w:i/>
          <w:iCs/>
          <w:color w:val="000000"/>
        </w:rPr>
        <w:t xml:space="preserve">foram </w:t>
      </w:r>
      <w:r w:rsidRPr="00022EDC">
        <w:rPr>
          <w:i/>
          <w:iCs/>
          <w:color w:val="000000"/>
        </w:rPr>
        <w:t>a grande força do consumo no verão, mas também revelam mudanças relevantes nos padrões de gasto, com alguns setores a surpreender pela positiva e outros a refletirem maior contenção. O REDUNIQ Insights permite às empresas perceber estas tendências e ajustar-se rapidamente às novas realidades do mercado”</w:t>
      </w:r>
      <w:r w:rsidRPr="00022EDC">
        <w:rPr>
          <w:color w:val="000000"/>
        </w:rPr>
        <w:t xml:space="preserve">, afirma </w:t>
      </w:r>
      <w:r w:rsidR="00022EDC" w:rsidRPr="00EB38E1">
        <w:rPr>
          <w:b/>
          <w:bCs/>
        </w:rPr>
        <w:t>Tiago Oom, Diretor Comercial da UNICRE</w:t>
      </w:r>
      <w:r w:rsidR="00022EDC" w:rsidRPr="00022EDC">
        <w:t>.</w:t>
      </w:r>
    </w:p>
    <w:p w14:paraId="298DAD31" w14:textId="77777777" w:rsidR="001643D4" w:rsidRPr="001643D4" w:rsidRDefault="001643D4" w:rsidP="00576BAD">
      <w:pPr>
        <w:pBdr>
          <w:top w:val="nil"/>
          <w:left w:val="nil"/>
          <w:bottom w:val="nil"/>
          <w:right w:val="nil"/>
          <w:between w:val="nil"/>
        </w:pBdr>
        <w:spacing w:after="120" w:line="288" w:lineRule="auto"/>
        <w:jc w:val="both"/>
        <w:rPr>
          <w:bCs/>
          <w:color w:val="000000"/>
        </w:rPr>
      </w:pPr>
    </w:p>
    <w:p w14:paraId="67626980" w14:textId="77777777" w:rsidR="00326968" w:rsidRDefault="00326968" w:rsidP="00576BAD">
      <w:pPr>
        <w:pBdr>
          <w:top w:val="nil"/>
          <w:left w:val="nil"/>
          <w:bottom w:val="nil"/>
          <w:right w:val="nil"/>
          <w:between w:val="nil"/>
        </w:pBdr>
        <w:spacing w:after="120" w:line="288" w:lineRule="auto"/>
        <w:jc w:val="both"/>
        <w:rPr>
          <w:b/>
          <w:color w:val="000000"/>
          <w:sz w:val="20"/>
          <w:szCs w:val="20"/>
        </w:rPr>
      </w:pPr>
    </w:p>
    <w:p w14:paraId="50DD8D0A" w14:textId="6A3D5196" w:rsidR="00C14324" w:rsidRDefault="00157CD9" w:rsidP="00576BAD">
      <w:pPr>
        <w:pBdr>
          <w:top w:val="nil"/>
          <w:left w:val="nil"/>
          <w:bottom w:val="nil"/>
          <w:right w:val="nil"/>
          <w:between w:val="nil"/>
        </w:pBdr>
        <w:spacing w:after="120" w:line="288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Sobre a UNICRE:</w:t>
      </w:r>
    </w:p>
    <w:p w14:paraId="5E78977E" w14:textId="7C71F01F" w:rsidR="00C14324" w:rsidRDefault="00777310" w:rsidP="00576BAD">
      <w:pPr>
        <w:pBdr>
          <w:top w:val="nil"/>
          <w:left w:val="nil"/>
          <w:bottom w:val="nil"/>
          <w:right w:val="nil"/>
          <w:between w:val="nil"/>
        </w:pBdr>
        <w:spacing w:after="120" w:line="288" w:lineRule="auto"/>
        <w:jc w:val="both"/>
        <w:rPr>
          <w:i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 </w:t>
      </w:r>
      <w:hyperlink r:id="rId14" w:history="1">
        <w:r w:rsidRPr="00D04258">
          <w:rPr>
            <w:rStyle w:val="Hiperligao"/>
          </w:rPr>
          <w:t>UNICRE</w:t>
        </w:r>
      </w:hyperlink>
      <w:r>
        <w:rPr>
          <w:color w:val="000000"/>
          <w:sz w:val="20"/>
          <w:szCs w:val="20"/>
        </w:rPr>
        <w:t xml:space="preserve"> é uma instituição portuguesa que atua no setor financeiro, especialista na gestão, emissão e disponibilização de soluções inovadoras de pagamento, cartões de pagamento e crédito ao consumo. Com mais de 50 anos de experiência no mercado português, a empresa detém atualmente as marcas: REDUNIQ, que disponibiliza soluções de aceitação de pagamentos para loja física ou comércio </w:t>
      </w:r>
      <w:r>
        <w:rPr>
          <w:i/>
          <w:color w:val="000000"/>
          <w:sz w:val="20"/>
          <w:szCs w:val="20"/>
        </w:rPr>
        <w:t xml:space="preserve">online; </w:t>
      </w:r>
      <w:r>
        <w:rPr>
          <w:iCs/>
          <w:color w:val="000000"/>
          <w:sz w:val="20"/>
          <w:szCs w:val="20"/>
        </w:rPr>
        <w:t xml:space="preserve">e o </w:t>
      </w:r>
      <w:r>
        <w:rPr>
          <w:iCs/>
          <w:color w:val="000000"/>
          <w:sz w:val="20"/>
          <w:szCs w:val="20"/>
        </w:rPr>
        <w:lastRenderedPageBreak/>
        <w:t>U</w:t>
      </w:r>
      <w:r>
        <w:rPr>
          <w:color w:val="000000"/>
          <w:sz w:val="20"/>
          <w:szCs w:val="20"/>
        </w:rPr>
        <w:t>NIBANCO, responsável pela emissão de cartões de crédito, cartões pré-pagos, cartões refeição, crédito pessoal e crédito consolidado.</w:t>
      </w:r>
    </w:p>
    <w:p w14:paraId="1782C937" w14:textId="77777777" w:rsidR="00576BAD" w:rsidRDefault="00576BAD" w:rsidP="00576BAD">
      <w:pPr>
        <w:spacing w:after="120" w:line="288" w:lineRule="auto"/>
        <w:jc w:val="both"/>
        <w:rPr>
          <w:b/>
          <w:color w:val="000000"/>
          <w:sz w:val="20"/>
          <w:szCs w:val="20"/>
        </w:rPr>
      </w:pPr>
    </w:p>
    <w:p w14:paraId="38E12AD9" w14:textId="1ECF7330" w:rsidR="000763D7" w:rsidRDefault="000763D7" w:rsidP="00576BAD">
      <w:pPr>
        <w:spacing w:after="120" w:line="288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Sobre o REDUNIQ Insights:</w:t>
      </w:r>
    </w:p>
    <w:p w14:paraId="65C75B0F" w14:textId="77777777" w:rsidR="00576BAD" w:rsidRDefault="00576BAD" w:rsidP="00576BAD">
      <w:pPr>
        <w:tabs>
          <w:tab w:val="center" w:pos="4252"/>
          <w:tab w:val="right" w:pos="8504"/>
          <w:tab w:val="right" w:pos="8478"/>
        </w:tabs>
        <w:spacing w:after="120" w:line="288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O </w:t>
      </w:r>
      <w:sdt>
        <w:sdtPr>
          <w:tag w:val="goog_rdk_19"/>
          <w:id w:val="-1816480010"/>
        </w:sdtPr>
        <w:sdtEndPr/>
        <w:sdtContent>
          <w:hyperlink r:id="rId15" w:history="1">
            <w:r>
              <w:rPr>
                <w:color w:val="1155CC"/>
                <w:sz w:val="20"/>
                <w:szCs w:val="20"/>
                <w:u w:val="single"/>
              </w:rPr>
              <w:t>REDUNIQ Insights</w:t>
            </w:r>
          </w:hyperlink>
        </w:sdtContent>
      </w:sdt>
      <w:r>
        <w:rPr>
          <w:color w:val="000000"/>
          <w:sz w:val="20"/>
          <w:szCs w:val="20"/>
        </w:rPr>
        <w:t xml:space="preserve"> é uma solução de conhecimento que pretende disponibilizar informação analítica aos clientes da REDUNIQ, maior </w:t>
      </w:r>
      <w:proofErr w:type="spellStart"/>
      <w:r>
        <w:rPr>
          <w:color w:val="000000"/>
          <w:sz w:val="20"/>
          <w:szCs w:val="20"/>
        </w:rPr>
        <w:t>acquirer</w:t>
      </w:r>
      <w:proofErr w:type="spellEnd"/>
      <w:r>
        <w:rPr>
          <w:color w:val="000000"/>
          <w:sz w:val="20"/>
          <w:szCs w:val="20"/>
        </w:rPr>
        <w:t xml:space="preserve"> português e marca da UNICRE responsável por disponibilizar soluções de aceitação de pagamentos digitais em loja física e </w:t>
      </w:r>
      <w:r>
        <w:rPr>
          <w:i/>
          <w:iCs/>
          <w:color w:val="000000"/>
          <w:sz w:val="20"/>
          <w:szCs w:val="20"/>
        </w:rPr>
        <w:t>online</w:t>
      </w:r>
      <w:r>
        <w:rPr>
          <w:color w:val="000000"/>
          <w:sz w:val="20"/>
          <w:szCs w:val="20"/>
        </w:rPr>
        <w:t>. Através da divulgação de dados referentes à evolução da faturação e transações dos negócios com origem em cartões de pagamento nacionais e estrangeiros, a REDUNIQ objetiva apoiar as empresas do retalho nacional na geração de insights e na tomada de decisões de desenvolvimento de negócio.</w:t>
      </w:r>
    </w:p>
    <w:p w14:paraId="7826870A" w14:textId="77777777" w:rsidR="00576BAD" w:rsidRDefault="00576BAD" w:rsidP="00576BA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right" w:pos="8478"/>
        </w:tabs>
        <w:spacing w:after="120" w:line="288" w:lineRule="auto"/>
        <w:rPr>
          <w:b/>
          <w:color w:val="000000"/>
          <w:sz w:val="20"/>
          <w:szCs w:val="20"/>
        </w:rPr>
      </w:pPr>
    </w:p>
    <w:p w14:paraId="636AF034" w14:textId="07FFB745" w:rsidR="00C14324" w:rsidRDefault="00157CD9" w:rsidP="00576BA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right" w:pos="8478"/>
        </w:tabs>
        <w:spacing w:after="80" w:line="288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Para mais informações, contacte:</w:t>
      </w:r>
    </w:p>
    <w:p w14:paraId="188DEDC2" w14:textId="77777777" w:rsidR="00C14324" w:rsidRDefault="00157CD9" w:rsidP="00576BA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right" w:pos="8478"/>
        </w:tabs>
        <w:spacing w:after="40" w:line="288" w:lineRule="auto"/>
        <w:rPr>
          <w:color w:val="000000"/>
          <w:sz w:val="20"/>
          <w:szCs w:val="20"/>
          <w:u w:val="single"/>
        </w:rPr>
      </w:pPr>
      <w:proofErr w:type="spellStart"/>
      <w:r>
        <w:rPr>
          <w:color w:val="000000"/>
          <w:sz w:val="20"/>
          <w:szCs w:val="20"/>
          <w:u w:val="single"/>
        </w:rPr>
        <w:t>Lift</w:t>
      </w:r>
      <w:proofErr w:type="spellEnd"/>
      <w:r>
        <w:rPr>
          <w:color w:val="000000"/>
          <w:sz w:val="20"/>
          <w:szCs w:val="20"/>
          <w:u w:val="single"/>
        </w:rPr>
        <w:t xml:space="preserve"> </w:t>
      </w:r>
      <w:proofErr w:type="spellStart"/>
      <w:r>
        <w:rPr>
          <w:color w:val="000000"/>
          <w:sz w:val="20"/>
          <w:szCs w:val="20"/>
          <w:u w:val="single"/>
        </w:rPr>
        <w:t>Consulting</w:t>
      </w:r>
      <w:proofErr w:type="spellEnd"/>
    </w:p>
    <w:p w14:paraId="2646834B" w14:textId="77777777" w:rsidR="007E5B7B" w:rsidRPr="007E5B7B" w:rsidRDefault="00FC3851" w:rsidP="007E5B7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right" w:pos="8478"/>
        </w:tabs>
        <w:spacing w:line="288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Patrícia Afonso</w:t>
      </w:r>
      <w:r w:rsidR="00157CD9">
        <w:rPr>
          <w:color w:val="000000"/>
          <w:sz w:val="20"/>
          <w:szCs w:val="20"/>
        </w:rPr>
        <w:t xml:space="preserve"> | </w:t>
      </w:r>
      <w:hyperlink r:id="rId16" w:history="1">
        <w:proofErr w:type="spellStart"/>
        <w:proofErr w:type="gramStart"/>
        <w:r w:rsidRPr="00FC3851">
          <w:rPr>
            <w:rStyle w:val="Hiperligao"/>
            <w:sz w:val="20"/>
            <w:szCs w:val="20"/>
          </w:rPr>
          <w:t>patricia.afonso</w:t>
        </w:r>
        <w:proofErr w:type="spellEnd"/>
        <w:proofErr w:type="gramEnd"/>
        <w:r w:rsidRPr="00FC3851">
          <w:rPr>
            <w:rStyle w:val="Hiperligao"/>
            <w:sz w:val="20"/>
            <w:szCs w:val="20"/>
          </w:rPr>
          <w:t xml:space="preserve"> </w:t>
        </w:r>
        <w:r w:rsidR="00157CD9" w:rsidRPr="00FC3851">
          <w:rPr>
            <w:rStyle w:val="Hiperligao"/>
            <w:sz w:val="20"/>
            <w:szCs w:val="20"/>
          </w:rPr>
          <w:t>@lift.com.pt</w:t>
        </w:r>
      </w:hyperlink>
      <w:r w:rsidR="00157CD9">
        <w:rPr>
          <w:color w:val="000000"/>
          <w:sz w:val="20"/>
          <w:szCs w:val="20"/>
        </w:rPr>
        <w:t xml:space="preserve"> | </w:t>
      </w:r>
      <w:r w:rsidR="007E5B7B" w:rsidRPr="007E5B7B">
        <w:rPr>
          <w:bCs/>
          <w:color w:val="000000"/>
          <w:sz w:val="20"/>
          <w:szCs w:val="20"/>
        </w:rPr>
        <w:t>913 385 935</w:t>
      </w:r>
    </w:p>
    <w:p w14:paraId="7A27A145" w14:textId="77777777" w:rsidR="007E5B7B" w:rsidRPr="007E5B7B" w:rsidRDefault="007E5B7B" w:rsidP="007E5B7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right" w:pos="8478"/>
        </w:tabs>
        <w:spacing w:after="0" w:line="288" w:lineRule="auto"/>
        <w:rPr>
          <w:color w:val="000000"/>
          <w:sz w:val="20"/>
          <w:szCs w:val="20"/>
        </w:rPr>
      </w:pPr>
      <w:r w:rsidRPr="007E5B7B">
        <w:rPr>
          <w:color w:val="000000"/>
          <w:sz w:val="20"/>
          <w:szCs w:val="20"/>
        </w:rPr>
        <w:t> </w:t>
      </w:r>
    </w:p>
    <w:p w14:paraId="11A1CA2F" w14:textId="5D62C9C7" w:rsidR="00C14324" w:rsidRPr="00982F98" w:rsidRDefault="00C14324" w:rsidP="00576BA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right" w:pos="8478"/>
        </w:tabs>
        <w:spacing w:after="0" w:line="288" w:lineRule="auto"/>
        <w:rPr>
          <w:color w:val="000000"/>
          <w:sz w:val="20"/>
          <w:szCs w:val="20"/>
        </w:rPr>
      </w:pPr>
    </w:p>
    <w:sectPr w:rsidR="00C14324" w:rsidRPr="00982F98" w:rsidSect="00C906F1">
      <w:headerReference w:type="default" r:id="rId17"/>
      <w:footerReference w:type="default" r:id="rId18"/>
      <w:pgSz w:w="11906" w:h="16838"/>
      <w:pgMar w:top="1560" w:right="1701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52A2A1" w14:textId="77777777" w:rsidR="00596B5C" w:rsidRDefault="00596B5C">
      <w:pPr>
        <w:spacing w:after="0" w:line="240" w:lineRule="auto"/>
      </w:pPr>
      <w:r>
        <w:separator/>
      </w:r>
    </w:p>
  </w:endnote>
  <w:endnote w:type="continuationSeparator" w:id="0">
    <w:p w14:paraId="300DAA6F" w14:textId="77777777" w:rsidR="00596B5C" w:rsidRDefault="00596B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9F93BCF9-E07E-433A-B443-74D598A8BA7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18BB371-F371-44BC-877B-FD567650F9C3}"/>
    <w:embedBold r:id="rId3" w:fontKey="{6EE93E34-A55C-40BE-91D9-121FA4A335BB}"/>
    <w:embedItalic r:id="rId4" w:fontKey="{68FA2550-0E99-4770-B681-47140C751D5F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3A4AF448-2CA5-40DA-9852-41573FDD7F83}"/>
    <w:embedItalic r:id="rId6" w:fontKey="{CA8821EB-32EE-4E6C-9BC1-42E0E928E664}"/>
  </w:font>
  <w:font w:name="Aptos">
    <w:charset w:val="00"/>
    <w:family w:val="swiss"/>
    <w:pitch w:val="variable"/>
    <w:sig w:usb0="20000287" w:usb1="00000003" w:usb2="00000000" w:usb3="00000000" w:csb0="0000019F" w:csb1="00000000"/>
    <w:embedBold r:id="rId7" w:fontKey="{F88A3577-A94D-4804-B75A-3C6A69C33E0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EB2BE0C8-9107-48C7-A4C6-AACB116E41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22795E" w14:textId="4F4BAA07" w:rsidR="00C14324" w:rsidRDefault="00F6427C" w:rsidP="00A613C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24C6AA08" wp14:editId="7824881E">
          <wp:simplePos x="0" y="0"/>
          <wp:positionH relativeFrom="margin">
            <wp:posOffset>4255770</wp:posOffset>
          </wp:positionH>
          <wp:positionV relativeFrom="margin">
            <wp:posOffset>8970010</wp:posOffset>
          </wp:positionV>
          <wp:extent cx="1144270" cy="453507"/>
          <wp:effectExtent l="0" t="0" r="0" b="3810"/>
          <wp:wrapSquare wrapText="bothSides"/>
          <wp:docPr id="777224547" name="Imagem 777224547" descr="Uma imagem com texto, Tipo de letra, logótipo, Gráficos&#10;&#10;Os conteúdos gerados por IA poderão estar incorretos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Uma imagem com texto, Tipo de letra, logótipo, Gráficos&#10;&#10;Os conteúdos gerados por IA poderão estar incorretos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4270" cy="4535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BE5158" w14:textId="77777777" w:rsidR="00596B5C" w:rsidRDefault="00596B5C">
      <w:pPr>
        <w:spacing w:after="0" w:line="240" w:lineRule="auto"/>
      </w:pPr>
      <w:r>
        <w:separator/>
      </w:r>
    </w:p>
  </w:footnote>
  <w:footnote w:type="continuationSeparator" w:id="0">
    <w:p w14:paraId="4806145B" w14:textId="77777777" w:rsidR="00596B5C" w:rsidRDefault="00596B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988DEE" w14:textId="6E5A10F6" w:rsidR="00C14324" w:rsidRDefault="00A613C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7215" behindDoc="0" locked="0" layoutInCell="1" allowOverlap="1" wp14:anchorId="5F690CB2" wp14:editId="4A093915">
          <wp:simplePos x="0" y="0"/>
          <wp:positionH relativeFrom="margin">
            <wp:posOffset>18415</wp:posOffset>
          </wp:positionH>
          <wp:positionV relativeFrom="margin">
            <wp:posOffset>-731520</wp:posOffset>
          </wp:positionV>
          <wp:extent cx="2501265" cy="556260"/>
          <wp:effectExtent l="0" t="0" r="0" b="0"/>
          <wp:wrapSquare wrapText="bothSides"/>
          <wp:docPr id="689229228" name="Imagem 689229228" descr="Uma imagem com texto, Tipo de letra, logótipo, Gráficos&#10;&#10;Os conteúdos gerados por IA poderão estar incorretos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Uma imagem com texto, Tipo de letra, logótipo, Gráficos&#10;&#10;Os conteúdos gerados por IA poderão estar incorretos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11" r="4197"/>
                  <a:stretch/>
                </pic:blipFill>
                <pic:spPr bwMode="auto">
                  <a:xfrm>
                    <a:off x="0" y="0"/>
                    <a:ext cx="2501265" cy="5562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57CD9">
      <w:rPr>
        <w:color w:val="000000"/>
      </w:rPr>
      <w:t xml:space="preserve">                          </w:t>
    </w:r>
  </w:p>
  <w:p w14:paraId="5889BEA6" w14:textId="066CEC1A" w:rsidR="00C14324" w:rsidRDefault="00C1432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0C3BEE49" w14:textId="3323719D" w:rsidR="00A613C8" w:rsidRDefault="00A613C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AB1F5D"/>
    <w:multiLevelType w:val="hybridMultilevel"/>
    <w:tmpl w:val="AF3E5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5A5E92"/>
    <w:multiLevelType w:val="hybridMultilevel"/>
    <w:tmpl w:val="8CE828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4E634C"/>
    <w:multiLevelType w:val="multilevel"/>
    <w:tmpl w:val="3286B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F506B0F"/>
    <w:multiLevelType w:val="hybridMultilevel"/>
    <w:tmpl w:val="E2D46B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FC339D"/>
    <w:multiLevelType w:val="multilevel"/>
    <w:tmpl w:val="327C0C4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BE15C50"/>
    <w:multiLevelType w:val="multilevel"/>
    <w:tmpl w:val="85D48D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42268407">
    <w:abstractNumId w:val="5"/>
  </w:num>
  <w:num w:numId="2" w16cid:durableId="1497913607">
    <w:abstractNumId w:val="1"/>
  </w:num>
  <w:num w:numId="3" w16cid:durableId="293339717">
    <w:abstractNumId w:val="3"/>
  </w:num>
  <w:num w:numId="4" w16cid:durableId="1773819669">
    <w:abstractNumId w:val="0"/>
  </w:num>
  <w:num w:numId="5" w16cid:durableId="1318150260">
    <w:abstractNumId w:val="4"/>
  </w:num>
  <w:num w:numId="6" w16cid:durableId="1792421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4324"/>
    <w:rsid w:val="00000191"/>
    <w:rsid w:val="00006809"/>
    <w:rsid w:val="00010E93"/>
    <w:rsid w:val="00014353"/>
    <w:rsid w:val="0001754C"/>
    <w:rsid w:val="000213AE"/>
    <w:rsid w:val="00022EDC"/>
    <w:rsid w:val="00052040"/>
    <w:rsid w:val="0005382D"/>
    <w:rsid w:val="0005430B"/>
    <w:rsid w:val="00057EEC"/>
    <w:rsid w:val="000601C3"/>
    <w:rsid w:val="00065FAA"/>
    <w:rsid w:val="0006660F"/>
    <w:rsid w:val="000678CB"/>
    <w:rsid w:val="00073586"/>
    <w:rsid w:val="00073BF8"/>
    <w:rsid w:val="0007573B"/>
    <w:rsid w:val="000763D7"/>
    <w:rsid w:val="00082B6E"/>
    <w:rsid w:val="0008539D"/>
    <w:rsid w:val="0008592B"/>
    <w:rsid w:val="0009058A"/>
    <w:rsid w:val="00093D5D"/>
    <w:rsid w:val="000A5169"/>
    <w:rsid w:val="000C05E3"/>
    <w:rsid w:val="000C2698"/>
    <w:rsid w:val="000C3E7B"/>
    <w:rsid w:val="000C42C4"/>
    <w:rsid w:val="000C63F8"/>
    <w:rsid w:val="000E6828"/>
    <w:rsid w:val="000F2F6B"/>
    <w:rsid w:val="0010262B"/>
    <w:rsid w:val="001045AA"/>
    <w:rsid w:val="00114B05"/>
    <w:rsid w:val="00117604"/>
    <w:rsid w:val="001215B2"/>
    <w:rsid w:val="00123507"/>
    <w:rsid w:val="001239C0"/>
    <w:rsid w:val="00127560"/>
    <w:rsid w:val="00130DBD"/>
    <w:rsid w:val="001310CA"/>
    <w:rsid w:val="0013253A"/>
    <w:rsid w:val="00132F9D"/>
    <w:rsid w:val="0013569D"/>
    <w:rsid w:val="00135AC6"/>
    <w:rsid w:val="00136769"/>
    <w:rsid w:val="00140114"/>
    <w:rsid w:val="00143261"/>
    <w:rsid w:val="001504BC"/>
    <w:rsid w:val="00157CD9"/>
    <w:rsid w:val="001643D4"/>
    <w:rsid w:val="0017187D"/>
    <w:rsid w:val="001718FE"/>
    <w:rsid w:val="00172F11"/>
    <w:rsid w:val="0017429E"/>
    <w:rsid w:val="001825CB"/>
    <w:rsid w:val="00192547"/>
    <w:rsid w:val="00196048"/>
    <w:rsid w:val="001A1897"/>
    <w:rsid w:val="001A7134"/>
    <w:rsid w:val="001B531A"/>
    <w:rsid w:val="001B63B6"/>
    <w:rsid w:val="001B779D"/>
    <w:rsid w:val="001D5750"/>
    <w:rsid w:val="001D70F1"/>
    <w:rsid w:val="001D715D"/>
    <w:rsid w:val="001D7EB2"/>
    <w:rsid w:val="001E06A8"/>
    <w:rsid w:val="001E35CF"/>
    <w:rsid w:val="00207DF8"/>
    <w:rsid w:val="002167BB"/>
    <w:rsid w:val="00224BCC"/>
    <w:rsid w:val="00255FA2"/>
    <w:rsid w:val="002578E8"/>
    <w:rsid w:val="00260109"/>
    <w:rsid w:val="00260A22"/>
    <w:rsid w:val="00262DE6"/>
    <w:rsid w:val="0026733B"/>
    <w:rsid w:val="00291823"/>
    <w:rsid w:val="002922E9"/>
    <w:rsid w:val="00295363"/>
    <w:rsid w:val="002969AB"/>
    <w:rsid w:val="002A782F"/>
    <w:rsid w:val="002B2D30"/>
    <w:rsid w:val="002C1FBD"/>
    <w:rsid w:val="002C46CE"/>
    <w:rsid w:val="002D2677"/>
    <w:rsid w:val="002D59A6"/>
    <w:rsid w:val="002D5B7B"/>
    <w:rsid w:val="002E0216"/>
    <w:rsid w:val="002F1BED"/>
    <w:rsid w:val="002F2DF8"/>
    <w:rsid w:val="002F4109"/>
    <w:rsid w:val="002F52B3"/>
    <w:rsid w:val="002F723B"/>
    <w:rsid w:val="003048F6"/>
    <w:rsid w:val="00305CD1"/>
    <w:rsid w:val="00305F0F"/>
    <w:rsid w:val="003141BE"/>
    <w:rsid w:val="00322457"/>
    <w:rsid w:val="00323D2C"/>
    <w:rsid w:val="00325125"/>
    <w:rsid w:val="00326968"/>
    <w:rsid w:val="00327B64"/>
    <w:rsid w:val="00327FDB"/>
    <w:rsid w:val="0033113E"/>
    <w:rsid w:val="003334FD"/>
    <w:rsid w:val="00342126"/>
    <w:rsid w:val="00345B06"/>
    <w:rsid w:val="003538A2"/>
    <w:rsid w:val="003604E2"/>
    <w:rsid w:val="00362945"/>
    <w:rsid w:val="00362A8D"/>
    <w:rsid w:val="0036391B"/>
    <w:rsid w:val="00377C2C"/>
    <w:rsid w:val="00383883"/>
    <w:rsid w:val="0038475A"/>
    <w:rsid w:val="003862CF"/>
    <w:rsid w:val="00387D26"/>
    <w:rsid w:val="00390B14"/>
    <w:rsid w:val="0039505C"/>
    <w:rsid w:val="003A06B2"/>
    <w:rsid w:val="003C5EE9"/>
    <w:rsid w:val="003D64FB"/>
    <w:rsid w:val="003E0D0D"/>
    <w:rsid w:val="003F3A54"/>
    <w:rsid w:val="003F4419"/>
    <w:rsid w:val="003F4F4A"/>
    <w:rsid w:val="003F52B8"/>
    <w:rsid w:val="00401DAE"/>
    <w:rsid w:val="0040429E"/>
    <w:rsid w:val="0041603E"/>
    <w:rsid w:val="0041777E"/>
    <w:rsid w:val="00423B83"/>
    <w:rsid w:val="00425B82"/>
    <w:rsid w:val="00426698"/>
    <w:rsid w:val="00435C0B"/>
    <w:rsid w:val="004603C7"/>
    <w:rsid w:val="00464210"/>
    <w:rsid w:val="0047301B"/>
    <w:rsid w:val="004739AE"/>
    <w:rsid w:val="004755AE"/>
    <w:rsid w:val="00477A63"/>
    <w:rsid w:val="004817A9"/>
    <w:rsid w:val="00484A1D"/>
    <w:rsid w:val="004909B2"/>
    <w:rsid w:val="00490F26"/>
    <w:rsid w:val="00491081"/>
    <w:rsid w:val="004921CC"/>
    <w:rsid w:val="00493CEF"/>
    <w:rsid w:val="004A0844"/>
    <w:rsid w:val="004A450A"/>
    <w:rsid w:val="004A567B"/>
    <w:rsid w:val="004A5FA4"/>
    <w:rsid w:val="004B34D8"/>
    <w:rsid w:val="004B3A30"/>
    <w:rsid w:val="004B6B50"/>
    <w:rsid w:val="004C7EE0"/>
    <w:rsid w:val="004D078E"/>
    <w:rsid w:val="004D0ABB"/>
    <w:rsid w:val="004D6872"/>
    <w:rsid w:val="004F1F50"/>
    <w:rsid w:val="004F2684"/>
    <w:rsid w:val="004F447B"/>
    <w:rsid w:val="0050622C"/>
    <w:rsid w:val="005135EA"/>
    <w:rsid w:val="00517502"/>
    <w:rsid w:val="00517FA9"/>
    <w:rsid w:val="00523C69"/>
    <w:rsid w:val="005441BF"/>
    <w:rsid w:val="00545E50"/>
    <w:rsid w:val="00546103"/>
    <w:rsid w:val="00550140"/>
    <w:rsid w:val="005503D1"/>
    <w:rsid w:val="005534AA"/>
    <w:rsid w:val="00553C76"/>
    <w:rsid w:val="00554415"/>
    <w:rsid w:val="00560413"/>
    <w:rsid w:val="00560D5E"/>
    <w:rsid w:val="00560E4D"/>
    <w:rsid w:val="005624C6"/>
    <w:rsid w:val="005641E8"/>
    <w:rsid w:val="00567A36"/>
    <w:rsid w:val="00572181"/>
    <w:rsid w:val="005739DA"/>
    <w:rsid w:val="0057446F"/>
    <w:rsid w:val="00576BAD"/>
    <w:rsid w:val="00577998"/>
    <w:rsid w:val="00577BA2"/>
    <w:rsid w:val="00583BE0"/>
    <w:rsid w:val="005903D9"/>
    <w:rsid w:val="00592823"/>
    <w:rsid w:val="00592BF2"/>
    <w:rsid w:val="005938CE"/>
    <w:rsid w:val="00595AE8"/>
    <w:rsid w:val="0059622E"/>
    <w:rsid w:val="00596B5C"/>
    <w:rsid w:val="005A140A"/>
    <w:rsid w:val="005B2C32"/>
    <w:rsid w:val="005B6426"/>
    <w:rsid w:val="005B6F87"/>
    <w:rsid w:val="005C417C"/>
    <w:rsid w:val="005D1547"/>
    <w:rsid w:val="005D416B"/>
    <w:rsid w:val="005E0FF7"/>
    <w:rsid w:val="005E1873"/>
    <w:rsid w:val="005F1C25"/>
    <w:rsid w:val="005F783D"/>
    <w:rsid w:val="00600195"/>
    <w:rsid w:val="0061316D"/>
    <w:rsid w:val="006155FE"/>
    <w:rsid w:val="00643319"/>
    <w:rsid w:val="00644C90"/>
    <w:rsid w:val="0065762D"/>
    <w:rsid w:val="00674C90"/>
    <w:rsid w:val="00676203"/>
    <w:rsid w:val="0068075A"/>
    <w:rsid w:val="00684960"/>
    <w:rsid w:val="006A325B"/>
    <w:rsid w:val="006B5AE9"/>
    <w:rsid w:val="006B795F"/>
    <w:rsid w:val="006C1E58"/>
    <w:rsid w:val="006C1EBE"/>
    <w:rsid w:val="006C7240"/>
    <w:rsid w:val="006D18B6"/>
    <w:rsid w:val="006E402A"/>
    <w:rsid w:val="006E48F6"/>
    <w:rsid w:val="006F0089"/>
    <w:rsid w:val="00712F99"/>
    <w:rsid w:val="00734466"/>
    <w:rsid w:val="00735FCD"/>
    <w:rsid w:val="0073678F"/>
    <w:rsid w:val="00746A80"/>
    <w:rsid w:val="00752847"/>
    <w:rsid w:val="00756F91"/>
    <w:rsid w:val="00757894"/>
    <w:rsid w:val="0076109E"/>
    <w:rsid w:val="00762857"/>
    <w:rsid w:val="0076388A"/>
    <w:rsid w:val="00767F89"/>
    <w:rsid w:val="00771CB8"/>
    <w:rsid w:val="00773E07"/>
    <w:rsid w:val="007759C9"/>
    <w:rsid w:val="00777310"/>
    <w:rsid w:val="007775C6"/>
    <w:rsid w:val="0079444A"/>
    <w:rsid w:val="007A0B27"/>
    <w:rsid w:val="007A3DEC"/>
    <w:rsid w:val="007A5D89"/>
    <w:rsid w:val="007B34DA"/>
    <w:rsid w:val="007C7801"/>
    <w:rsid w:val="007D2BFD"/>
    <w:rsid w:val="007D736E"/>
    <w:rsid w:val="007D7646"/>
    <w:rsid w:val="007E4EE9"/>
    <w:rsid w:val="007E5B7B"/>
    <w:rsid w:val="007E5CBC"/>
    <w:rsid w:val="007E662B"/>
    <w:rsid w:val="007F43F5"/>
    <w:rsid w:val="00801182"/>
    <w:rsid w:val="00801D2B"/>
    <w:rsid w:val="0080745E"/>
    <w:rsid w:val="008145A1"/>
    <w:rsid w:val="00815AAC"/>
    <w:rsid w:val="00815EE7"/>
    <w:rsid w:val="00820D65"/>
    <w:rsid w:val="00822B4A"/>
    <w:rsid w:val="00824C96"/>
    <w:rsid w:val="008328AF"/>
    <w:rsid w:val="00834CE3"/>
    <w:rsid w:val="008365A9"/>
    <w:rsid w:val="00836BF9"/>
    <w:rsid w:val="008443F7"/>
    <w:rsid w:val="00851571"/>
    <w:rsid w:val="00853FCC"/>
    <w:rsid w:val="00864E9B"/>
    <w:rsid w:val="00880B20"/>
    <w:rsid w:val="00884870"/>
    <w:rsid w:val="00895635"/>
    <w:rsid w:val="0089772B"/>
    <w:rsid w:val="008A06A8"/>
    <w:rsid w:val="008A1A4F"/>
    <w:rsid w:val="008A1F2A"/>
    <w:rsid w:val="008A59AB"/>
    <w:rsid w:val="008A64E2"/>
    <w:rsid w:val="008B23FD"/>
    <w:rsid w:val="008B325D"/>
    <w:rsid w:val="008B681E"/>
    <w:rsid w:val="008C054B"/>
    <w:rsid w:val="008D73C7"/>
    <w:rsid w:val="008E2292"/>
    <w:rsid w:val="008E2DFD"/>
    <w:rsid w:val="008E2E0A"/>
    <w:rsid w:val="008E78D2"/>
    <w:rsid w:val="008F6FFC"/>
    <w:rsid w:val="00912663"/>
    <w:rsid w:val="0091457B"/>
    <w:rsid w:val="00920074"/>
    <w:rsid w:val="0092140E"/>
    <w:rsid w:val="0092543E"/>
    <w:rsid w:val="00935EC0"/>
    <w:rsid w:val="00936C38"/>
    <w:rsid w:val="00937466"/>
    <w:rsid w:val="0094223D"/>
    <w:rsid w:val="00944C50"/>
    <w:rsid w:val="00945973"/>
    <w:rsid w:val="00951EAD"/>
    <w:rsid w:val="00953CE8"/>
    <w:rsid w:val="00954941"/>
    <w:rsid w:val="009617E3"/>
    <w:rsid w:val="00963694"/>
    <w:rsid w:val="0096412F"/>
    <w:rsid w:val="009645D5"/>
    <w:rsid w:val="00964CE8"/>
    <w:rsid w:val="00982F98"/>
    <w:rsid w:val="00983BDE"/>
    <w:rsid w:val="00985C81"/>
    <w:rsid w:val="00987F50"/>
    <w:rsid w:val="00990FD7"/>
    <w:rsid w:val="00995EC9"/>
    <w:rsid w:val="00996509"/>
    <w:rsid w:val="009A1391"/>
    <w:rsid w:val="009A1767"/>
    <w:rsid w:val="009A481A"/>
    <w:rsid w:val="009C1B54"/>
    <w:rsid w:val="009C41A3"/>
    <w:rsid w:val="009D3FB5"/>
    <w:rsid w:val="009D4B74"/>
    <w:rsid w:val="009D76CD"/>
    <w:rsid w:val="009E06D1"/>
    <w:rsid w:val="009E599B"/>
    <w:rsid w:val="009E7019"/>
    <w:rsid w:val="009E72FF"/>
    <w:rsid w:val="009F2ADA"/>
    <w:rsid w:val="009F3139"/>
    <w:rsid w:val="009F7FD4"/>
    <w:rsid w:val="00A05F61"/>
    <w:rsid w:val="00A06D85"/>
    <w:rsid w:val="00A1081E"/>
    <w:rsid w:val="00A12530"/>
    <w:rsid w:val="00A14B34"/>
    <w:rsid w:val="00A163E8"/>
    <w:rsid w:val="00A21247"/>
    <w:rsid w:val="00A23339"/>
    <w:rsid w:val="00A35E59"/>
    <w:rsid w:val="00A37D0E"/>
    <w:rsid w:val="00A453E4"/>
    <w:rsid w:val="00A5015D"/>
    <w:rsid w:val="00A50729"/>
    <w:rsid w:val="00A51AFD"/>
    <w:rsid w:val="00A57EE8"/>
    <w:rsid w:val="00A613C8"/>
    <w:rsid w:val="00A61AEB"/>
    <w:rsid w:val="00A61CDE"/>
    <w:rsid w:val="00A635B7"/>
    <w:rsid w:val="00A64586"/>
    <w:rsid w:val="00A7082C"/>
    <w:rsid w:val="00A7478C"/>
    <w:rsid w:val="00A8172F"/>
    <w:rsid w:val="00A82B76"/>
    <w:rsid w:val="00A83E91"/>
    <w:rsid w:val="00A84514"/>
    <w:rsid w:val="00A877F0"/>
    <w:rsid w:val="00A909E7"/>
    <w:rsid w:val="00A97225"/>
    <w:rsid w:val="00AA61CD"/>
    <w:rsid w:val="00AB6C99"/>
    <w:rsid w:val="00AC1075"/>
    <w:rsid w:val="00AD1413"/>
    <w:rsid w:val="00AD1A0E"/>
    <w:rsid w:val="00AD56FA"/>
    <w:rsid w:val="00AD5AA8"/>
    <w:rsid w:val="00AD7C07"/>
    <w:rsid w:val="00AE641A"/>
    <w:rsid w:val="00AE65D8"/>
    <w:rsid w:val="00AF4124"/>
    <w:rsid w:val="00B03882"/>
    <w:rsid w:val="00B11161"/>
    <w:rsid w:val="00B135E4"/>
    <w:rsid w:val="00B21262"/>
    <w:rsid w:val="00B2561C"/>
    <w:rsid w:val="00B25862"/>
    <w:rsid w:val="00B3025C"/>
    <w:rsid w:val="00B321A4"/>
    <w:rsid w:val="00B3264F"/>
    <w:rsid w:val="00B331AE"/>
    <w:rsid w:val="00B338F0"/>
    <w:rsid w:val="00B34A59"/>
    <w:rsid w:val="00B35FCB"/>
    <w:rsid w:val="00B4157E"/>
    <w:rsid w:val="00B50DDF"/>
    <w:rsid w:val="00B56251"/>
    <w:rsid w:val="00B70154"/>
    <w:rsid w:val="00B746B7"/>
    <w:rsid w:val="00B770D0"/>
    <w:rsid w:val="00B77EA3"/>
    <w:rsid w:val="00B82E3F"/>
    <w:rsid w:val="00B94C23"/>
    <w:rsid w:val="00BA5212"/>
    <w:rsid w:val="00BA7A28"/>
    <w:rsid w:val="00BB584A"/>
    <w:rsid w:val="00BC06CA"/>
    <w:rsid w:val="00BC08F8"/>
    <w:rsid w:val="00BC2139"/>
    <w:rsid w:val="00BC45F9"/>
    <w:rsid w:val="00BC7523"/>
    <w:rsid w:val="00BD54F5"/>
    <w:rsid w:val="00BD77FA"/>
    <w:rsid w:val="00BE2418"/>
    <w:rsid w:val="00BE4EFC"/>
    <w:rsid w:val="00BF1961"/>
    <w:rsid w:val="00BF7806"/>
    <w:rsid w:val="00C0137C"/>
    <w:rsid w:val="00C02718"/>
    <w:rsid w:val="00C05152"/>
    <w:rsid w:val="00C14324"/>
    <w:rsid w:val="00C14504"/>
    <w:rsid w:val="00C16AF4"/>
    <w:rsid w:val="00C23212"/>
    <w:rsid w:val="00C30738"/>
    <w:rsid w:val="00C30A9E"/>
    <w:rsid w:val="00C407DA"/>
    <w:rsid w:val="00C5012D"/>
    <w:rsid w:val="00C51A83"/>
    <w:rsid w:val="00C51C31"/>
    <w:rsid w:val="00C51CC9"/>
    <w:rsid w:val="00C5451C"/>
    <w:rsid w:val="00C56D90"/>
    <w:rsid w:val="00C62962"/>
    <w:rsid w:val="00C65932"/>
    <w:rsid w:val="00C74D8F"/>
    <w:rsid w:val="00C843D5"/>
    <w:rsid w:val="00C906F1"/>
    <w:rsid w:val="00C9234E"/>
    <w:rsid w:val="00C97232"/>
    <w:rsid w:val="00CA3239"/>
    <w:rsid w:val="00CA6A9F"/>
    <w:rsid w:val="00CB781B"/>
    <w:rsid w:val="00CC1436"/>
    <w:rsid w:val="00CC2265"/>
    <w:rsid w:val="00CC2CE8"/>
    <w:rsid w:val="00CC5F57"/>
    <w:rsid w:val="00CC6950"/>
    <w:rsid w:val="00CE49AE"/>
    <w:rsid w:val="00CE6C19"/>
    <w:rsid w:val="00CF0629"/>
    <w:rsid w:val="00CF0BC9"/>
    <w:rsid w:val="00CF42D9"/>
    <w:rsid w:val="00CF4A75"/>
    <w:rsid w:val="00CF669B"/>
    <w:rsid w:val="00CF7594"/>
    <w:rsid w:val="00D05608"/>
    <w:rsid w:val="00D142B7"/>
    <w:rsid w:val="00D20E6A"/>
    <w:rsid w:val="00D32940"/>
    <w:rsid w:val="00D343A1"/>
    <w:rsid w:val="00D44D38"/>
    <w:rsid w:val="00D44D4F"/>
    <w:rsid w:val="00D534BB"/>
    <w:rsid w:val="00D54DEA"/>
    <w:rsid w:val="00D60DBE"/>
    <w:rsid w:val="00D82C2E"/>
    <w:rsid w:val="00D859D4"/>
    <w:rsid w:val="00D875F9"/>
    <w:rsid w:val="00D87E58"/>
    <w:rsid w:val="00D91AC1"/>
    <w:rsid w:val="00DA059E"/>
    <w:rsid w:val="00DA353B"/>
    <w:rsid w:val="00DA3CC7"/>
    <w:rsid w:val="00DA4FBB"/>
    <w:rsid w:val="00DA6256"/>
    <w:rsid w:val="00DA7897"/>
    <w:rsid w:val="00DB2CEB"/>
    <w:rsid w:val="00DB6BFB"/>
    <w:rsid w:val="00DC49E6"/>
    <w:rsid w:val="00DC7B80"/>
    <w:rsid w:val="00DD3A6D"/>
    <w:rsid w:val="00DD3F74"/>
    <w:rsid w:val="00DD6A52"/>
    <w:rsid w:val="00DF1E01"/>
    <w:rsid w:val="00E06EC5"/>
    <w:rsid w:val="00E10296"/>
    <w:rsid w:val="00E10EE7"/>
    <w:rsid w:val="00E12DD7"/>
    <w:rsid w:val="00E23C54"/>
    <w:rsid w:val="00E322BB"/>
    <w:rsid w:val="00E36493"/>
    <w:rsid w:val="00E43A61"/>
    <w:rsid w:val="00E60F4E"/>
    <w:rsid w:val="00E765AA"/>
    <w:rsid w:val="00E81904"/>
    <w:rsid w:val="00E832D3"/>
    <w:rsid w:val="00E850EE"/>
    <w:rsid w:val="00E86E24"/>
    <w:rsid w:val="00E949B5"/>
    <w:rsid w:val="00E9545E"/>
    <w:rsid w:val="00EA22FF"/>
    <w:rsid w:val="00EA240F"/>
    <w:rsid w:val="00EB38E1"/>
    <w:rsid w:val="00EC31A3"/>
    <w:rsid w:val="00EC53F2"/>
    <w:rsid w:val="00EC6FEA"/>
    <w:rsid w:val="00EC70A4"/>
    <w:rsid w:val="00ED4309"/>
    <w:rsid w:val="00ED4908"/>
    <w:rsid w:val="00EE4701"/>
    <w:rsid w:val="00EE7233"/>
    <w:rsid w:val="00EF4BC6"/>
    <w:rsid w:val="00F02972"/>
    <w:rsid w:val="00F0654A"/>
    <w:rsid w:val="00F0665A"/>
    <w:rsid w:val="00F11257"/>
    <w:rsid w:val="00F11518"/>
    <w:rsid w:val="00F1208B"/>
    <w:rsid w:val="00F13D05"/>
    <w:rsid w:val="00F31EE8"/>
    <w:rsid w:val="00F41E14"/>
    <w:rsid w:val="00F4277A"/>
    <w:rsid w:val="00F448C1"/>
    <w:rsid w:val="00F45461"/>
    <w:rsid w:val="00F6427C"/>
    <w:rsid w:val="00F725F4"/>
    <w:rsid w:val="00F74827"/>
    <w:rsid w:val="00F8071C"/>
    <w:rsid w:val="00F81597"/>
    <w:rsid w:val="00F8586F"/>
    <w:rsid w:val="00F93E35"/>
    <w:rsid w:val="00F940BE"/>
    <w:rsid w:val="00F951E8"/>
    <w:rsid w:val="00FA1F5C"/>
    <w:rsid w:val="00FA201A"/>
    <w:rsid w:val="00FA2BFD"/>
    <w:rsid w:val="00FA5A12"/>
    <w:rsid w:val="00FA6230"/>
    <w:rsid w:val="00FA697E"/>
    <w:rsid w:val="00FB025E"/>
    <w:rsid w:val="00FB70C7"/>
    <w:rsid w:val="00FB7184"/>
    <w:rsid w:val="00FC02A4"/>
    <w:rsid w:val="00FC2F97"/>
    <w:rsid w:val="00FC3851"/>
    <w:rsid w:val="00FC3E51"/>
    <w:rsid w:val="00FC406C"/>
    <w:rsid w:val="00FD4BE6"/>
    <w:rsid w:val="00FD539A"/>
    <w:rsid w:val="00FD5D85"/>
    <w:rsid w:val="00FD70C0"/>
    <w:rsid w:val="00FE0689"/>
    <w:rsid w:val="00FE0C72"/>
    <w:rsid w:val="00FE4DCB"/>
    <w:rsid w:val="00FF249C"/>
    <w:rsid w:val="00FF38E6"/>
    <w:rsid w:val="00FF3E52"/>
    <w:rsid w:val="00FF4178"/>
    <w:rsid w:val="00FF645C"/>
    <w:rsid w:val="04E35DEE"/>
    <w:rsid w:val="062D9678"/>
    <w:rsid w:val="068CBE7D"/>
    <w:rsid w:val="06A0604F"/>
    <w:rsid w:val="06BA3189"/>
    <w:rsid w:val="09EC977C"/>
    <w:rsid w:val="0A1FE4D7"/>
    <w:rsid w:val="0A893A76"/>
    <w:rsid w:val="0AAECBEE"/>
    <w:rsid w:val="0AB22A79"/>
    <w:rsid w:val="0B5D4C01"/>
    <w:rsid w:val="0C41C48C"/>
    <w:rsid w:val="0CC337AB"/>
    <w:rsid w:val="0EC3933D"/>
    <w:rsid w:val="0F059515"/>
    <w:rsid w:val="11756614"/>
    <w:rsid w:val="11BA82C9"/>
    <w:rsid w:val="122EDBA0"/>
    <w:rsid w:val="148E49E9"/>
    <w:rsid w:val="152F0EBB"/>
    <w:rsid w:val="16DCC575"/>
    <w:rsid w:val="18511E78"/>
    <w:rsid w:val="19BEB418"/>
    <w:rsid w:val="1B08A278"/>
    <w:rsid w:val="1B7D0DFE"/>
    <w:rsid w:val="1DA5AEA4"/>
    <w:rsid w:val="201187E7"/>
    <w:rsid w:val="2027A533"/>
    <w:rsid w:val="233DC845"/>
    <w:rsid w:val="239CEE47"/>
    <w:rsid w:val="243FE294"/>
    <w:rsid w:val="2495F762"/>
    <w:rsid w:val="264A133C"/>
    <w:rsid w:val="2708720A"/>
    <w:rsid w:val="272E0C92"/>
    <w:rsid w:val="2814F5A4"/>
    <w:rsid w:val="283A6790"/>
    <w:rsid w:val="29B86335"/>
    <w:rsid w:val="2D97957E"/>
    <w:rsid w:val="2E73EA63"/>
    <w:rsid w:val="30EAAE67"/>
    <w:rsid w:val="3115D296"/>
    <w:rsid w:val="31573CBD"/>
    <w:rsid w:val="32058BA1"/>
    <w:rsid w:val="3250BAF7"/>
    <w:rsid w:val="3393D4C3"/>
    <w:rsid w:val="33E16253"/>
    <w:rsid w:val="34503EE1"/>
    <w:rsid w:val="37AB7BA7"/>
    <w:rsid w:val="37FBF6A2"/>
    <w:rsid w:val="384A00BA"/>
    <w:rsid w:val="38A9CFED"/>
    <w:rsid w:val="3AD4E640"/>
    <w:rsid w:val="3CAAFE65"/>
    <w:rsid w:val="3D98D4AD"/>
    <w:rsid w:val="3E9DCFD2"/>
    <w:rsid w:val="3F4B08C4"/>
    <w:rsid w:val="40A20392"/>
    <w:rsid w:val="41B5A5D6"/>
    <w:rsid w:val="43127C44"/>
    <w:rsid w:val="4359C183"/>
    <w:rsid w:val="44B67BE8"/>
    <w:rsid w:val="45A09FA8"/>
    <w:rsid w:val="47D34765"/>
    <w:rsid w:val="4ADBB562"/>
    <w:rsid w:val="4BAFA985"/>
    <w:rsid w:val="4C799FF9"/>
    <w:rsid w:val="4CE2A1CD"/>
    <w:rsid w:val="4D32137C"/>
    <w:rsid w:val="4D96317A"/>
    <w:rsid w:val="4ED2B487"/>
    <w:rsid w:val="4EE123AF"/>
    <w:rsid w:val="4F6CA8A6"/>
    <w:rsid w:val="5008BAF3"/>
    <w:rsid w:val="50B63414"/>
    <w:rsid w:val="50E426EF"/>
    <w:rsid w:val="5104748A"/>
    <w:rsid w:val="51BD95F4"/>
    <w:rsid w:val="53A3AE0C"/>
    <w:rsid w:val="562A8CDB"/>
    <w:rsid w:val="56BFD53A"/>
    <w:rsid w:val="59107EDD"/>
    <w:rsid w:val="59576F99"/>
    <w:rsid w:val="5A40728A"/>
    <w:rsid w:val="5A5A2B04"/>
    <w:rsid w:val="5D09EBA0"/>
    <w:rsid w:val="5D171D58"/>
    <w:rsid w:val="5DC2B4AD"/>
    <w:rsid w:val="5DE5AC10"/>
    <w:rsid w:val="5E8608E4"/>
    <w:rsid w:val="5E87F0A2"/>
    <w:rsid w:val="5F563F0D"/>
    <w:rsid w:val="61F36485"/>
    <w:rsid w:val="635A31CA"/>
    <w:rsid w:val="63A06429"/>
    <w:rsid w:val="6622A5D8"/>
    <w:rsid w:val="67F6713A"/>
    <w:rsid w:val="68128AE9"/>
    <w:rsid w:val="68C870F6"/>
    <w:rsid w:val="6BF54ED3"/>
    <w:rsid w:val="6C09E7D6"/>
    <w:rsid w:val="6D0D69DC"/>
    <w:rsid w:val="6D2E2FC9"/>
    <w:rsid w:val="6E5FC5E8"/>
    <w:rsid w:val="6F2171F5"/>
    <w:rsid w:val="7125B1E8"/>
    <w:rsid w:val="74902E92"/>
    <w:rsid w:val="75DF69C7"/>
    <w:rsid w:val="77D505CD"/>
    <w:rsid w:val="78DA2F39"/>
    <w:rsid w:val="793BE588"/>
    <w:rsid w:val="7B093C25"/>
    <w:rsid w:val="7B1829C3"/>
    <w:rsid w:val="7D171296"/>
    <w:rsid w:val="7D754BC7"/>
    <w:rsid w:val="7E88D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264888"/>
  <w15:docId w15:val="{568C8363-AD0D-4034-B31D-DF9D4F683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rsid w:val="00723B01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F158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F15806"/>
  </w:style>
  <w:style w:type="paragraph" w:styleId="Rodap">
    <w:name w:val="footer"/>
    <w:basedOn w:val="Normal"/>
    <w:link w:val="RodapCarter"/>
    <w:unhideWhenUsed/>
    <w:rsid w:val="00F158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rsid w:val="00F15806"/>
  </w:style>
  <w:style w:type="paragraph" w:customStyle="1" w:styleId="paragraph">
    <w:name w:val="paragraph"/>
    <w:basedOn w:val="Normal"/>
    <w:rsid w:val="00AD59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normaltextrun">
    <w:name w:val="normaltextrun"/>
    <w:basedOn w:val="Tipodeletrapredefinidodopargrafo"/>
    <w:rsid w:val="00AD5954"/>
  </w:style>
  <w:style w:type="character" w:customStyle="1" w:styleId="eop">
    <w:name w:val="eop"/>
    <w:basedOn w:val="Tipodeletrapredefinidodopargrafo"/>
    <w:rsid w:val="00AD5954"/>
  </w:style>
  <w:style w:type="character" w:styleId="Hiperligao">
    <w:name w:val="Hyperlink"/>
    <w:basedOn w:val="Tipodeletrapredefinidodopargrafo"/>
    <w:uiPriority w:val="99"/>
    <w:unhideWhenUsed/>
    <w:rsid w:val="00C75AF2"/>
    <w:rPr>
      <w:color w:val="0000FF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C75AF2"/>
    <w:rPr>
      <w:color w:val="605E5C"/>
      <w:shd w:val="clear" w:color="auto" w:fill="E1DFDD"/>
    </w:rPr>
  </w:style>
  <w:style w:type="character" w:customStyle="1" w:styleId="None">
    <w:name w:val="None"/>
    <w:rsid w:val="00B3608B"/>
  </w:style>
  <w:style w:type="paragraph" w:styleId="Reviso">
    <w:name w:val="Revision"/>
    <w:hidden/>
    <w:uiPriority w:val="99"/>
    <w:semiHidden/>
    <w:rsid w:val="001653E6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3743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Tipodeletrapredefinidodopargrafo"/>
    <w:uiPriority w:val="22"/>
    <w:qFormat/>
    <w:rsid w:val="003743C5"/>
    <w:rPr>
      <w:b/>
      <w:bCs/>
    </w:rPr>
  </w:style>
  <w:style w:type="paragraph" w:customStyle="1" w:styleId="BodyA">
    <w:name w:val="Body A"/>
    <w:rsid w:val="00D107FD"/>
    <w:pPr>
      <w:pBdr>
        <w:top w:val="nil"/>
        <w:left w:val="nil"/>
        <w:bottom w:val="nil"/>
        <w:right w:val="nil"/>
        <w:between w:val="nil"/>
        <w:bar w:val="nil"/>
      </w:pBdr>
      <w:jc w:val="both"/>
    </w:pPr>
    <w:rPr>
      <w:rFonts w:eastAsia="Arial Unicode MS" w:cs="Arial Unicode MS"/>
      <w:color w:val="000000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356F31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356F31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356F31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356F31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356F31"/>
    <w:rPr>
      <w:b/>
      <w:bCs/>
      <w:sz w:val="20"/>
      <w:szCs w:val="20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CD3533"/>
    <w:pPr>
      <w:spacing w:after="0" w:line="240" w:lineRule="auto"/>
    </w:pPr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CD3533"/>
    <w:rPr>
      <w:sz w:val="20"/>
      <w:szCs w:val="20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CD3533"/>
    <w:rPr>
      <w:vertAlign w:val="superscrip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elacomGrelha">
    <w:name w:val="Table Grid"/>
    <w:basedOn w:val="Tabelanormal"/>
    <w:uiPriority w:val="39"/>
    <w:rsid w:val="00F112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gaovisitada">
    <w:name w:val="FollowedHyperlink"/>
    <w:basedOn w:val="Tipodeletrapredefinidodopargrafo"/>
    <w:uiPriority w:val="99"/>
    <w:semiHidden/>
    <w:unhideWhenUsed/>
    <w:rsid w:val="005441B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9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7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2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1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8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2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7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681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1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156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22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1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9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6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9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2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0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6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3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4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reduniq.pt/insights/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www.reduniq.pt/content/uploads/2025/09/25_113-REDUNIQ-Insights-Verao_v4.pdf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patricia.afonso%20@lift.com.pt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s://www.reduniq.pt/reduniq-insights/" TargetMode="Externa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unicre.pt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BIoeaRjJD1te0+aXKxwiXdfUxw==">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AE6746E973874CAA612E5115A99669" ma:contentTypeVersion="0" ma:contentTypeDescription="Create a new document." ma:contentTypeScope="" ma:versionID="6a8b6aaa2731f92d2c38b03c111340e8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BDC7A25-74A2-4DF7-8215-6C0AC91AC5E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E9BD053-A026-4273-830D-817CBA5F1AC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4BBDEC0-AC6C-41CB-B176-53F2DCD4D52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97C3B7D-1721-4961-AD7E-32FF868FC3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875</Words>
  <Characters>4731</Characters>
  <Application>Microsoft Office Word</Application>
  <DocSecurity>0</DocSecurity>
  <Lines>39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 Rosado</dc:creator>
  <cp:lastModifiedBy>Patrícia Afonso</cp:lastModifiedBy>
  <cp:revision>2</cp:revision>
  <dcterms:created xsi:type="dcterms:W3CDTF">2025-09-30T14:51:00Z</dcterms:created>
  <dcterms:modified xsi:type="dcterms:W3CDTF">2025-09-30T14:51:00Z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0x010100FEAE6746E973874CAA612E5115A99669</vt:lpwstr>
  </property>
  <property fmtid="{D5CDD505-2E9C-101B-9397-08002B2CF9AE}" pid="3" name="MediaServiceImageTags">
    <vt:lpwstr/>
  </property>
  <property fmtid="{D5CDD505-2E9C-101B-9397-08002B2CF9AE}" pid="4" name="MSIP_Label_a0f89cb5-682d-4be4-b0e0-739c9b4a93d4_Enabled">
    <vt:lpwstr>true</vt:lpwstr>
  </property>
  <property fmtid="{D5CDD505-2E9C-101B-9397-08002B2CF9AE}" pid="5" name="MSIP_Label_a0f89cb5-682d-4be4-b0e0-739c9b4a93d4_SetDate">
    <vt:lpwstr>2023-02-08T15:33:18Z</vt:lpwstr>
  </property>
  <property fmtid="{D5CDD505-2E9C-101B-9397-08002B2CF9AE}" pid="6" name="MSIP_Label_a0f89cb5-682d-4be4-b0e0-739c9b4a93d4_Method">
    <vt:lpwstr>Standard</vt:lpwstr>
  </property>
  <property fmtid="{D5CDD505-2E9C-101B-9397-08002B2CF9AE}" pid="7" name="MSIP_Label_a0f89cb5-682d-4be4-b0e0-739c9b4a93d4_Name">
    <vt:lpwstr>Not Classified</vt:lpwstr>
  </property>
  <property fmtid="{D5CDD505-2E9C-101B-9397-08002B2CF9AE}" pid="8" name="MSIP_Label_a0f89cb5-682d-4be4-b0e0-739c9b4a93d4_SiteId">
    <vt:lpwstr>38305e12-e15d-4ee8-88b9-c4db1c477d76</vt:lpwstr>
  </property>
  <property fmtid="{D5CDD505-2E9C-101B-9397-08002B2CF9AE}" pid="9" name="MSIP_Label_a0f89cb5-682d-4be4-b0e0-739c9b4a93d4_ActionId">
    <vt:lpwstr>57545fd6-a959-4e01-be7f-d9d1a572951a</vt:lpwstr>
  </property>
  <property fmtid="{D5CDD505-2E9C-101B-9397-08002B2CF9AE}" pid="10" name="MSIP_Label_a0f89cb5-682d-4be4-b0e0-739c9b4a93d4_ContentBits">
    <vt:lpwstr>0</vt:lpwstr>
  </property>
  <property fmtid="{D5CDD505-2E9C-101B-9397-08002B2CF9AE}" pid="11" name="lcf76f155ced4ddcb4097134ff3c332f">
    <vt:lpwstr/>
  </property>
</Properties>
</file>