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65CCD" w14:textId="77777777" w:rsidR="00996EA1" w:rsidRDefault="00996EA1" w:rsidP="00996EA1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9C2EA3C" w14:textId="77777777" w:rsidR="00996EA1" w:rsidRDefault="00996EA1" w:rsidP="00996EA1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8940AA"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8F61A25" wp14:editId="3455B4AA">
            <wp:simplePos x="0" y="0"/>
            <wp:positionH relativeFrom="column">
              <wp:posOffset>2599055</wp:posOffset>
            </wp:positionH>
            <wp:positionV relativeFrom="paragraph">
              <wp:posOffset>-658495</wp:posOffset>
            </wp:positionV>
            <wp:extent cx="3206750" cy="1114930"/>
            <wp:effectExtent l="0" t="0" r="0" b="9525"/>
            <wp:wrapNone/>
            <wp:docPr id="961967562" name="Obraz 1" descr="Obraz zawierający tekst, Czcionka, zrzut ekranu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967562" name="Obraz 1" descr="Obraz zawierający tekst, Czcionka, zrzut ekranu, Jaskrawoniebieski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750" cy="111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A0B765" w14:textId="77777777" w:rsidR="00996EA1" w:rsidRDefault="00996EA1" w:rsidP="00996EA1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1A86EFC" w14:textId="77777777" w:rsidR="00996EA1" w:rsidRDefault="00996EA1" w:rsidP="00996EA1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5B6BCD2" w14:textId="77777777" w:rsidR="00996EA1" w:rsidRPr="0058546A" w:rsidRDefault="00996EA1" w:rsidP="00996EA1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58546A">
        <w:rPr>
          <w:rFonts w:ascii="Calibri" w:eastAsia="Calibri" w:hAnsi="Calibri" w:cs="Calibri"/>
          <w:sz w:val="24"/>
          <w:szCs w:val="24"/>
        </w:rPr>
        <w:t>Kontakt dla mediów: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 w:rsidRPr="0058546A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Informacja prasowa</w:t>
      </w:r>
    </w:p>
    <w:p w14:paraId="2E76A71F" w14:textId="63AD7331" w:rsidR="00996EA1" w:rsidRPr="0058546A" w:rsidRDefault="00996EA1" w:rsidP="00996EA1">
      <w:pPr>
        <w:spacing w:before="120" w:after="120"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4A6D7030">
        <w:rPr>
          <w:rFonts w:ascii="Calibri" w:eastAsia="Calibri" w:hAnsi="Calibri" w:cs="Calibri"/>
          <w:sz w:val="24"/>
          <w:szCs w:val="24"/>
        </w:rPr>
        <w:t xml:space="preserve">e-mail: </w:t>
      </w:r>
      <w:hyperlink r:id="rId9">
        <w:r w:rsidRPr="4A6D7030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media@parp.gov.pl</w:t>
        </w:r>
      </w:hyperlink>
      <w:r w:rsidRPr="4A6D7030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Warszawa, </w:t>
      </w:r>
      <w:r>
        <w:rPr>
          <w:rFonts w:ascii="Calibri" w:eastAsia="Calibri" w:hAnsi="Calibri" w:cs="Calibri"/>
          <w:sz w:val="24"/>
          <w:szCs w:val="24"/>
        </w:rPr>
        <w:t>24</w:t>
      </w:r>
      <w:r w:rsidRPr="4A6D7030">
        <w:rPr>
          <w:rFonts w:ascii="Calibri" w:eastAsia="Calibri" w:hAnsi="Calibri" w:cs="Calibri"/>
          <w:sz w:val="24"/>
          <w:szCs w:val="24"/>
        </w:rPr>
        <w:t>.0</w:t>
      </w:r>
      <w:r>
        <w:rPr>
          <w:rFonts w:ascii="Calibri" w:eastAsia="Calibri" w:hAnsi="Calibri" w:cs="Calibri"/>
          <w:sz w:val="24"/>
          <w:szCs w:val="24"/>
        </w:rPr>
        <w:t>9</w:t>
      </w:r>
      <w:r w:rsidRPr="4A6D7030">
        <w:rPr>
          <w:rFonts w:ascii="Calibri" w:eastAsia="Calibri" w:hAnsi="Calibri" w:cs="Calibri"/>
          <w:sz w:val="24"/>
          <w:szCs w:val="24"/>
        </w:rPr>
        <w:t>.2025 r.</w:t>
      </w:r>
    </w:p>
    <w:p w14:paraId="57A11AE7" w14:textId="77777777" w:rsidR="006501D5" w:rsidRPr="000A3E78" w:rsidRDefault="006501D5" w:rsidP="00996EA1">
      <w:pPr>
        <w:spacing w:before="120" w:after="120" w:line="276" w:lineRule="auto"/>
        <w:rPr>
          <w:rFonts w:cstheme="minorHAnsi"/>
          <w:sz w:val="24"/>
          <w:szCs w:val="24"/>
        </w:rPr>
      </w:pPr>
    </w:p>
    <w:p w14:paraId="105DD53D" w14:textId="77777777" w:rsidR="00D623D4" w:rsidRPr="00996EA1" w:rsidRDefault="00D623D4" w:rsidP="00996EA1">
      <w:pPr>
        <w:pStyle w:val="Nagwek1"/>
        <w:spacing w:before="120" w:beforeAutospacing="0" w:after="120" w:afterAutospacing="0" w:line="276" w:lineRule="auto"/>
      </w:pPr>
      <w:r w:rsidRPr="00996EA1">
        <w:t>Zielone kompetencje w FERS – szansa na rozwój dla firm i pracowników</w:t>
      </w:r>
    </w:p>
    <w:p w14:paraId="55D178EA" w14:textId="097F4C2D" w:rsidR="00D623D4" w:rsidRPr="00996EA1" w:rsidRDefault="00D623D4" w:rsidP="00996EA1">
      <w:pPr>
        <w:spacing w:before="120" w:after="120" w:line="276" w:lineRule="auto"/>
        <w:rPr>
          <w:rFonts w:ascii="Calibri" w:hAnsi="Calibri" w:cs="Calibri"/>
          <w:b/>
          <w:bCs/>
          <w:sz w:val="24"/>
          <w:szCs w:val="24"/>
        </w:rPr>
      </w:pPr>
      <w:r w:rsidRPr="00996EA1">
        <w:rPr>
          <w:rFonts w:ascii="Calibri" w:hAnsi="Calibri" w:cs="Calibri"/>
          <w:b/>
          <w:bCs/>
          <w:sz w:val="24"/>
          <w:szCs w:val="24"/>
        </w:rPr>
        <w:t>Czy ekologia może iść w parze z rozwojem biznesu? Fundusze Europejskie dla Rozwoju Społecznego (FERS) pokazują, że jak najbardziej. Polska Agencja Rozwoju Przedsiębiorczości</w:t>
      </w:r>
      <w:r w:rsidRPr="00996EA1">
        <w:rPr>
          <w:rFonts w:ascii="Calibri" w:hAnsi="Calibri" w:cs="Calibri"/>
          <w:b/>
          <w:bCs/>
          <w:sz w:val="24"/>
          <w:szCs w:val="24"/>
        </w:rPr>
        <w:t xml:space="preserve"> (PARP)</w:t>
      </w:r>
      <w:r w:rsidRPr="00996EA1">
        <w:rPr>
          <w:rFonts w:ascii="Calibri" w:hAnsi="Calibri" w:cs="Calibri"/>
          <w:b/>
          <w:bCs/>
          <w:sz w:val="24"/>
          <w:szCs w:val="24"/>
        </w:rPr>
        <w:t xml:space="preserve"> realizuje działania, dzięki którym przedsiębiorcy i ich pracownicy mogą rozwijać zielone kompetencje – niezbędne, by sprostać wyzwaniom rynku i budować przewagę konkurencyjną.</w:t>
      </w:r>
    </w:p>
    <w:p w14:paraId="5EC8777F" w14:textId="77777777" w:rsidR="003729C8" w:rsidRPr="00996EA1" w:rsidRDefault="003729C8" w:rsidP="00996EA1">
      <w:pPr>
        <w:pStyle w:val="Nagwek2"/>
        <w:spacing w:before="120" w:after="120" w:line="276" w:lineRule="auto"/>
      </w:pPr>
      <w:r w:rsidRPr="00996EA1">
        <w:t>Zielona zmiana dla firm</w:t>
      </w:r>
    </w:p>
    <w:p w14:paraId="57441730" w14:textId="4AB6B848" w:rsidR="00D623D4" w:rsidRPr="00996EA1" w:rsidRDefault="00D623D4" w:rsidP="00996EA1">
      <w:pPr>
        <w:spacing w:before="120" w:after="120" w:line="276" w:lineRule="auto"/>
        <w:rPr>
          <w:rFonts w:ascii="Calibri" w:hAnsi="Calibri" w:cs="Calibri"/>
          <w:b/>
          <w:bCs/>
          <w:sz w:val="24"/>
          <w:szCs w:val="24"/>
        </w:rPr>
      </w:pPr>
      <w:r w:rsidRPr="00996EA1">
        <w:rPr>
          <w:rFonts w:ascii="Calibri" w:hAnsi="Calibri" w:cs="Calibri"/>
          <w:sz w:val="24"/>
          <w:szCs w:val="24"/>
        </w:rPr>
        <w:t>Klienci i partnerzy coraz częściej zwracają uwagę na ekologię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i efektywne wykorzystanie zasobów. Program „GOZ – to się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opłaca” daje firmom realną szansę, by wejść na zieloną ścieżkę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 xml:space="preserve">rozwoju bez ponoszenia kosztów. </w:t>
      </w:r>
    </w:p>
    <w:p w14:paraId="3CF9BC6F" w14:textId="3C23674F" w:rsidR="00357D12" w:rsidRPr="00996EA1" w:rsidRDefault="00357D12" w:rsidP="00996EA1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996EA1">
        <w:rPr>
          <w:rFonts w:ascii="Calibri" w:hAnsi="Calibri" w:cs="Calibri"/>
          <w:sz w:val="24"/>
          <w:szCs w:val="24"/>
        </w:rPr>
        <w:t>Program jest dla mikro, małych, średnich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i dużych przedsiębiorstw z całej Polski.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Skorzystają firmy, które chcą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ograniczyć koszty i odpady,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wdrożyć nowoczesne, ekologiczne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rozwiązania,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przygotować się na nowe wymogi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rynku i prawa,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szkolić kadrę w zakresie zielonej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transformacji.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W projekcie mogą brać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udział zarówno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właściciele firm, jak i pracownicy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– szczególnie osoby zaangażowane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w planowanie lub wdrażanie rozwiązań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GOZ.</w:t>
      </w:r>
    </w:p>
    <w:p w14:paraId="7FDAC3EB" w14:textId="7279DDEE" w:rsidR="00D623D4" w:rsidRPr="00996EA1" w:rsidRDefault="00D623D4" w:rsidP="00996EA1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996EA1">
        <w:rPr>
          <w:rFonts w:ascii="Calibri" w:hAnsi="Calibri" w:cs="Calibri"/>
          <w:sz w:val="24"/>
          <w:szCs w:val="24"/>
        </w:rPr>
        <w:t>Co moż</w:t>
      </w:r>
      <w:r w:rsidR="00357D12" w:rsidRPr="00996EA1">
        <w:rPr>
          <w:rFonts w:ascii="Calibri" w:hAnsi="Calibri" w:cs="Calibri"/>
          <w:sz w:val="24"/>
          <w:szCs w:val="24"/>
        </w:rPr>
        <w:t>na</w:t>
      </w:r>
      <w:r w:rsidRPr="00996EA1">
        <w:rPr>
          <w:rFonts w:ascii="Calibri" w:hAnsi="Calibri" w:cs="Calibri"/>
          <w:sz w:val="24"/>
          <w:szCs w:val="24"/>
        </w:rPr>
        <w:t xml:space="preserve"> zyskać?</w:t>
      </w:r>
    </w:p>
    <w:p w14:paraId="7F391287" w14:textId="56D43EA8" w:rsidR="00D623D4" w:rsidRPr="00996EA1" w:rsidRDefault="00D623D4" w:rsidP="00996EA1">
      <w:pPr>
        <w:pStyle w:val="Akapitzlist"/>
        <w:numPr>
          <w:ilvl w:val="0"/>
          <w:numId w:val="26"/>
        </w:num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996EA1">
        <w:rPr>
          <w:rFonts w:ascii="Calibri" w:hAnsi="Calibri" w:cs="Calibri"/>
          <w:sz w:val="24"/>
          <w:szCs w:val="24"/>
        </w:rPr>
        <w:t>bezpłatne szkolenia i doradztwo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 xml:space="preserve">dla </w:t>
      </w:r>
      <w:r w:rsidR="00357D12" w:rsidRPr="00996EA1">
        <w:rPr>
          <w:rFonts w:ascii="Calibri" w:hAnsi="Calibri" w:cs="Calibri"/>
          <w:sz w:val="24"/>
          <w:szCs w:val="24"/>
        </w:rPr>
        <w:t>pracodawców i</w:t>
      </w:r>
      <w:r w:rsidRPr="00996EA1">
        <w:rPr>
          <w:rFonts w:ascii="Calibri" w:hAnsi="Calibri" w:cs="Calibri"/>
          <w:sz w:val="24"/>
          <w:szCs w:val="24"/>
        </w:rPr>
        <w:t xml:space="preserve"> pracowników –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finansowane w 100% ze środków UE,</w:t>
      </w:r>
    </w:p>
    <w:p w14:paraId="445205C7" w14:textId="77777777" w:rsidR="00D623D4" w:rsidRPr="00996EA1" w:rsidRDefault="00D623D4" w:rsidP="00996EA1">
      <w:pPr>
        <w:pStyle w:val="Akapitzlist"/>
        <w:numPr>
          <w:ilvl w:val="0"/>
          <w:numId w:val="26"/>
        </w:num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996EA1">
        <w:rPr>
          <w:rFonts w:ascii="Calibri" w:hAnsi="Calibri" w:cs="Calibri"/>
          <w:sz w:val="24"/>
          <w:szCs w:val="24"/>
        </w:rPr>
        <w:t>wiedzę o tym, jak przejść z gospodarki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liniowej na cyrkularną – od podstaw po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zaawansowane strategie,</w:t>
      </w:r>
    </w:p>
    <w:p w14:paraId="12DA36B2" w14:textId="77777777" w:rsidR="00D623D4" w:rsidRPr="00996EA1" w:rsidRDefault="00D623D4" w:rsidP="00996EA1">
      <w:pPr>
        <w:pStyle w:val="Akapitzlist"/>
        <w:numPr>
          <w:ilvl w:val="0"/>
          <w:numId w:val="26"/>
        </w:num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996EA1">
        <w:rPr>
          <w:rFonts w:ascii="Calibri" w:hAnsi="Calibri" w:cs="Calibri"/>
          <w:sz w:val="24"/>
          <w:szCs w:val="24"/>
        </w:rPr>
        <w:t>praktyczne narzędzia: analiza łańcucha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wartości, projektowanie produktów pod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kątem ponownego użycia, zarządzanie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odpadami czy liczenie śladu węglowego,</w:t>
      </w:r>
    </w:p>
    <w:p w14:paraId="3E218336" w14:textId="6015A571" w:rsidR="00D623D4" w:rsidRPr="00996EA1" w:rsidRDefault="00D623D4" w:rsidP="00996EA1">
      <w:pPr>
        <w:pStyle w:val="Akapitzlist"/>
        <w:numPr>
          <w:ilvl w:val="0"/>
          <w:numId w:val="26"/>
        </w:num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996EA1">
        <w:rPr>
          <w:rFonts w:ascii="Calibri" w:hAnsi="Calibri" w:cs="Calibri"/>
          <w:sz w:val="24"/>
          <w:szCs w:val="24"/>
        </w:rPr>
        <w:t>dostęp do przykładów dobrych praktyk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i gotowych modeli biznesowych GOZ,</w:t>
      </w:r>
    </w:p>
    <w:p w14:paraId="3B4E556A" w14:textId="570F741C" w:rsidR="00D623D4" w:rsidRPr="00996EA1" w:rsidRDefault="00D623D4" w:rsidP="00996EA1">
      <w:pPr>
        <w:pStyle w:val="Akapitzlist"/>
        <w:numPr>
          <w:ilvl w:val="0"/>
          <w:numId w:val="26"/>
        </w:num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996EA1">
        <w:rPr>
          <w:rFonts w:ascii="Calibri" w:hAnsi="Calibri" w:cs="Calibri"/>
          <w:sz w:val="24"/>
          <w:szCs w:val="24"/>
        </w:rPr>
        <w:t>możliwość zaplanowania i wdrożenia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rozwiązań, które poprawią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efektywność i wizerunek firmy.</w:t>
      </w:r>
    </w:p>
    <w:p w14:paraId="2B727BB7" w14:textId="60BBC9A0" w:rsidR="001F11BF" w:rsidRPr="00996EA1" w:rsidRDefault="001F11BF" w:rsidP="00996EA1">
      <w:pPr>
        <w:spacing w:before="120" w:after="120" w:line="276" w:lineRule="auto"/>
        <w:rPr>
          <w:rFonts w:ascii="Calibri" w:hAnsi="Calibri" w:cs="Calibri"/>
          <w:b/>
          <w:bCs/>
          <w:sz w:val="24"/>
          <w:szCs w:val="24"/>
        </w:rPr>
      </w:pPr>
      <w:r w:rsidRPr="00996EA1">
        <w:rPr>
          <w:rFonts w:ascii="Calibri" w:hAnsi="Calibri" w:cs="Calibri"/>
          <w:b/>
          <w:bCs/>
          <w:sz w:val="24"/>
          <w:szCs w:val="24"/>
        </w:rPr>
        <w:t>Nabór trwa do 31 stycznia 2027 r., a udział w szkoleniach i doradztwie jest w 100% finansowany ze środków UE.</w:t>
      </w:r>
    </w:p>
    <w:p w14:paraId="51E5053C" w14:textId="22EFAF95" w:rsidR="00357D12" w:rsidRPr="00996EA1" w:rsidRDefault="00357D12" w:rsidP="00996EA1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996EA1">
        <w:rPr>
          <w:rFonts w:ascii="Calibri" w:hAnsi="Calibri" w:cs="Calibri"/>
          <w:sz w:val="24"/>
          <w:szCs w:val="24"/>
        </w:rPr>
        <w:lastRenderedPageBreak/>
        <w:t>Proces aplikacji odbywa się online za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pośrednictwem systemów Operatorów.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Nabory wniosków odbywają się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cyklicznie lub w trybie ciągłym – aktualne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harmonogramy są ogłaszane na stronach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internetowych operatorów.</w:t>
      </w:r>
    </w:p>
    <w:p w14:paraId="1FFFBED1" w14:textId="1794C3E2" w:rsidR="00357D12" w:rsidRPr="00996EA1" w:rsidRDefault="00357D12" w:rsidP="00996EA1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996EA1">
        <w:rPr>
          <w:rFonts w:ascii="Calibri" w:hAnsi="Calibri" w:cs="Calibri"/>
          <w:sz w:val="24"/>
          <w:szCs w:val="24"/>
        </w:rPr>
        <w:t>Operatorzy:</w:t>
      </w:r>
    </w:p>
    <w:p w14:paraId="3C37A655" w14:textId="4D8B251C" w:rsidR="00357D12" w:rsidRPr="00996EA1" w:rsidRDefault="00357D12" w:rsidP="00996EA1">
      <w:pPr>
        <w:pStyle w:val="Akapitzlist"/>
        <w:numPr>
          <w:ilvl w:val="0"/>
          <w:numId w:val="27"/>
        </w:num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357D12">
        <w:rPr>
          <w:rFonts w:ascii="Calibri" w:hAnsi="Calibri" w:cs="Calibri"/>
          <w:sz w:val="24"/>
          <w:szCs w:val="24"/>
        </w:rPr>
        <w:t>„Projekt GO!Z – wejdź na wyższy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 xml:space="preserve">poziom biznesu” – </w:t>
      </w:r>
      <w:hyperlink r:id="rId10" w:history="1">
        <w:proofErr w:type="spellStart"/>
        <w:r w:rsidRPr="00996EA1">
          <w:rPr>
            <w:rStyle w:val="Hipercze"/>
            <w:rFonts w:ascii="Calibri" w:hAnsi="Calibri" w:cs="Calibri"/>
            <w:sz w:val="24"/>
            <w:szCs w:val="24"/>
          </w:rPr>
          <w:t>Certes</w:t>
        </w:r>
        <w:proofErr w:type="spellEnd"/>
        <w:r w:rsidRPr="00996EA1">
          <w:rPr>
            <w:rStyle w:val="Hipercze"/>
            <w:rFonts w:ascii="Calibri" w:hAnsi="Calibri" w:cs="Calibri"/>
            <w:sz w:val="24"/>
            <w:szCs w:val="24"/>
          </w:rPr>
          <w:t xml:space="preserve"> Sp. z o.o.</w:t>
        </w:r>
      </w:hyperlink>
      <w:r w:rsidRPr="00996EA1">
        <w:rPr>
          <w:rFonts w:ascii="Calibri" w:hAnsi="Calibri" w:cs="Calibri"/>
          <w:sz w:val="24"/>
          <w:szCs w:val="24"/>
        </w:rPr>
        <w:t>,</w:t>
      </w:r>
    </w:p>
    <w:p w14:paraId="77D3C998" w14:textId="3A06EA7B" w:rsidR="00357D12" w:rsidRPr="00996EA1" w:rsidRDefault="00357D12" w:rsidP="00996EA1">
      <w:pPr>
        <w:pStyle w:val="Akapitzlist"/>
        <w:numPr>
          <w:ilvl w:val="0"/>
          <w:numId w:val="27"/>
        </w:num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996EA1">
        <w:rPr>
          <w:rFonts w:ascii="Calibri" w:hAnsi="Calibri" w:cs="Calibri"/>
          <w:sz w:val="24"/>
          <w:szCs w:val="24"/>
        </w:rPr>
        <w:t xml:space="preserve">„Profesjonalne kadry GOZ” – </w:t>
      </w:r>
      <w:hyperlink r:id="rId11" w:history="1">
        <w:r w:rsidRPr="00996EA1">
          <w:rPr>
            <w:rStyle w:val="Hipercze"/>
            <w:rFonts w:ascii="Calibri" w:hAnsi="Calibri" w:cs="Calibri"/>
            <w:sz w:val="24"/>
            <w:szCs w:val="24"/>
          </w:rPr>
          <w:t>ADN Akademia Biznesu Sp. z o.o.,</w:t>
        </w:r>
      </w:hyperlink>
    </w:p>
    <w:p w14:paraId="6854C085" w14:textId="09D10A62" w:rsidR="00357D12" w:rsidRPr="00996EA1" w:rsidRDefault="00357D12" w:rsidP="00996EA1">
      <w:pPr>
        <w:pStyle w:val="Akapitzlist"/>
        <w:numPr>
          <w:ilvl w:val="0"/>
          <w:numId w:val="27"/>
        </w:num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357D12">
        <w:rPr>
          <w:rFonts w:ascii="Calibri" w:hAnsi="Calibri" w:cs="Calibri"/>
          <w:sz w:val="24"/>
          <w:szCs w:val="24"/>
        </w:rPr>
        <w:t>„GOZ – Nowe perspektywy dla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 xml:space="preserve">biznesu” – </w:t>
      </w:r>
      <w:hyperlink r:id="rId12" w:history="1">
        <w:r w:rsidRPr="00996EA1">
          <w:rPr>
            <w:rStyle w:val="Hipercze"/>
            <w:rFonts w:ascii="Calibri" w:hAnsi="Calibri" w:cs="Calibri"/>
            <w:sz w:val="24"/>
            <w:szCs w:val="24"/>
          </w:rPr>
          <w:t>Instytut Nauk Społeczno-Ekonomicznych</w:t>
        </w:r>
      </w:hyperlink>
      <w:r w:rsidRPr="00996EA1">
        <w:rPr>
          <w:rFonts w:ascii="Calibri" w:hAnsi="Calibri" w:cs="Calibri"/>
          <w:sz w:val="24"/>
          <w:szCs w:val="24"/>
        </w:rPr>
        <w:t>,</w:t>
      </w:r>
    </w:p>
    <w:p w14:paraId="4BB29D5A" w14:textId="7361BBFF" w:rsidR="00357D12" w:rsidRPr="00996EA1" w:rsidRDefault="00357D12" w:rsidP="00996EA1">
      <w:pPr>
        <w:pStyle w:val="Akapitzlist"/>
        <w:numPr>
          <w:ilvl w:val="0"/>
          <w:numId w:val="27"/>
        </w:num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357D12">
        <w:rPr>
          <w:rFonts w:ascii="Calibri" w:hAnsi="Calibri" w:cs="Calibri"/>
          <w:sz w:val="24"/>
          <w:szCs w:val="24"/>
        </w:rPr>
        <w:t>„GOSPODARKA OBIEGU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ZAMKNIĘTEGO – NOWE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MOŻLIWOŚCI DLA BIZNESU”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 xml:space="preserve">– </w:t>
      </w:r>
      <w:hyperlink r:id="rId13" w:history="1">
        <w:r w:rsidRPr="00996EA1">
          <w:rPr>
            <w:rStyle w:val="Hipercze"/>
            <w:rFonts w:ascii="Calibri" w:hAnsi="Calibri" w:cs="Calibri"/>
            <w:sz w:val="24"/>
            <w:szCs w:val="24"/>
          </w:rPr>
          <w:t>ICVC Certyfikacja</w:t>
        </w:r>
      </w:hyperlink>
      <w:r w:rsidRPr="00996EA1">
        <w:rPr>
          <w:rFonts w:ascii="Calibri" w:hAnsi="Calibri" w:cs="Calibri"/>
          <w:sz w:val="24"/>
          <w:szCs w:val="24"/>
        </w:rPr>
        <w:t>,</w:t>
      </w:r>
    </w:p>
    <w:p w14:paraId="1ACD4065" w14:textId="27BE8854" w:rsidR="00357D12" w:rsidRPr="00996EA1" w:rsidRDefault="00357D12" w:rsidP="00996EA1">
      <w:pPr>
        <w:pStyle w:val="Akapitzlist"/>
        <w:numPr>
          <w:ilvl w:val="0"/>
          <w:numId w:val="27"/>
        </w:num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357D12">
        <w:rPr>
          <w:rFonts w:ascii="Calibri" w:hAnsi="Calibri" w:cs="Calibri"/>
          <w:sz w:val="24"/>
          <w:szCs w:val="24"/>
        </w:rPr>
        <w:t>„GOZ – naturalny wymiar biznesu”</w:t>
      </w:r>
      <w:r w:rsidRPr="00996EA1">
        <w:rPr>
          <w:rFonts w:ascii="Calibri" w:hAnsi="Calibri" w:cs="Calibri"/>
          <w:sz w:val="24"/>
          <w:szCs w:val="24"/>
        </w:rPr>
        <w:t xml:space="preserve">– </w:t>
      </w:r>
      <w:hyperlink r:id="rId14" w:history="1">
        <w:r w:rsidRPr="00996EA1">
          <w:rPr>
            <w:rStyle w:val="Hipercze"/>
            <w:rFonts w:ascii="Calibri" w:hAnsi="Calibri" w:cs="Calibri"/>
            <w:sz w:val="24"/>
            <w:szCs w:val="24"/>
          </w:rPr>
          <w:t>Ośrodek Doradztwa i Treningu Kierowniczego</w:t>
        </w:r>
      </w:hyperlink>
      <w:r w:rsidRPr="00996EA1">
        <w:rPr>
          <w:rFonts w:ascii="Calibri" w:hAnsi="Calibri" w:cs="Calibri"/>
          <w:sz w:val="24"/>
          <w:szCs w:val="24"/>
        </w:rPr>
        <w:t>,</w:t>
      </w:r>
    </w:p>
    <w:p w14:paraId="169E6523" w14:textId="5F124105" w:rsidR="00357D12" w:rsidRPr="00996EA1" w:rsidRDefault="00357D12" w:rsidP="00996EA1">
      <w:pPr>
        <w:pStyle w:val="Akapitzlist"/>
        <w:numPr>
          <w:ilvl w:val="0"/>
          <w:numId w:val="27"/>
        </w:num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357D12">
        <w:rPr>
          <w:rFonts w:ascii="Calibri" w:hAnsi="Calibri" w:cs="Calibri"/>
          <w:sz w:val="24"/>
          <w:szCs w:val="24"/>
        </w:rPr>
        <w:t>Przepis na Rozwój – czas na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 xml:space="preserve">niskoemisyjną </w:t>
      </w:r>
      <w:proofErr w:type="spellStart"/>
      <w:r w:rsidRPr="00996EA1">
        <w:rPr>
          <w:rFonts w:ascii="Calibri" w:hAnsi="Calibri" w:cs="Calibri"/>
          <w:sz w:val="24"/>
          <w:szCs w:val="24"/>
        </w:rPr>
        <w:t>GOZpodarkę</w:t>
      </w:r>
      <w:proofErr w:type="spellEnd"/>
      <w:r w:rsidRPr="00996EA1">
        <w:rPr>
          <w:rFonts w:ascii="Calibri" w:hAnsi="Calibri" w:cs="Calibri"/>
          <w:sz w:val="24"/>
          <w:szCs w:val="24"/>
        </w:rPr>
        <w:t xml:space="preserve"> – </w:t>
      </w:r>
      <w:hyperlink r:id="rId15" w:history="1">
        <w:r w:rsidRPr="00996EA1">
          <w:rPr>
            <w:rStyle w:val="Hipercze"/>
            <w:rFonts w:ascii="Calibri" w:hAnsi="Calibri" w:cs="Calibri"/>
            <w:sz w:val="24"/>
            <w:szCs w:val="24"/>
          </w:rPr>
          <w:t xml:space="preserve">HRP </w:t>
        </w:r>
        <w:proofErr w:type="spellStart"/>
        <w:r w:rsidRPr="00996EA1">
          <w:rPr>
            <w:rStyle w:val="Hipercze"/>
            <w:rFonts w:ascii="Calibri" w:hAnsi="Calibri" w:cs="Calibri"/>
            <w:sz w:val="24"/>
            <w:szCs w:val="24"/>
          </w:rPr>
          <w:t>Grants</w:t>
        </w:r>
        <w:proofErr w:type="spellEnd"/>
        <w:r w:rsidRPr="00996EA1">
          <w:rPr>
            <w:rStyle w:val="Hipercze"/>
            <w:rFonts w:ascii="Calibri" w:hAnsi="Calibri" w:cs="Calibri"/>
            <w:sz w:val="24"/>
            <w:szCs w:val="24"/>
          </w:rPr>
          <w:t xml:space="preserve"> Sp. z o. o.</w:t>
        </w:r>
      </w:hyperlink>
      <w:r w:rsidRPr="00996EA1">
        <w:rPr>
          <w:rFonts w:ascii="Calibri" w:hAnsi="Calibri" w:cs="Calibri"/>
          <w:sz w:val="24"/>
          <w:szCs w:val="24"/>
        </w:rPr>
        <w:t>,</w:t>
      </w:r>
    </w:p>
    <w:p w14:paraId="00E057F4" w14:textId="311CFE44" w:rsidR="00357D12" w:rsidRPr="00996EA1" w:rsidRDefault="00357D12" w:rsidP="00996EA1">
      <w:pPr>
        <w:pStyle w:val="Akapitzlist"/>
        <w:numPr>
          <w:ilvl w:val="0"/>
          <w:numId w:val="27"/>
        </w:num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357D12">
        <w:rPr>
          <w:rFonts w:ascii="Calibri" w:hAnsi="Calibri" w:cs="Calibri"/>
          <w:sz w:val="24"/>
          <w:szCs w:val="24"/>
        </w:rPr>
        <w:t xml:space="preserve">„Akademia GOZ” – </w:t>
      </w:r>
      <w:hyperlink r:id="rId16" w:history="1">
        <w:r w:rsidRPr="00357D12">
          <w:rPr>
            <w:rStyle w:val="Hipercze"/>
            <w:rFonts w:ascii="Calibri" w:hAnsi="Calibri" w:cs="Calibri"/>
            <w:sz w:val="24"/>
            <w:szCs w:val="24"/>
          </w:rPr>
          <w:t>Krajowa Izba</w:t>
        </w:r>
        <w:r w:rsidRPr="00996EA1">
          <w:rPr>
            <w:rStyle w:val="Hipercze"/>
            <w:rFonts w:ascii="Calibri" w:hAnsi="Calibri" w:cs="Calibri"/>
            <w:sz w:val="24"/>
            <w:szCs w:val="24"/>
          </w:rPr>
          <w:t xml:space="preserve"> Gospodarcza</w:t>
        </w:r>
      </w:hyperlink>
      <w:r w:rsidRPr="00996EA1">
        <w:rPr>
          <w:rFonts w:ascii="Calibri" w:hAnsi="Calibri" w:cs="Calibri"/>
          <w:sz w:val="24"/>
          <w:szCs w:val="24"/>
        </w:rPr>
        <w:t>,</w:t>
      </w:r>
    </w:p>
    <w:p w14:paraId="55CF4C8F" w14:textId="20BD9412" w:rsidR="00357D12" w:rsidRPr="00996EA1" w:rsidRDefault="00357D12" w:rsidP="00996EA1">
      <w:pPr>
        <w:pStyle w:val="Akapitzlist"/>
        <w:numPr>
          <w:ilvl w:val="0"/>
          <w:numId w:val="27"/>
        </w:num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357D12">
        <w:rPr>
          <w:rFonts w:ascii="Calibri" w:hAnsi="Calibri" w:cs="Calibri"/>
          <w:sz w:val="24"/>
          <w:szCs w:val="24"/>
        </w:rPr>
        <w:t>Przedsiębiorcy kompetentni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 xml:space="preserve">w GOZ” – </w:t>
      </w:r>
      <w:hyperlink r:id="rId17" w:history="1">
        <w:r w:rsidRPr="00996EA1">
          <w:rPr>
            <w:rStyle w:val="Hipercze"/>
            <w:rFonts w:ascii="Calibri" w:hAnsi="Calibri" w:cs="Calibri"/>
            <w:sz w:val="24"/>
            <w:szCs w:val="24"/>
          </w:rPr>
          <w:t xml:space="preserve">Wielkopolska Grupa Prawnicza </w:t>
        </w:r>
        <w:proofErr w:type="spellStart"/>
        <w:r w:rsidRPr="00996EA1">
          <w:rPr>
            <w:rStyle w:val="Hipercze"/>
            <w:rFonts w:ascii="Calibri" w:hAnsi="Calibri" w:cs="Calibri"/>
            <w:sz w:val="24"/>
            <w:szCs w:val="24"/>
          </w:rPr>
          <w:t>Maźwa</w:t>
        </w:r>
        <w:proofErr w:type="spellEnd"/>
        <w:r w:rsidRPr="00996EA1">
          <w:rPr>
            <w:rStyle w:val="Hipercze"/>
            <w:rFonts w:ascii="Calibri" w:hAnsi="Calibri" w:cs="Calibri"/>
            <w:sz w:val="24"/>
            <w:szCs w:val="24"/>
          </w:rPr>
          <w:t xml:space="preserve">, </w:t>
        </w:r>
        <w:proofErr w:type="spellStart"/>
        <w:r w:rsidRPr="00996EA1">
          <w:rPr>
            <w:rStyle w:val="Hipercze"/>
            <w:rFonts w:ascii="Calibri" w:hAnsi="Calibri" w:cs="Calibri"/>
            <w:sz w:val="24"/>
            <w:szCs w:val="24"/>
          </w:rPr>
          <w:t>Sendrowski</w:t>
        </w:r>
        <w:proofErr w:type="spellEnd"/>
        <w:r w:rsidRPr="00996EA1">
          <w:rPr>
            <w:rStyle w:val="Hipercze"/>
            <w:rFonts w:ascii="Calibri" w:hAnsi="Calibri" w:cs="Calibri"/>
            <w:sz w:val="24"/>
            <w:szCs w:val="24"/>
          </w:rPr>
          <w:t xml:space="preserve"> i wspólnicy Sp. K</w:t>
        </w:r>
      </w:hyperlink>
      <w:r w:rsidRPr="00996EA1">
        <w:rPr>
          <w:rFonts w:ascii="Calibri" w:hAnsi="Calibri" w:cs="Calibri"/>
          <w:sz w:val="24"/>
          <w:szCs w:val="24"/>
        </w:rPr>
        <w:t>.</w:t>
      </w:r>
    </w:p>
    <w:p w14:paraId="0D8735D7" w14:textId="051034FE" w:rsidR="00357D12" w:rsidRPr="00996EA1" w:rsidRDefault="00357D12" w:rsidP="00996EA1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996EA1">
        <w:rPr>
          <w:rFonts w:ascii="Calibri" w:hAnsi="Calibri" w:cs="Calibri"/>
          <w:sz w:val="24"/>
          <w:szCs w:val="24"/>
        </w:rPr>
        <w:t xml:space="preserve">Więcej informacji o naborze </w:t>
      </w:r>
      <w:hyperlink r:id="rId18" w:history="1">
        <w:r w:rsidRPr="00996EA1">
          <w:rPr>
            <w:rStyle w:val="Hipercze"/>
            <w:rFonts w:ascii="Calibri" w:hAnsi="Calibri" w:cs="Calibri"/>
            <w:sz w:val="24"/>
            <w:szCs w:val="24"/>
          </w:rPr>
          <w:t>znajduje się na stroni</w:t>
        </w:r>
        <w:r w:rsidRPr="00996EA1">
          <w:rPr>
            <w:rStyle w:val="Hipercze"/>
            <w:rFonts w:ascii="Calibri" w:hAnsi="Calibri" w:cs="Calibri"/>
            <w:sz w:val="24"/>
            <w:szCs w:val="24"/>
          </w:rPr>
          <w:t>e</w:t>
        </w:r>
        <w:r w:rsidRPr="00996EA1">
          <w:rPr>
            <w:rStyle w:val="Hipercze"/>
            <w:rFonts w:ascii="Calibri" w:hAnsi="Calibri" w:cs="Calibri"/>
            <w:sz w:val="24"/>
            <w:szCs w:val="24"/>
          </w:rPr>
          <w:t xml:space="preserve"> PARP</w:t>
        </w:r>
      </w:hyperlink>
      <w:r w:rsidRPr="00996EA1">
        <w:rPr>
          <w:rFonts w:ascii="Calibri" w:hAnsi="Calibri" w:cs="Calibri"/>
          <w:sz w:val="24"/>
          <w:szCs w:val="24"/>
        </w:rPr>
        <w:t>.</w:t>
      </w:r>
    </w:p>
    <w:p w14:paraId="602CA228" w14:textId="77777777" w:rsidR="00996EA1" w:rsidRPr="00996EA1" w:rsidRDefault="00996EA1" w:rsidP="00996EA1">
      <w:pPr>
        <w:pStyle w:val="Nagwek2"/>
        <w:spacing w:before="120" w:after="120" w:line="276" w:lineRule="auto"/>
      </w:pPr>
      <w:r w:rsidRPr="00996EA1">
        <w:t>Wsparcie dla firm w zielonej transformacji</w:t>
      </w:r>
    </w:p>
    <w:p w14:paraId="0AAA903C" w14:textId="639181C7" w:rsidR="00996EA1" w:rsidRPr="00996EA1" w:rsidRDefault="00996EA1" w:rsidP="00996EA1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996EA1">
        <w:rPr>
          <w:rFonts w:ascii="Calibri" w:hAnsi="Calibri" w:cs="Calibri"/>
          <w:sz w:val="24"/>
          <w:szCs w:val="24"/>
        </w:rPr>
        <w:t>Kolejny program FERS, do którego obecnie trwa nabór, to „Zielone rekomendacje”. Koncentruje się on na podnoszeniu kompetencji w zakresie zielonej gospodarki. Program oferuje dofinansowanie dla mikro, małych, średnich i dużych przedsiębiorstw na działania związane z dostosowaniem firmy do zmian, wspieraniem aktywnego i zdrowego starzenia się oraz tworzeniem zdrowego i dobrze dostosowanego środowiska pracy, uwzględniającego zagrożenia dla zdrowia.</w:t>
      </w:r>
    </w:p>
    <w:p w14:paraId="699C2D4E" w14:textId="76FAB2CE" w:rsidR="003729C8" w:rsidRPr="00996EA1" w:rsidRDefault="003729C8" w:rsidP="00996EA1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996EA1">
        <w:rPr>
          <w:rFonts w:ascii="Calibri" w:hAnsi="Calibri" w:cs="Calibri"/>
          <w:sz w:val="24"/>
          <w:szCs w:val="24"/>
        </w:rPr>
        <w:t>Przedsiębiorcy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="00996EA1" w:rsidRPr="00996EA1">
        <w:rPr>
          <w:rFonts w:ascii="Calibri" w:hAnsi="Calibri" w:cs="Calibri"/>
          <w:sz w:val="24"/>
          <w:szCs w:val="24"/>
        </w:rPr>
        <w:t xml:space="preserve">oraz ich pracownicy i pracownice </w:t>
      </w:r>
      <w:r w:rsidRPr="00996EA1">
        <w:rPr>
          <w:rFonts w:ascii="Calibri" w:hAnsi="Calibri" w:cs="Calibri"/>
          <w:sz w:val="24"/>
          <w:szCs w:val="24"/>
        </w:rPr>
        <w:t>mog</w:t>
      </w:r>
      <w:r w:rsidRPr="00996EA1">
        <w:rPr>
          <w:rFonts w:ascii="Calibri" w:hAnsi="Calibri" w:cs="Calibri"/>
          <w:sz w:val="24"/>
          <w:szCs w:val="24"/>
        </w:rPr>
        <w:t>ą</w:t>
      </w:r>
      <w:r w:rsidRPr="00996EA1">
        <w:rPr>
          <w:rFonts w:ascii="Calibri" w:hAnsi="Calibri" w:cs="Calibri"/>
          <w:sz w:val="24"/>
          <w:szCs w:val="24"/>
        </w:rPr>
        <w:t xml:space="preserve"> zgłaszać się do wybranych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Operatorów, aby skorzystać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z dofinansowanych szkoleń i doradztwa,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przygotowujących do zmian wynikających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z transformacji ekologicznej. Wsparcie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obejmie zarówno pracowników mikro,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małych, średnich, jak i dużych firm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(z ograniczeniem –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pracownicy dużych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przedsiębiorstw mogą stanowić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maksymalnie 40% uczestników projektu).</w:t>
      </w:r>
    </w:p>
    <w:p w14:paraId="024BC842" w14:textId="33EBDF93" w:rsidR="001F11BF" w:rsidRPr="00996EA1" w:rsidRDefault="003729C8" w:rsidP="00996EA1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996EA1">
        <w:rPr>
          <w:rFonts w:ascii="Calibri" w:hAnsi="Calibri" w:cs="Calibri"/>
          <w:sz w:val="24"/>
          <w:szCs w:val="24"/>
        </w:rPr>
        <w:t>W ramach programu przedsiębiorcy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oraz ich zespoły zyskają dostęp do usług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rozwojowych opartych na najnowszych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rekomendacjach sektorowych rad ds.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kompetencji oraz Rady Programowej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ds. kompetencji. Otrzymają praktyczną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wiedzę, jak dostosować firmę do wymogów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zielonej gospodarki, poprawić warunki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pracy i przygotować się na nowe regulacje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środowiskowe. Usługi będą realizowane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w formie szkoleń i doradztwa. Całość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wsparcia będzie dostępna poprzez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podejście popytowe, za pośrednictwem</w:t>
      </w:r>
      <w:r w:rsidRP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Bazy Usług Rozwojowych.</w:t>
      </w:r>
    </w:p>
    <w:p w14:paraId="45B6ED60" w14:textId="716C5C7D" w:rsidR="001F11BF" w:rsidRPr="00996EA1" w:rsidRDefault="001F11BF" w:rsidP="00996EA1">
      <w:pPr>
        <w:spacing w:before="120" w:after="120" w:line="276" w:lineRule="auto"/>
        <w:rPr>
          <w:rFonts w:ascii="Calibri" w:hAnsi="Calibri" w:cs="Calibri"/>
          <w:b/>
          <w:bCs/>
          <w:sz w:val="24"/>
          <w:szCs w:val="24"/>
        </w:rPr>
      </w:pPr>
      <w:r w:rsidRPr="00996EA1">
        <w:rPr>
          <w:rFonts w:ascii="Calibri" w:hAnsi="Calibri" w:cs="Calibri"/>
          <w:b/>
          <w:bCs/>
          <w:sz w:val="24"/>
          <w:szCs w:val="24"/>
        </w:rPr>
        <w:t>Nabór trwa do grudnia 2027 r., a wsparcie wynosi do 80% wartości projektu.</w:t>
      </w:r>
    </w:p>
    <w:p w14:paraId="67C71D19" w14:textId="20DEC13D" w:rsidR="00996EA1" w:rsidRPr="00996EA1" w:rsidRDefault="00996EA1" w:rsidP="00996EA1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996EA1">
        <w:rPr>
          <w:rFonts w:ascii="Calibri" w:hAnsi="Calibri" w:cs="Calibri"/>
          <w:sz w:val="24"/>
          <w:szCs w:val="24"/>
        </w:rPr>
        <w:t xml:space="preserve">Więcej informacji o naborze </w:t>
      </w:r>
      <w:hyperlink r:id="rId19" w:history="1">
        <w:r w:rsidRPr="00996EA1">
          <w:rPr>
            <w:rStyle w:val="Hipercze"/>
            <w:rFonts w:ascii="Calibri" w:hAnsi="Calibri" w:cs="Calibri"/>
            <w:sz w:val="24"/>
            <w:szCs w:val="24"/>
          </w:rPr>
          <w:t>znajduje się na stronie PARP</w:t>
        </w:r>
      </w:hyperlink>
      <w:r w:rsidRPr="00996EA1">
        <w:rPr>
          <w:rFonts w:ascii="Calibri" w:hAnsi="Calibri" w:cs="Calibri"/>
          <w:sz w:val="24"/>
          <w:szCs w:val="24"/>
        </w:rPr>
        <w:t>.</w:t>
      </w:r>
    </w:p>
    <w:p w14:paraId="15BD4BFA" w14:textId="77777777" w:rsidR="001F11BF" w:rsidRPr="00996EA1" w:rsidRDefault="001F11BF" w:rsidP="00996EA1">
      <w:pPr>
        <w:pStyle w:val="Nagwek2"/>
      </w:pPr>
      <w:r w:rsidRPr="00996EA1">
        <w:lastRenderedPageBreak/>
        <w:t>Inwestycja, która się zwraca</w:t>
      </w:r>
    </w:p>
    <w:p w14:paraId="6A168C21" w14:textId="5A52D0EB" w:rsidR="001F11BF" w:rsidRPr="00996EA1" w:rsidRDefault="001F11BF" w:rsidP="00996EA1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996EA1">
        <w:rPr>
          <w:rFonts w:ascii="Calibri" w:hAnsi="Calibri" w:cs="Calibri"/>
          <w:sz w:val="24"/>
          <w:szCs w:val="24"/>
        </w:rPr>
        <w:t>Rozwijanie zielonych kompetencji to dziś nie tylko odpowiedź na wymogi regulacyjne, ale też sposób na zbudowanie przewagi rynkowej. Firmy zyskują oszczędności, zwiększają wiarygodność w oczach klientów i stają się bardziej odporne na zmiany gospodarcze.</w:t>
      </w:r>
      <w:r w:rsidR="00996EA1">
        <w:rPr>
          <w:rFonts w:ascii="Calibri" w:hAnsi="Calibri" w:cs="Calibri"/>
          <w:sz w:val="24"/>
          <w:szCs w:val="24"/>
        </w:rPr>
        <w:t xml:space="preserve"> </w:t>
      </w:r>
      <w:r w:rsidRPr="00996EA1">
        <w:rPr>
          <w:rFonts w:ascii="Calibri" w:hAnsi="Calibri" w:cs="Calibri"/>
          <w:sz w:val="24"/>
          <w:szCs w:val="24"/>
        </w:rPr>
        <w:t>Co ważne, udział w programach odbywa się w prosty sposób – aplikacja online, wsparcie operatorów i dostęp do usług rozwojowych przez Bazę Usług Rozwojowych. Dzięki temu każda firma może bez większych barier rozpocząć swoją zieloną transformację.</w:t>
      </w:r>
    </w:p>
    <w:p w14:paraId="1C75DE7E" w14:textId="15398453" w:rsidR="001F11BF" w:rsidRPr="00996EA1" w:rsidRDefault="001F11BF" w:rsidP="00996EA1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996EA1">
        <w:rPr>
          <w:rFonts w:ascii="Calibri" w:hAnsi="Calibri" w:cs="Calibri"/>
          <w:sz w:val="24"/>
          <w:szCs w:val="24"/>
        </w:rPr>
        <w:t>FERS daje przedsiębiorcom realne narzędzia, by połączyć ekologię z rozwojem biznesu. Dzięki programom „GOZ – to się opłaca” i „Zielone rekomendacje” firmy mogą przygotować się na przyszłość, w której zrównoważony rozwój staje się standardem rynkowym.</w:t>
      </w:r>
    </w:p>
    <w:p w14:paraId="263E4AFE" w14:textId="77777777" w:rsidR="001F11BF" w:rsidRPr="00996EA1" w:rsidRDefault="001F11BF" w:rsidP="00996EA1">
      <w:pPr>
        <w:spacing w:before="120" w:after="120"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7AD234A1" w14:textId="5EA8EF23" w:rsidR="00BD4392" w:rsidRPr="00BD4392" w:rsidRDefault="00996EA1" w:rsidP="00BD4392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11EB08B4" wp14:editId="4EEACCE6">
            <wp:extent cx="5760720" cy="421005"/>
            <wp:effectExtent l="0" t="0" r="0" b="0"/>
            <wp:docPr id="2294138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413814" name="Obraz 229413814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263F2" w14:textId="5C0CE0C6" w:rsidR="00DD142F" w:rsidRPr="00DD142F" w:rsidRDefault="00DD142F" w:rsidP="00DD142F">
      <w:pPr>
        <w:spacing w:before="120" w:after="120" w:line="276" w:lineRule="auto"/>
        <w:rPr>
          <w:rFonts w:cstheme="minorHAnsi"/>
          <w:sz w:val="24"/>
          <w:szCs w:val="24"/>
        </w:rPr>
      </w:pPr>
    </w:p>
    <w:p w14:paraId="087EB925" w14:textId="1F150F86" w:rsidR="006501D5" w:rsidRPr="00851A5D" w:rsidRDefault="006501D5" w:rsidP="00DD142F">
      <w:pPr>
        <w:spacing w:before="120" w:after="120" w:line="276" w:lineRule="auto"/>
        <w:rPr>
          <w:rFonts w:ascii="Calibri" w:eastAsiaTheme="majorEastAsia" w:hAnsi="Calibri" w:cstheme="minorHAnsi"/>
          <w:color w:val="000000" w:themeColor="text1"/>
          <w:sz w:val="24"/>
          <w:szCs w:val="24"/>
        </w:rPr>
      </w:pPr>
    </w:p>
    <w:sectPr w:rsidR="006501D5" w:rsidRPr="00851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7E40A" w14:textId="77777777" w:rsidR="00B80DC6" w:rsidRDefault="00B80DC6" w:rsidP="001305C5">
      <w:pPr>
        <w:spacing w:after="0" w:line="240" w:lineRule="auto"/>
      </w:pPr>
      <w:r>
        <w:separator/>
      </w:r>
    </w:p>
  </w:endnote>
  <w:endnote w:type="continuationSeparator" w:id="0">
    <w:p w14:paraId="279D1C25" w14:textId="77777777" w:rsidR="00B80DC6" w:rsidRDefault="00B80DC6" w:rsidP="0013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71433" w14:textId="77777777" w:rsidR="00B80DC6" w:rsidRDefault="00B80DC6" w:rsidP="001305C5">
      <w:pPr>
        <w:spacing w:after="0" w:line="240" w:lineRule="auto"/>
      </w:pPr>
      <w:r>
        <w:separator/>
      </w:r>
    </w:p>
  </w:footnote>
  <w:footnote w:type="continuationSeparator" w:id="0">
    <w:p w14:paraId="14B21E59" w14:textId="77777777" w:rsidR="00B80DC6" w:rsidRDefault="00B80DC6" w:rsidP="00130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D2C"/>
    <w:multiLevelType w:val="multilevel"/>
    <w:tmpl w:val="1FFC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341EB"/>
    <w:multiLevelType w:val="multilevel"/>
    <w:tmpl w:val="12AA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1605D"/>
    <w:multiLevelType w:val="hybridMultilevel"/>
    <w:tmpl w:val="1436A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F0E4A"/>
    <w:multiLevelType w:val="hybridMultilevel"/>
    <w:tmpl w:val="DDF0D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709E7"/>
    <w:multiLevelType w:val="hybridMultilevel"/>
    <w:tmpl w:val="066CB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D12E3"/>
    <w:multiLevelType w:val="hybridMultilevel"/>
    <w:tmpl w:val="84900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E4FF4"/>
    <w:multiLevelType w:val="hybridMultilevel"/>
    <w:tmpl w:val="02446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967F2"/>
    <w:multiLevelType w:val="hybridMultilevel"/>
    <w:tmpl w:val="4D94BFE0"/>
    <w:lvl w:ilvl="0" w:tplc="95BCE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E5879"/>
    <w:multiLevelType w:val="hybridMultilevel"/>
    <w:tmpl w:val="E25C5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514D5"/>
    <w:multiLevelType w:val="hybridMultilevel"/>
    <w:tmpl w:val="BCF6B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469EA"/>
    <w:multiLevelType w:val="multilevel"/>
    <w:tmpl w:val="1A58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E63CC4"/>
    <w:multiLevelType w:val="hybridMultilevel"/>
    <w:tmpl w:val="BE568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E4D9E"/>
    <w:multiLevelType w:val="multilevel"/>
    <w:tmpl w:val="BFDC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E87674"/>
    <w:multiLevelType w:val="hybridMultilevel"/>
    <w:tmpl w:val="329CD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3152E"/>
    <w:multiLevelType w:val="multilevel"/>
    <w:tmpl w:val="9312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1F073A"/>
    <w:multiLevelType w:val="multilevel"/>
    <w:tmpl w:val="EB3C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F86F01"/>
    <w:multiLevelType w:val="hybridMultilevel"/>
    <w:tmpl w:val="9FC4C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560B7"/>
    <w:multiLevelType w:val="multilevel"/>
    <w:tmpl w:val="0E40EA9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E91D5A"/>
    <w:multiLevelType w:val="hybridMultilevel"/>
    <w:tmpl w:val="64DA9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855C5"/>
    <w:multiLevelType w:val="multilevel"/>
    <w:tmpl w:val="7A5A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6F051D"/>
    <w:multiLevelType w:val="hybridMultilevel"/>
    <w:tmpl w:val="D14CD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27CAE"/>
    <w:multiLevelType w:val="multilevel"/>
    <w:tmpl w:val="E70A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6606C0"/>
    <w:multiLevelType w:val="multilevel"/>
    <w:tmpl w:val="42CE2A98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7A12000"/>
    <w:multiLevelType w:val="multilevel"/>
    <w:tmpl w:val="D358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0975015">
    <w:abstractNumId w:val="7"/>
  </w:num>
  <w:num w:numId="2" w16cid:durableId="786629129">
    <w:abstractNumId w:val="22"/>
  </w:num>
  <w:num w:numId="3" w16cid:durableId="607390910">
    <w:abstractNumId w:val="4"/>
  </w:num>
  <w:num w:numId="4" w16cid:durableId="509375921">
    <w:abstractNumId w:val="17"/>
  </w:num>
  <w:num w:numId="5" w16cid:durableId="1624732920">
    <w:abstractNumId w:val="0"/>
  </w:num>
  <w:num w:numId="6" w16cid:durableId="1552302551">
    <w:abstractNumId w:val="8"/>
  </w:num>
  <w:num w:numId="7" w16cid:durableId="291055369">
    <w:abstractNumId w:val="13"/>
  </w:num>
  <w:num w:numId="8" w16cid:durableId="56824066">
    <w:abstractNumId w:val="16"/>
  </w:num>
  <w:num w:numId="9" w16cid:durableId="1969512268">
    <w:abstractNumId w:val="9"/>
  </w:num>
  <w:num w:numId="10" w16cid:durableId="193272289">
    <w:abstractNumId w:val="20"/>
  </w:num>
  <w:num w:numId="11" w16cid:durableId="1457021209">
    <w:abstractNumId w:val="6"/>
  </w:num>
  <w:num w:numId="12" w16cid:durableId="387847210">
    <w:abstractNumId w:val="5"/>
  </w:num>
  <w:num w:numId="13" w16cid:durableId="917598740">
    <w:abstractNumId w:val="19"/>
  </w:num>
  <w:num w:numId="14" w16cid:durableId="1750155627">
    <w:abstractNumId w:val="10"/>
  </w:num>
  <w:num w:numId="15" w16cid:durableId="952245320">
    <w:abstractNumId w:val="15"/>
  </w:num>
  <w:num w:numId="16" w16cid:durableId="1061054788">
    <w:abstractNumId w:val="14"/>
  </w:num>
  <w:num w:numId="17" w16cid:durableId="382028450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020666717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493569783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552694424">
    <w:abstractNumId w:val="12"/>
  </w:num>
  <w:num w:numId="21" w16cid:durableId="1810897547">
    <w:abstractNumId w:val="3"/>
  </w:num>
  <w:num w:numId="22" w16cid:durableId="1101686045">
    <w:abstractNumId w:val="11"/>
  </w:num>
  <w:num w:numId="23" w16cid:durableId="965234309">
    <w:abstractNumId w:val="21"/>
  </w:num>
  <w:num w:numId="24" w16cid:durableId="624773475">
    <w:abstractNumId w:val="23"/>
  </w:num>
  <w:num w:numId="25" w16cid:durableId="1240402988">
    <w:abstractNumId w:val="1"/>
  </w:num>
  <w:num w:numId="26" w16cid:durableId="824972966">
    <w:abstractNumId w:val="2"/>
  </w:num>
  <w:num w:numId="27" w16cid:durableId="1300539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AB"/>
    <w:rsid w:val="00016940"/>
    <w:rsid w:val="00016A57"/>
    <w:rsid w:val="000210B0"/>
    <w:rsid w:val="000322AA"/>
    <w:rsid w:val="00043AC4"/>
    <w:rsid w:val="0006084F"/>
    <w:rsid w:val="0006592A"/>
    <w:rsid w:val="00075049"/>
    <w:rsid w:val="000A2B7E"/>
    <w:rsid w:val="000A3E78"/>
    <w:rsid w:val="000B393A"/>
    <w:rsid w:val="000B53D4"/>
    <w:rsid w:val="000C0C0C"/>
    <w:rsid w:val="000C10C5"/>
    <w:rsid w:val="000C3660"/>
    <w:rsid w:val="000D4591"/>
    <w:rsid w:val="000F004E"/>
    <w:rsid w:val="000F0719"/>
    <w:rsid w:val="000F5521"/>
    <w:rsid w:val="000F79C2"/>
    <w:rsid w:val="00104221"/>
    <w:rsid w:val="0010752E"/>
    <w:rsid w:val="00110CC4"/>
    <w:rsid w:val="001153A3"/>
    <w:rsid w:val="00125459"/>
    <w:rsid w:val="001305C5"/>
    <w:rsid w:val="0013332F"/>
    <w:rsid w:val="0013369E"/>
    <w:rsid w:val="00133BE9"/>
    <w:rsid w:val="001626AF"/>
    <w:rsid w:val="00164C92"/>
    <w:rsid w:val="0017444D"/>
    <w:rsid w:val="00185EAB"/>
    <w:rsid w:val="00193244"/>
    <w:rsid w:val="001D5A9F"/>
    <w:rsid w:val="001E3E93"/>
    <w:rsid w:val="001F11BF"/>
    <w:rsid w:val="002027A3"/>
    <w:rsid w:val="00221B3A"/>
    <w:rsid w:val="00230CA5"/>
    <w:rsid w:val="00233A04"/>
    <w:rsid w:val="0024444F"/>
    <w:rsid w:val="0024707B"/>
    <w:rsid w:val="002570F2"/>
    <w:rsid w:val="002647EC"/>
    <w:rsid w:val="00280CB5"/>
    <w:rsid w:val="002A4FE5"/>
    <w:rsid w:val="002C3D78"/>
    <w:rsid w:val="002E64DB"/>
    <w:rsid w:val="002F5D19"/>
    <w:rsid w:val="0030747E"/>
    <w:rsid w:val="003117EE"/>
    <w:rsid w:val="003263B0"/>
    <w:rsid w:val="00357D12"/>
    <w:rsid w:val="003713BF"/>
    <w:rsid w:val="003729C8"/>
    <w:rsid w:val="003779A6"/>
    <w:rsid w:val="003948D1"/>
    <w:rsid w:val="003960E9"/>
    <w:rsid w:val="003A3E64"/>
    <w:rsid w:val="003B2E21"/>
    <w:rsid w:val="003B4862"/>
    <w:rsid w:val="003C3DD8"/>
    <w:rsid w:val="003D43B4"/>
    <w:rsid w:val="003D6A9B"/>
    <w:rsid w:val="00400B6A"/>
    <w:rsid w:val="004024D6"/>
    <w:rsid w:val="00412B2B"/>
    <w:rsid w:val="00420385"/>
    <w:rsid w:val="00427841"/>
    <w:rsid w:val="004301E6"/>
    <w:rsid w:val="0044142F"/>
    <w:rsid w:val="00443A3A"/>
    <w:rsid w:val="00446BCC"/>
    <w:rsid w:val="004700BC"/>
    <w:rsid w:val="00472863"/>
    <w:rsid w:val="004A456C"/>
    <w:rsid w:val="004B0DA6"/>
    <w:rsid w:val="004C701E"/>
    <w:rsid w:val="004D405A"/>
    <w:rsid w:val="004F6E28"/>
    <w:rsid w:val="005062C5"/>
    <w:rsid w:val="00516E9C"/>
    <w:rsid w:val="005539D3"/>
    <w:rsid w:val="00557FFB"/>
    <w:rsid w:val="00560CE5"/>
    <w:rsid w:val="0056206E"/>
    <w:rsid w:val="00565EE2"/>
    <w:rsid w:val="005711B4"/>
    <w:rsid w:val="00582E88"/>
    <w:rsid w:val="00591EFB"/>
    <w:rsid w:val="005B257F"/>
    <w:rsid w:val="005B5B1C"/>
    <w:rsid w:val="005C4354"/>
    <w:rsid w:val="005C7B4D"/>
    <w:rsid w:val="005D093F"/>
    <w:rsid w:val="005F2BF3"/>
    <w:rsid w:val="00603FDF"/>
    <w:rsid w:val="0061250F"/>
    <w:rsid w:val="00617099"/>
    <w:rsid w:val="0062154C"/>
    <w:rsid w:val="00641D0C"/>
    <w:rsid w:val="006429C6"/>
    <w:rsid w:val="00645B0B"/>
    <w:rsid w:val="006501D5"/>
    <w:rsid w:val="00653D4D"/>
    <w:rsid w:val="00694729"/>
    <w:rsid w:val="0069732B"/>
    <w:rsid w:val="006A3ACF"/>
    <w:rsid w:val="006A6FF7"/>
    <w:rsid w:val="006A7E37"/>
    <w:rsid w:val="006B6EFC"/>
    <w:rsid w:val="006D4A41"/>
    <w:rsid w:val="00705BC9"/>
    <w:rsid w:val="00710EAA"/>
    <w:rsid w:val="0071283D"/>
    <w:rsid w:val="007203D7"/>
    <w:rsid w:val="00737190"/>
    <w:rsid w:val="00737469"/>
    <w:rsid w:val="0074746A"/>
    <w:rsid w:val="00751E31"/>
    <w:rsid w:val="0075501A"/>
    <w:rsid w:val="00757066"/>
    <w:rsid w:val="0076781D"/>
    <w:rsid w:val="00772D2E"/>
    <w:rsid w:val="007735BB"/>
    <w:rsid w:val="00780DC3"/>
    <w:rsid w:val="00785450"/>
    <w:rsid w:val="007A3848"/>
    <w:rsid w:val="007A7704"/>
    <w:rsid w:val="007B1D62"/>
    <w:rsid w:val="007C4BBD"/>
    <w:rsid w:val="007C5273"/>
    <w:rsid w:val="007C6F72"/>
    <w:rsid w:val="007C7668"/>
    <w:rsid w:val="007D44D2"/>
    <w:rsid w:val="007E2C59"/>
    <w:rsid w:val="00814BD5"/>
    <w:rsid w:val="00814C5D"/>
    <w:rsid w:val="008362B3"/>
    <w:rsid w:val="00837FF6"/>
    <w:rsid w:val="00840D54"/>
    <w:rsid w:val="00851A5D"/>
    <w:rsid w:val="008529C6"/>
    <w:rsid w:val="0088151A"/>
    <w:rsid w:val="008858B6"/>
    <w:rsid w:val="00886C62"/>
    <w:rsid w:val="008A4555"/>
    <w:rsid w:val="008A60E6"/>
    <w:rsid w:val="008B01DF"/>
    <w:rsid w:val="008C1879"/>
    <w:rsid w:val="008E31B9"/>
    <w:rsid w:val="008F73FA"/>
    <w:rsid w:val="009075D3"/>
    <w:rsid w:val="00914ED1"/>
    <w:rsid w:val="009215A0"/>
    <w:rsid w:val="009249FD"/>
    <w:rsid w:val="00924CEB"/>
    <w:rsid w:val="00926F4A"/>
    <w:rsid w:val="0093350E"/>
    <w:rsid w:val="00941FAC"/>
    <w:rsid w:val="009517CC"/>
    <w:rsid w:val="00952B12"/>
    <w:rsid w:val="00957CDE"/>
    <w:rsid w:val="00961D91"/>
    <w:rsid w:val="00961DE6"/>
    <w:rsid w:val="00965B1D"/>
    <w:rsid w:val="00975D27"/>
    <w:rsid w:val="009818FD"/>
    <w:rsid w:val="00996EA1"/>
    <w:rsid w:val="009A227B"/>
    <w:rsid w:val="009A2875"/>
    <w:rsid w:val="009A6307"/>
    <w:rsid w:val="009B544E"/>
    <w:rsid w:val="009B574A"/>
    <w:rsid w:val="009B5A1F"/>
    <w:rsid w:val="009C73AA"/>
    <w:rsid w:val="009D6779"/>
    <w:rsid w:val="009D7966"/>
    <w:rsid w:val="00A13788"/>
    <w:rsid w:val="00A151DD"/>
    <w:rsid w:val="00A1607E"/>
    <w:rsid w:val="00A252EA"/>
    <w:rsid w:val="00A32A3F"/>
    <w:rsid w:val="00A53625"/>
    <w:rsid w:val="00A63E09"/>
    <w:rsid w:val="00A66263"/>
    <w:rsid w:val="00A666A5"/>
    <w:rsid w:val="00A67D69"/>
    <w:rsid w:val="00A85246"/>
    <w:rsid w:val="00A8734A"/>
    <w:rsid w:val="00A972F9"/>
    <w:rsid w:val="00AB222E"/>
    <w:rsid w:val="00AB7D3A"/>
    <w:rsid w:val="00AC761E"/>
    <w:rsid w:val="00AE039C"/>
    <w:rsid w:val="00AE785D"/>
    <w:rsid w:val="00B25FE6"/>
    <w:rsid w:val="00B362AE"/>
    <w:rsid w:val="00B40AFC"/>
    <w:rsid w:val="00B50B6E"/>
    <w:rsid w:val="00B628E3"/>
    <w:rsid w:val="00B6663A"/>
    <w:rsid w:val="00B80DC6"/>
    <w:rsid w:val="00B8239A"/>
    <w:rsid w:val="00B82807"/>
    <w:rsid w:val="00B85D85"/>
    <w:rsid w:val="00BA4F40"/>
    <w:rsid w:val="00BA756B"/>
    <w:rsid w:val="00BB224A"/>
    <w:rsid w:val="00BB5BAC"/>
    <w:rsid w:val="00BB5F05"/>
    <w:rsid w:val="00BC2B31"/>
    <w:rsid w:val="00BC6E1D"/>
    <w:rsid w:val="00BD4392"/>
    <w:rsid w:val="00BD5968"/>
    <w:rsid w:val="00BD755D"/>
    <w:rsid w:val="00BE6B6A"/>
    <w:rsid w:val="00BE6F78"/>
    <w:rsid w:val="00BF2007"/>
    <w:rsid w:val="00C010C6"/>
    <w:rsid w:val="00C0245D"/>
    <w:rsid w:val="00C206F0"/>
    <w:rsid w:val="00C24268"/>
    <w:rsid w:val="00C35FB6"/>
    <w:rsid w:val="00C40617"/>
    <w:rsid w:val="00C5332E"/>
    <w:rsid w:val="00C710AB"/>
    <w:rsid w:val="00C774B3"/>
    <w:rsid w:val="00C97F91"/>
    <w:rsid w:val="00CB1A06"/>
    <w:rsid w:val="00CC1FD8"/>
    <w:rsid w:val="00CF5FD4"/>
    <w:rsid w:val="00CF7C95"/>
    <w:rsid w:val="00D01A26"/>
    <w:rsid w:val="00D151EC"/>
    <w:rsid w:val="00D15557"/>
    <w:rsid w:val="00D15DAC"/>
    <w:rsid w:val="00D30B96"/>
    <w:rsid w:val="00D46D5B"/>
    <w:rsid w:val="00D554E0"/>
    <w:rsid w:val="00D61203"/>
    <w:rsid w:val="00D623D4"/>
    <w:rsid w:val="00D81782"/>
    <w:rsid w:val="00D83905"/>
    <w:rsid w:val="00D85639"/>
    <w:rsid w:val="00DA21E7"/>
    <w:rsid w:val="00DA227E"/>
    <w:rsid w:val="00DA73CC"/>
    <w:rsid w:val="00DC55F1"/>
    <w:rsid w:val="00DC6327"/>
    <w:rsid w:val="00DD142F"/>
    <w:rsid w:val="00DF6BE0"/>
    <w:rsid w:val="00E03AF6"/>
    <w:rsid w:val="00E07DA5"/>
    <w:rsid w:val="00E12A5A"/>
    <w:rsid w:val="00E143F2"/>
    <w:rsid w:val="00E1605E"/>
    <w:rsid w:val="00E23972"/>
    <w:rsid w:val="00E5410D"/>
    <w:rsid w:val="00E56EEB"/>
    <w:rsid w:val="00E57A60"/>
    <w:rsid w:val="00E63CFD"/>
    <w:rsid w:val="00E673CE"/>
    <w:rsid w:val="00E7556E"/>
    <w:rsid w:val="00E8193A"/>
    <w:rsid w:val="00E8655D"/>
    <w:rsid w:val="00EA508C"/>
    <w:rsid w:val="00EC6482"/>
    <w:rsid w:val="00ED63AB"/>
    <w:rsid w:val="00EF79C7"/>
    <w:rsid w:val="00F0101D"/>
    <w:rsid w:val="00F01AF8"/>
    <w:rsid w:val="00F020AD"/>
    <w:rsid w:val="00F12AF7"/>
    <w:rsid w:val="00F278F3"/>
    <w:rsid w:val="00F31559"/>
    <w:rsid w:val="00F359B9"/>
    <w:rsid w:val="00F44B4A"/>
    <w:rsid w:val="00F477E4"/>
    <w:rsid w:val="00F5194C"/>
    <w:rsid w:val="00F51BB8"/>
    <w:rsid w:val="00F54457"/>
    <w:rsid w:val="00F55195"/>
    <w:rsid w:val="00F55639"/>
    <w:rsid w:val="00F66C2A"/>
    <w:rsid w:val="00F70202"/>
    <w:rsid w:val="00F900A0"/>
    <w:rsid w:val="00F901EA"/>
    <w:rsid w:val="00F9172B"/>
    <w:rsid w:val="00FA3316"/>
    <w:rsid w:val="00FA60D6"/>
    <w:rsid w:val="00FC7BF6"/>
    <w:rsid w:val="00FD557F"/>
    <w:rsid w:val="00FD6150"/>
    <w:rsid w:val="00FD7291"/>
    <w:rsid w:val="00FE2B63"/>
    <w:rsid w:val="00FE4047"/>
    <w:rsid w:val="00FE4111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D108"/>
  <w15:chartTrackingRefBased/>
  <w15:docId w15:val="{57E10813-838F-4E6E-A717-22DA02D2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7556E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556E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2B6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7BF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3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F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F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F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F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F05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5410D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7556E"/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B222E"/>
    <w:pPr>
      <w:ind w:left="720"/>
      <w:contextualSpacing/>
    </w:p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qFormat/>
    <w:rsid w:val="00961DE6"/>
  </w:style>
  <w:style w:type="paragraph" w:styleId="NormalnyWeb">
    <w:name w:val="Normal (Web)"/>
    <w:basedOn w:val="Normalny"/>
    <w:uiPriority w:val="99"/>
    <w:unhideWhenUsed/>
    <w:rsid w:val="00DA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97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7556E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05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05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05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7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7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2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ozdlabiznesu.pl/" TargetMode="External"/><Relationship Id="rId18" Type="http://schemas.openxmlformats.org/officeDocument/2006/relationships/hyperlink" Target="https://fers.parp.gov.pl/component/grants/grants/goz---to-sie-oplaca---oferta-dla-przedsiebiorcow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goz.inse.pl/" TargetMode="External"/><Relationship Id="rId17" Type="http://schemas.openxmlformats.org/officeDocument/2006/relationships/hyperlink" Target="https://goz.wgpr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kademiagoz.com.pl/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fesjonalnekadrygoz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rpgrants.com.pl/projekty/przepis-na-rozwoj-czas-na-niskoemisyjna-gozpodarke/" TargetMode="External"/><Relationship Id="rId10" Type="http://schemas.openxmlformats.org/officeDocument/2006/relationships/hyperlink" Target="https://goz.certes.pl/" TargetMode="External"/><Relationship Id="rId19" Type="http://schemas.openxmlformats.org/officeDocument/2006/relationships/hyperlink" Target="https://www.parp.gov.pl/component/grants/grants/zielone-rekomendacje---oferta-dla-przedsiebiorco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a@parp.gov.pl" TargetMode="External"/><Relationship Id="rId14" Type="http://schemas.openxmlformats.org/officeDocument/2006/relationships/hyperlink" Target="https://www.goz-oditk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76678B-5D96-8541-8825-BF82C569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833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Strojecka</dc:creator>
  <cp:keywords/>
  <dc:description/>
  <cp:lastModifiedBy>Nowicka Luiza</cp:lastModifiedBy>
  <cp:revision>2</cp:revision>
  <dcterms:created xsi:type="dcterms:W3CDTF">2025-09-24T09:20:00Z</dcterms:created>
  <dcterms:modified xsi:type="dcterms:W3CDTF">2025-09-24T09:20:00Z</dcterms:modified>
</cp:coreProperties>
</file>