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73AB" w14:textId="5499465E" w:rsidR="0020267F" w:rsidRPr="00E639C7" w:rsidRDefault="0020267F" w:rsidP="0020267F">
      <w:pPr>
        <w:spacing w:after="160" w:line="278" w:lineRule="auto"/>
        <w:ind w:right="-185" w:hanging="142"/>
        <w:jc w:val="center"/>
        <w:rPr>
          <w:rFonts w:eastAsia="Verdana"/>
        </w:rPr>
      </w:pPr>
      <w:r w:rsidRPr="00E639C7">
        <w:rPr>
          <w:rFonts w:eastAsia="Verdana"/>
        </w:rPr>
        <w:t>Barómetro FutURe 2025 sublinha o papel da representatividade e voz das novas gerações</w:t>
      </w:r>
    </w:p>
    <w:p w14:paraId="2C4C3936" w14:textId="4778F0F9" w:rsidR="007B2A7A" w:rsidRPr="00E639C7" w:rsidRDefault="6D9B6B97" w:rsidP="0020267F">
      <w:pPr>
        <w:spacing w:after="160" w:line="278" w:lineRule="auto"/>
        <w:jc w:val="center"/>
        <w:rPr>
          <w:rFonts w:eastAsia="Verdana"/>
          <w:b/>
          <w:bCs/>
          <w:sz w:val="34"/>
          <w:szCs w:val="34"/>
        </w:rPr>
      </w:pPr>
      <w:r w:rsidRPr="532471E7">
        <w:rPr>
          <w:rFonts w:eastAsia="Verdana"/>
          <w:b/>
          <w:bCs/>
          <w:sz w:val="34"/>
          <w:szCs w:val="34"/>
        </w:rPr>
        <w:t xml:space="preserve">Maioria dos </w:t>
      </w:r>
      <w:r w:rsidR="00C16B3B">
        <w:rPr>
          <w:rFonts w:eastAsia="Verdana"/>
          <w:b/>
          <w:bCs/>
          <w:sz w:val="34"/>
          <w:szCs w:val="34"/>
        </w:rPr>
        <w:t>j</w:t>
      </w:r>
      <w:r w:rsidR="00C16B3B" w:rsidRPr="532471E7">
        <w:rPr>
          <w:rFonts w:eastAsia="Verdana"/>
          <w:b/>
          <w:bCs/>
          <w:sz w:val="34"/>
          <w:szCs w:val="34"/>
        </w:rPr>
        <w:t xml:space="preserve">ovens </w:t>
      </w:r>
      <w:r w:rsidR="007B2A7A" w:rsidRPr="532471E7">
        <w:rPr>
          <w:rFonts w:eastAsia="Verdana"/>
          <w:b/>
          <w:bCs/>
          <w:sz w:val="34"/>
          <w:szCs w:val="34"/>
        </w:rPr>
        <w:t>europeus consideram que diversidade e inclusão</w:t>
      </w:r>
      <w:r w:rsidR="05ECD756" w:rsidRPr="532471E7">
        <w:rPr>
          <w:rFonts w:eastAsia="Verdana"/>
          <w:b/>
          <w:bCs/>
          <w:sz w:val="34"/>
          <w:szCs w:val="34"/>
        </w:rPr>
        <w:t xml:space="preserve"> são</w:t>
      </w:r>
      <w:r w:rsidR="007B2A7A" w:rsidRPr="532471E7">
        <w:rPr>
          <w:rFonts w:eastAsia="Verdana"/>
          <w:b/>
          <w:bCs/>
          <w:sz w:val="34"/>
          <w:szCs w:val="34"/>
        </w:rPr>
        <w:t xml:space="preserve"> essenciais para uma sociedade mais igualitária</w:t>
      </w:r>
    </w:p>
    <w:p w14:paraId="2D9B10E6" w14:textId="77777777" w:rsidR="007B2A7A" w:rsidRPr="00E639C7" w:rsidRDefault="007B2A7A" w:rsidP="007B2A7A">
      <w:pPr>
        <w:spacing w:after="160" w:line="278" w:lineRule="auto"/>
        <w:jc w:val="center"/>
        <w:rPr>
          <w:rFonts w:eastAsia="Verdana"/>
          <w:b/>
          <w:bCs/>
          <w:sz w:val="32"/>
          <w:szCs w:val="32"/>
        </w:rPr>
      </w:pPr>
    </w:p>
    <w:p w14:paraId="211A7770" w14:textId="223FD2BC" w:rsidR="007B2A7A" w:rsidRPr="00E639C7" w:rsidRDefault="007B2A7A" w:rsidP="007B2A7A">
      <w:pPr>
        <w:spacing w:after="160" w:line="278" w:lineRule="auto"/>
        <w:jc w:val="both"/>
        <w:rPr>
          <w:b/>
          <w:bCs/>
        </w:rPr>
      </w:pPr>
      <w:r w:rsidRPr="532471E7">
        <w:rPr>
          <w:b/>
          <w:bCs/>
        </w:rPr>
        <w:t>• Cerca de 80% acreditam que a diversidade e as políticas de inclusão são essenciais para uma sociedade</w:t>
      </w:r>
      <w:r w:rsidR="74301EC1" w:rsidRPr="532471E7">
        <w:rPr>
          <w:b/>
          <w:bCs/>
        </w:rPr>
        <w:t xml:space="preserve"> mais</w:t>
      </w:r>
      <w:r w:rsidRPr="532471E7">
        <w:rPr>
          <w:b/>
          <w:bCs/>
        </w:rPr>
        <w:t xml:space="preserve"> justa e próspera.</w:t>
      </w:r>
    </w:p>
    <w:p w14:paraId="4861C3E5" w14:textId="2D690220" w:rsidR="00CF6023" w:rsidRPr="00E639C7" w:rsidRDefault="00CF6023" w:rsidP="007B2A7A">
      <w:pPr>
        <w:spacing w:after="160" w:line="278" w:lineRule="auto"/>
        <w:jc w:val="both"/>
        <w:rPr>
          <w:rFonts w:eastAsia="Verdana"/>
        </w:rPr>
      </w:pPr>
      <w:r w:rsidRPr="00E639C7">
        <w:rPr>
          <w:b/>
          <w:bCs/>
        </w:rPr>
        <w:t>• Oito</w:t>
      </w:r>
      <w:r w:rsidRPr="00E639C7">
        <w:rPr>
          <w:rFonts w:eastAsia="Verdana"/>
          <w:b/>
          <w:bCs/>
        </w:rPr>
        <w:t xml:space="preserve"> em cada dez consideram que governos e organizações devem manter medidas para a promoção da equidade e pertença mesmo em tempos de maior adversidade.</w:t>
      </w:r>
    </w:p>
    <w:p w14:paraId="63A1F5B1" w14:textId="61425272" w:rsidR="007B2A7A" w:rsidRPr="00E639C7" w:rsidRDefault="007B2A7A" w:rsidP="007B2A7A">
      <w:pPr>
        <w:spacing w:after="160" w:line="278" w:lineRule="auto"/>
        <w:jc w:val="both"/>
        <w:rPr>
          <w:b/>
          <w:bCs/>
        </w:rPr>
      </w:pPr>
      <w:r w:rsidRPr="00E639C7">
        <w:rPr>
          <w:b/>
          <w:bCs/>
        </w:rPr>
        <w:t>• 83% defendem que deveriam ter um papel maior nas decisões que afetam o seu futuro e o da Europa</w:t>
      </w:r>
    </w:p>
    <w:p w14:paraId="29C0C753" w14:textId="0B9FC215" w:rsidR="007B2A7A" w:rsidRPr="00E639C7" w:rsidRDefault="007B2A7A" w:rsidP="007B2A7A">
      <w:pPr>
        <w:spacing w:after="160" w:line="278" w:lineRule="auto"/>
        <w:jc w:val="both"/>
        <w:rPr>
          <w:b/>
          <w:bCs/>
        </w:rPr>
      </w:pPr>
      <w:r w:rsidRPr="00E639C7">
        <w:rPr>
          <w:b/>
          <w:bCs/>
        </w:rPr>
        <w:t>• Apenas 44% sentem que a sua voz é tida em conta nos debates políticos e sociais.</w:t>
      </w:r>
    </w:p>
    <w:p w14:paraId="7F89B634" w14:textId="77777777" w:rsidR="007B2A7A" w:rsidRPr="00E639C7" w:rsidRDefault="007B2A7A" w:rsidP="3FA4E6DB">
      <w:pPr>
        <w:spacing w:after="160" w:line="278" w:lineRule="auto"/>
        <w:jc w:val="both"/>
        <w:rPr>
          <w:b/>
          <w:bCs/>
          <w:sz w:val="20"/>
          <w:szCs w:val="20"/>
        </w:rPr>
      </w:pPr>
    </w:p>
    <w:p w14:paraId="58070A2B" w14:textId="67B16D3E" w:rsidR="006946D3" w:rsidRPr="00E639C7" w:rsidRDefault="006946D3" w:rsidP="00E639C7">
      <w:pPr>
        <w:spacing w:after="160"/>
        <w:jc w:val="both"/>
        <w:rPr>
          <w:rFonts w:eastAsia="Verdana"/>
        </w:rPr>
      </w:pPr>
      <w:r w:rsidRPr="532471E7">
        <w:rPr>
          <w:rFonts w:eastAsia="Verdana"/>
          <w:i/>
          <w:iCs/>
        </w:rPr>
        <w:t xml:space="preserve">Lisboa, </w:t>
      </w:r>
      <w:r w:rsidR="00B13127" w:rsidRPr="532471E7">
        <w:rPr>
          <w:rFonts w:eastAsia="Verdana"/>
          <w:i/>
          <w:iCs/>
        </w:rPr>
        <w:t>2</w:t>
      </w:r>
      <w:r w:rsidR="00B13127">
        <w:rPr>
          <w:rFonts w:eastAsia="Verdana"/>
          <w:i/>
          <w:iCs/>
        </w:rPr>
        <w:t>4</w:t>
      </w:r>
      <w:r w:rsidR="00B13127" w:rsidRPr="532471E7">
        <w:rPr>
          <w:rFonts w:eastAsia="Verdana"/>
          <w:i/>
          <w:iCs/>
        </w:rPr>
        <w:t xml:space="preserve"> </w:t>
      </w:r>
      <w:r w:rsidRPr="532471E7">
        <w:rPr>
          <w:rFonts w:eastAsia="Verdana"/>
          <w:i/>
          <w:iCs/>
        </w:rPr>
        <w:t>de setembro de 2025</w:t>
      </w:r>
      <w:r w:rsidRPr="532471E7">
        <w:rPr>
          <w:rFonts w:eastAsia="Verdana"/>
        </w:rPr>
        <w:t xml:space="preserve"> – A diversidade e a inclusão surgem como pilares centrais para os jovens europeus, que consideram determinantes para o progresso social e económico. O Barómetro FutURe 2025, promovido pela Merck, mostra que 80% dos inquiridos acredita que estas políticas são essenciais para construir uma sociedade mais justa e inclusiva.</w:t>
      </w:r>
    </w:p>
    <w:p w14:paraId="211DFD0C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 xml:space="preserve">O inquérito evidencia ainda que </w:t>
      </w:r>
      <w:r w:rsidRPr="00E639C7">
        <w:rPr>
          <w:rFonts w:eastAsia="Verdana"/>
          <w:b/>
          <w:bCs/>
        </w:rPr>
        <w:t>80% dos jovens associam a diversidade de perspetivas ao crescimento económico</w:t>
      </w:r>
      <w:r w:rsidRPr="00E639C7">
        <w:rPr>
          <w:rFonts w:eastAsia="Verdana"/>
        </w:rPr>
        <w:t xml:space="preserve">, e </w:t>
      </w:r>
      <w:r w:rsidRPr="00E639C7">
        <w:rPr>
          <w:rFonts w:eastAsia="Verdana"/>
          <w:b/>
          <w:bCs/>
        </w:rPr>
        <w:t>oito em cada dez acreditam que os governos e organizações devem manter estas iniciativas mesmo em tempos de maior adversidade</w:t>
      </w:r>
      <w:r w:rsidRPr="00E639C7">
        <w:rPr>
          <w:rFonts w:eastAsia="Verdana"/>
        </w:rPr>
        <w:t>. Esta perceção reforça a ideia de que a diversidade não é apenas uma questão de justiça social, mas também um motor de inovação e desenvolvimento económico, capaz de tornar a sociedade mais resiliente e competitiva.</w:t>
      </w:r>
    </w:p>
    <w:p w14:paraId="16817EA4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 xml:space="preserve">Quando analisados os resultados por país, destacam-se diferenças significativas. O </w:t>
      </w:r>
      <w:r w:rsidRPr="00E639C7">
        <w:rPr>
          <w:rFonts w:eastAsia="Verdana"/>
          <w:b/>
          <w:bCs/>
        </w:rPr>
        <w:t>Reino Unido</w:t>
      </w:r>
      <w:r w:rsidRPr="00E639C7">
        <w:rPr>
          <w:rFonts w:eastAsia="Verdana"/>
        </w:rPr>
        <w:t xml:space="preserve"> lidera em todas as dimensões, com 86% a associar diversidade a crescimento económico, 87% a sublinhar a sua importância social e 88% a defender a continuidade destas políticas mesmo em contextos de crise. A </w:t>
      </w:r>
      <w:r w:rsidRPr="00E639C7">
        <w:rPr>
          <w:rFonts w:eastAsia="Verdana"/>
          <w:b/>
          <w:bCs/>
        </w:rPr>
        <w:t>Itália</w:t>
      </w:r>
      <w:r w:rsidRPr="00E639C7">
        <w:rPr>
          <w:rFonts w:eastAsia="Verdana"/>
        </w:rPr>
        <w:t xml:space="preserve"> também apresenta valores consistentes (85% económico; 78% social; 81% continuidade), enquanto </w:t>
      </w:r>
      <w:r w:rsidRPr="00E639C7">
        <w:rPr>
          <w:rFonts w:eastAsia="Verdana"/>
          <w:b/>
          <w:bCs/>
        </w:rPr>
        <w:t>Espanha</w:t>
      </w:r>
      <w:r w:rsidRPr="00E639C7">
        <w:rPr>
          <w:rFonts w:eastAsia="Verdana"/>
        </w:rPr>
        <w:t xml:space="preserve"> e </w:t>
      </w:r>
      <w:r w:rsidRPr="00E639C7">
        <w:rPr>
          <w:rFonts w:eastAsia="Verdana"/>
          <w:b/>
          <w:bCs/>
        </w:rPr>
        <w:t>Alemanha</w:t>
      </w:r>
      <w:r w:rsidRPr="00E639C7">
        <w:rPr>
          <w:rFonts w:eastAsia="Verdana"/>
        </w:rPr>
        <w:t xml:space="preserve"> se situam em linha com a média europeia. Já a </w:t>
      </w:r>
      <w:r w:rsidRPr="00E639C7">
        <w:rPr>
          <w:rFonts w:eastAsia="Verdana"/>
          <w:b/>
          <w:bCs/>
        </w:rPr>
        <w:t>França</w:t>
      </w:r>
      <w:r w:rsidRPr="00E639C7">
        <w:rPr>
          <w:rFonts w:eastAsia="Verdana"/>
        </w:rPr>
        <w:t xml:space="preserve"> surge com os níveis mais baixos de perceção social (72%), e a Alemanha com menor apoio à manutenção destas políticas em tempos difíceis (69%).</w:t>
      </w:r>
    </w:p>
    <w:p w14:paraId="4DAE1EE9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</w:p>
    <w:p w14:paraId="01F3C01D" w14:textId="124C0C4F" w:rsidR="006946D3" w:rsidRPr="00E639C7" w:rsidRDefault="006946D3" w:rsidP="00E639C7">
      <w:pPr>
        <w:spacing w:after="160"/>
        <w:jc w:val="both"/>
        <w:rPr>
          <w:rFonts w:eastAsia="Verdana"/>
          <w:b/>
          <w:bCs/>
          <w:sz w:val="24"/>
          <w:szCs w:val="24"/>
        </w:rPr>
      </w:pPr>
      <w:r w:rsidRPr="00E639C7">
        <w:rPr>
          <w:rFonts w:eastAsia="Verdana"/>
          <w:b/>
          <w:bCs/>
          <w:sz w:val="24"/>
          <w:szCs w:val="24"/>
        </w:rPr>
        <w:t>Jovens querem mais voz nos processos de decisão</w:t>
      </w:r>
    </w:p>
    <w:p w14:paraId="00E425C9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 xml:space="preserve">Apesar desta valorização clara da diversidade, os jovens revelam sentir-se pouco representados nos processos de decisão. Apenas 44% consideram que a sua voz está adequadamente refletida nos debates políticos e sociais, ao passo que 83% defendem que devem ter um papel mais </w:t>
      </w:r>
      <w:r w:rsidRPr="00E639C7">
        <w:rPr>
          <w:rFonts w:eastAsia="Verdana"/>
        </w:rPr>
        <w:lastRenderedPageBreak/>
        <w:t>relevante nas escolhas que moldam o futuro da Europa. Além disso, 71% afirmam querer participar ativamente na definição de políticas, programas e decisões públicas.</w:t>
      </w:r>
    </w:p>
    <w:p w14:paraId="4B8A3914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>Esta perceção de exclusão varia entre países. Em França e Itália, os jovens são os mais críticos, com apenas 38% e 34%, respetivamente, a sentirem que têm voz nos processos políticos e sociais. No Reino Unido, os números são mais positivos: 59% dizem sentir-se representados e 86% querem contribuir de forma ativa para a definição de políticas públicas.</w:t>
      </w:r>
    </w:p>
    <w:p w14:paraId="10BCA2CA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>O barómetro evidencia também desigualdades no acesso a oportunidades profissionais. Menos de metade dos jovens acredita ter as mesmas condições que colegas mais experientes, valor que desce para 35% em países como Espanha e Itália. As mulheres, em particular, revelam uma perceção mais negativa quanto à existência de um ambiente estável e favorável ao crescimento económico.</w:t>
      </w:r>
    </w:p>
    <w:p w14:paraId="2FBDDB40" w14:textId="411D01B8" w:rsidR="006946D3" w:rsidRPr="00E639C7" w:rsidRDefault="36C96471" w:rsidP="00E639C7">
      <w:pPr>
        <w:spacing w:after="160"/>
        <w:jc w:val="both"/>
        <w:rPr>
          <w:rFonts w:eastAsia="Verdana"/>
        </w:rPr>
      </w:pPr>
      <w:r w:rsidRPr="532471E7">
        <w:rPr>
          <w:rFonts w:eastAsia="Verdana"/>
        </w:rPr>
        <w:t>Em resposta à reflexão destes dados</w:t>
      </w:r>
      <w:r w:rsidR="006946D3" w:rsidRPr="532471E7">
        <w:rPr>
          <w:rFonts w:eastAsia="Verdana"/>
        </w:rPr>
        <w:t>, a Merck organizou no dia 22 de setembro uma mesa-redonda dedicada à Diversidade, Equidade, Inclusão e Pertença. O encontro promoveu uma reflexão sobre os principais desafios que ainda persistem, como o risco de representatividade simbólica, a necessidade de transformar a equidade em medidas concretas e a importância de criar culturas inclusivas onde todos se sintam parte. Foram também debatidas tendências globais e locais, bem como caminhos práticos para acelerar a mudança cultural e política, com o objetivo de assegurar que a diversidade seja vivida como um motor de progresso social e económico. As conclusões reforçaram a urgência de transformar estas preocupações em ação e de garantir que as novas gerações tenham voz ativa na definição do futuro europeu.</w:t>
      </w:r>
    </w:p>
    <w:p w14:paraId="2191051D" w14:textId="77777777" w:rsidR="006946D3" w:rsidRPr="00E639C7" w:rsidRDefault="006946D3" w:rsidP="00E639C7">
      <w:pPr>
        <w:spacing w:after="160"/>
        <w:jc w:val="both"/>
        <w:rPr>
          <w:rFonts w:eastAsia="Verdana"/>
        </w:rPr>
      </w:pPr>
      <w:r w:rsidRPr="00E639C7">
        <w:rPr>
          <w:rFonts w:eastAsia="Verdana"/>
        </w:rPr>
        <w:t>Ao longo dos últimos quatro anos, o Barómetro FutURe inquiriu mais de 30.000 jovens europeus, entre os 21 e os 38 anos, em 12 países, através de uma amostra representativa de Millennials e Geração Z. Esta edição reforça que, além da saúde, inovação, sustentabilidade e parentalidade, a diversidade e a inclusão estão entre as prioridades centrais para as novas gerações, que exigem soluções concretas para poderem tomar decisões livres e informadas sobre o seu futuro familiar e profissional.</w:t>
      </w:r>
    </w:p>
    <w:p w14:paraId="1266F1D5" w14:textId="77777777" w:rsidR="00795B95" w:rsidRPr="00E639C7" w:rsidRDefault="00795B95" w:rsidP="00E639C7">
      <w:pPr>
        <w:jc w:val="center"/>
        <w:rPr>
          <w:rFonts w:eastAsia="Verdana"/>
          <w:b/>
          <w:sz w:val="28"/>
          <w:szCs w:val="28"/>
        </w:rPr>
      </w:pPr>
    </w:p>
    <w:p w14:paraId="765990C8" w14:textId="77777777" w:rsidR="006946D3" w:rsidRPr="00E639C7" w:rsidRDefault="006946D3" w:rsidP="002D5880">
      <w:pPr>
        <w:spacing w:line="240" w:lineRule="auto"/>
        <w:jc w:val="center"/>
        <w:rPr>
          <w:rFonts w:eastAsia="Verdana"/>
          <w:b/>
          <w:sz w:val="24"/>
          <w:szCs w:val="24"/>
        </w:rPr>
      </w:pPr>
    </w:p>
    <w:p w14:paraId="61D32EA3" w14:textId="77777777" w:rsidR="00313386" w:rsidRPr="00E639C7" w:rsidRDefault="00313386" w:rsidP="00313386">
      <w:pPr>
        <w:spacing w:after="160" w:line="240" w:lineRule="auto"/>
        <w:jc w:val="both"/>
        <w:rPr>
          <w:b/>
          <w:bCs/>
          <w:sz w:val="20"/>
          <w:szCs w:val="20"/>
        </w:rPr>
      </w:pPr>
    </w:p>
    <w:p w14:paraId="24A41970" w14:textId="77777777" w:rsidR="001F0A0C" w:rsidRPr="00E639C7" w:rsidRDefault="001F0A0C" w:rsidP="002D5880">
      <w:pPr>
        <w:spacing w:line="240" w:lineRule="auto"/>
        <w:jc w:val="both"/>
        <w:rPr>
          <w:rFonts w:eastAsia="Verdana"/>
          <w:sz w:val="18"/>
          <w:szCs w:val="18"/>
        </w:rPr>
      </w:pPr>
      <w:r w:rsidRPr="00E639C7">
        <w:rPr>
          <w:rFonts w:eastAsia="Verdana"/>
          <w:b/>
          <w:bCs/>
          <w:sz w:val="18"/>
          <w:szCs w:val="18"/>
        </w:rPr>
        <w:t>Sobre a Merck </w:t>
      </w:r>
      <w:r w:rsidRPr="00E639C7">
        <w:rPr>
          <w:rFonts w:eastAsia="Verdana"/>
          <w:sz w:val="18"/>
          <w:szCs w:val="18"/>
        </w:rPr>
        <w:t> </w:t>
      </w:r>
    </w:p>
    <w:p w14:paraId="4670A698" w14:textId="17A8BDEE" w:rsidR="001F0A0C" w:rsidRPr="00E639C7" w:rsidRDefault="001F0A0C" w:rsidP="002D5880">
      <w:pPr>
        <w:spacing w:line="240" w:lineRule="auto"/>
        <w:jc w:val="both"/>
        <w:rPr>
          <w:rFonts w:eastAsia="Verdana"/>
          <w:sz w:val="18"/>
          <w:szCs w:val="18"/>
        </w:rPr>
      </w:pPr>
      <w:r w:rsidRPr="00E639C7">
        <w:rPr>
          <w:rFonts w:eastAsia="Verdana"/>
          <w:sz w:val="18"/>
          <w:szCs w:val="18"/>
        </w:rPr>
        <w:t xml:space="preserve">A Merck é uma empresa líder em ciência e tecnologia, que opera nas áreas de Healthcare, Life Science e Electronics. Cerca de 64.000 colaboradores trabalham para marcar uma diferença positiva em milhões de vidas de pessoas, todos os dias, criando formas de viver mais felizes e sustentáveis. Desde tecnologias avançadas de edição de genes e descobertas únicas de formas de tratar as doenças mais desafiantes, até ao desenvolvimento da inteligência dos dispositivos – a Merck está em todo o lado. Em </w:t>
      </w:r>
      <w:r w:rsidR="007941F0" w:rsidRPr="00E639C7">
        <w:rPr>
          <w:rFonts w:eastAsia="Verdana"/>
          <w:sz w:val="18"/>
          <w:szCs w:val="18"/>
        </w:rPr>
        <w:t>2024</w:t>
      </w:r>
      <w:r w:rsidRPr="00E639C7">
        <w:rPr>
          <w:rFonts w:eastAsia="Verdana"/>
          <w:sz w:val="18"/>
          <w:szCs w:val="18"/>
        </w:rPr>
        <w:t>, a empresa gerou vendas de 21</w:t>
      </w:r>
      <w:r w:rsidR="008B0914" w:rsidRPr="00E639C7">
        <w:rPr>
          <w:rFonts w:eastAsia="Verdana"/>
          <w:sz w:val="18"/>
          <w:szCs w:val="18"/>
        </w:rPr>
        <w:t>,2</w:t>
      </w:r>
      <w:r w:rsidRPr="00E639C7">
        <w:rPr>
          <w:rFonts w:eastAsia="Verdana"/>
          <w:sz w:val="18"/>
          <w:szCs w:val="18"/>
        </w:rPr>
        <w:t xml:space="preserve"> mil milhões de Euros nos países onde atua. A exploração científica e o empreendedorismo responsável foram fundamentais para os avanços tecnológicos e científicos da Merck. Tem sido assim que a Merck prosperou desde a sua fundação em 1668. A família fundadora continua a ser o acionista maioritário do grupo de empresas cotado em bolsa.  </w:t>
      </w:r>
    </w:p>
    <w:p w14:paraId="72DC98B3" w14:textId="77777777" w:rsidR="00484461" w:rsidRPr="00E639C7" w:rsidRDefault="00484461" w:rsidP="002D5880">
      <w:pPr>
        <w:spacing w:line="240" w:lineRule="auto"/>
        <w:jc w:val="both"/>
        <w:rPr>
          <w:rFonts w:eastAsia="Verdana"/>
          <w:sz w:val="18"/>
          <w:szCs w:val="18"/>
        </w:rPr>
      </w:pPr>
    </w:p>
    <w:p w14:paraId="6AB3E4F1" w14:textId="77777777" w:rsidR="001F0A0C" w:rsidRPr="00E639C7" w:rsidRDefault="001F0A0C" w:rsidP="002D5880">
      <w:pPr>
        <w:spacing w:line="240" w:lineRule="auto"/>
        <w:jc w:val="both"/>
        <w:rPr>
          <w:rFonts w:eastAsia="Verdana"/>
          <w:sz w:val="18"/>
          <w:szCs w:val="18"/>
        </w:rPr>
      </w:pPr>
      <w:r w:rsidRPr="00E639C7">
        <w:rPr>
          <w:rFonts w:eastAsia="Verdana"/>
          <w:i/>
          <w:iCs/>
          <w:sz w:val="18"/>
          <w:szCs w:val="18"/>
        </w:rPr>
        <w:t>Nota importante: A Merck detém os direitos globais sobre o nome e a marca Merck. As únicas exceções são os Estados Unidos e o Canadá, onde a empresa atua como EMD Serono em Healthcare, MilliporeSigma em Life Science e EMD em Electronics.</w:t>
      </w:r>
      <w:r w:rsidRPr="00E639C7">
        <w:rPr>
          <w:rFonts w:eastAsia="Verdana"/>
          <w:sz w:val="18"/>
          <w:szCs w:val="18"/>
        </w:rPr>
        <w:t> </w:t>
      </w:r>
    </w:p>
    <w:p w14:paraId="46DA00A7" w14:textId="77777777" w:rsidR="0094603F" w:rsidRPr="00E639C7" w:rsidRDefault="0094603F" w:rsidP="002D5880">
      <w:pPr>
        <w:spacing w:line="240" w:lineRule="auto"/>
        <w:jc w:val="both"/>
        <w:rPr>
          <w:rFonts w:eastAsia="Verdana"/>
          <w:sz w:val="18"/>
          <w:szCs w:val="18"/>
        </w:rPr>
      </w:pPr>
    </w:p>
    <w:p w14:paraId="2E1149C2" w14:textId="77777777" w:rsidR="0094603F" w:rsidRPr="00E639C7" w:rsidRDefault="0094603F" w:rsidP="002D5880">
      <w:pPr>
        <w:spacing w:line="240" w:lineRule="auto"/>
        <w:jc w:val="both"/>
        <w:rPr>
          <w:rFonts w:eastAsia="Verdana"/>
          <w:sz w:val="16"/>
          <w:szCs w:val="16"/>
        </w:rPr>
      </w:pPr>
    </w:p>
    <w:p w14:paraId="174BE82E" w14:textId="77777777" w:rsidR="0094603F" w:rsidRPr="00E639C7" w:rsidRDefault="0094603F" w:rsidP="002D5880">
      <w:pPr>
        <w:spacing w:line="240" w:lineRule="auto"/>
        <w:jc w:val="both"/>
        <w:rPr>
          <w:rFonts w:eastAsia="Verdana"/>
          <w:sz w:val="16"/>
          <w:szCs w:val="16"/>
        </w:rPr>
      </w:pPr>
    </w:p>
    <w:p w14:paraId="01ADE2FB" w14:textId="77777777" w:rsidR="00530472" w:rsidRPr="00E639C7" w:rsidRDefault="00530472" w:rsidP="002D5880">
      <w:pPr>
        <w:spacing w:line="240" w:lineRule="auto"/>
        <w:jc w:val="both"/>
        <w:rPr>
          <w:rFonts w:eastAsia="Verdana"/>
          <w:sz w:val="20"/>
          <w:szCs w:val="20"/>
        </w:rPr>
      </w:pPr>
    </w:p>
    <w:p w14:paraId="06E95994" w14:textId="77777777" w:rsidR="00530472" w:rsidRPr="00E639C7" w:rsidRDefault="00530472" w:rsidP="002D5880">
      <w:pPr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E639C7">
        <w:rPr>
          <w:sz w:val="20"/>
          <w:szCs w:val="20"/>
        </w:rPr>
        <w:fldChar w:fldCharType="begin"/>
      </w:r>
      <w:r w:rsidRPr="00E639C7">
        <w:rPr>
          <w:sz w:val="20"/>
          <w:szCs w:val="20"/>
        </w:rPr>
        <w:instrText xml:space="preserve"> HYPERLINK "http://www.vinci-energies.com</w:instrText>
      </w:r>
    </w:p>
    <w:p w14:paraId="411E448E" w14:textId="77777777" w:rsidR="00530472" w:rsidRPr="00E639C7" w:rsidRDefault="00530472" w:rsidP="002D5880">
      <w:pPr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E639C7">
        <w:rPr>
          <w:sz w:val="20"/>
          <w:szCs w:val="20"/>
        </w:rPr>
        <w:instrText xml:space="preserve">" </w:instrText>
      </w:r>
      <w:r w:rsidRPr="00E639C7">
        <w:rPr>
          <w:sz w:val="20"/>
          <w:szCs w:val="20"/>
        </w:rPr>
      </w:r>
      <w:r w:rsidRPr="00E639C7">
        <w:rPr>
          <w:sz w:val="20"/>
          <w:szCs w:val="20"/>
        </w:rPr>
        <w:fldChar w:fldCharType="end"/>
      </w:r>
      <w:r w:rsidRPr="00E639C7">
        <w:rPr>
          <w:b/>
          <w:sz w:val="20"/>
          <w:szCs w:val="20"/>
        </w:rPr>
        <w:t>Para mais informações, por favor, contacte:</w:t>
      </w:r>
    </w:p>
    <w:p w14:paraId="4138D87D" w14:textId="77777777" w:rsidR="00530472" w:rsidRPr="00E639C7" w:rsidRDefault="00530472" w:rsidP="002D5880">
      <w:pPr>
        <w:tabs>
          <w:tab w:val="left" w:pos="0"/>
        </w:tabs>
        <w:spacing w:line="240" w:lineRule="auto"/>
        <w:rPr>
          <w:sz w:val="20"/>
          <w:szCs w:val="20"/>
        </w:rPr>
      </w:pPr>
      <w:r w:rsidRPr="00E639C7">
        <w:rPr>
          <w:sz w:val="20"/>
          <w:szCs w:val="20"/>
        </w:rPr>
        <w:t xml:space="preserve">Lift Consulting </w:t>
      </w:r>
    </w:p>
    <w:p w14:paraId="3CD606F5" w14:textId="77777777" w:rsidR="00530472" w:rsidRPr="00E639C7" w:rsidRDefault="00530472" w:rsidP="002D5880">
      <w:pPr>
        <w:spacing w:line="240" w:lineRule="auto"/>
        <w:rPr>
          <w:sz w:val="20"/>
          <w:szCs w:val="20"/>
        </w:rPr>
      </w:pPr>
      <w:r w:rsidRPr="00E639C7">
        <w:rPr>
          <w:sz w:val="20"/>
          <w:szCs w:val="20"/>
        </w:rPr>
        <w:t xml:space="preserve">Ana Santos | </w:t>
      </w:r>
      <w:hyperlink r:id="rId11" w:history="1">
        <w:r w:rsidRPr="00E639C7">
          <w:rPr>
            <w:rStyle w:val="Hiperligao"/>
            <w:sz w:val="20"/>
            <w:szCs w:val="20"/>
          </w:rPr>
          <w:t>ana.santos@lift.com.pt</w:t>
        </w:r>
      </w:hyperlink>
      <w:r w:rsidRPr="00E639C7">
        <w:rPr>
          <w:sz w:val="20"/>
          <w:szCs w:val="20"/>
        </w:rPr>
        <w:t xml:space="preserve"> | 914 409 595</w:t>
      </w:r>
    </w:p>
    <w:p w14:paraId="79D5ACC8" w14:textId="77777777" w:rsidR="00530472" w:rsidRPr="0020642B" w:rsidRDefault="00530472" w:rsidP="002D5880">
      <w:pPr>
        <w:tabs>
          <w:tab w:val="left" w:pos="0"/>
        </w:tabs>
        <w:spacing w:line="240" w:lineRule="auto"/>
        <w:rPr>
          <w:rFonts w:ascii="Verdana" w:hAnsi="Verdana" w:cs="Open Sans"/>
          <w:sz w:val="20"/>
          <w:szCs w:val="20"/>
        </w:rPr>
      </w:pPr>
      <w:r w:rsidRPr="0020642B">
        <w:rPr>
          <w:rFonts w:ascii="Verdana" w:hAnsi="Verdana" w:cs="Open Sans"/>
          <w:sz w:val="20"/>
          <w:szCs w:val="20"/>
        </w:rPr>
        <w:t xml:space="preserve">Erica Macieira | </w:t>
      </w:r>
      <w:hyperlink r:id="rId12" w:history="1">
        <w:r w:rsidRPr="0020642B">
          <w:rPr>
            <w:rStyle w:val="Hiperligao"/>
            <w:rFonts w:ascii="Verdana" w:hAnsi="Verdana" w:cs="Open Sans"/>
            <w:sz w:val="20"/>
            <w:szCs w:val="20"/>
          </w:rPr>
          <w:t>erica.macieira@lift.com.pt</w:t>
        </w:r>
      </w:hyperlink>
      <w:r w:rsidRPr="0020642B">
        <w:rPr>
          <w:rFonts w:ascii="Verdana" w:hAnsi="Verdana" w:cs="Open Sans"/>
          <w:sz w:val="20"/>
          <w:szCs w:val="20"/>
        </w:rPr>
        <w:t xml:space="preserve"> | 910 549 515</w:t>
      </w:r>
    </w:p>
    <w:p w14:paraId="15527550" w14:textId="77777777" w:rsidR="00530472" w:rsidRPr="0020642B" w:rsidRDefault="00530472" w:rsidP="002D588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6B2CE5" w14:textId="77777777" w:rsidR="00530472" w:rsidRPr="0020642B" w:rsidRDefault="00530472" w:rsidP="002D588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5A5393" w14:textId="77777777" w:rsidR="00530472" w:rsidRDefault="00530472" w:rsidP="00611139">
      <w:pPr>
        <w:spacing w:line="480" w:lineRule="auto"/>
        <w:jc w:val="both"/>
        <w:rPr>
          <w:rFonts w:ascii="Verdana" w:eastAsia="Verdana" w:hAnsi="Verdana" w:cs="Verdana"/>
          <w:sz w:val="16"/>
          <w:szCs w:val="16"/>
        </w:rPr>
      </w:pPr>
    </w:p>
    <w:sectPr w:rsidR="00530472" w:rsidSect="00E639C7">
      <w:headerReference w:type="default" r:id="rId13"/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D991" w14:textId="77777777" w:rsidR="00D73B3B" w:rsidRDefault="00D73B3B" w:rsidP="00E639C7">
      <w:pPr>
        <w:spacing w:line="240" w:lineRule="auto"/>
      </w:pPr>
      <w:r>
        <w:separator/>
      </w:r>
    </w:p>
  </w:endnote>
  <w:endnote w:type="continuationSeparator" w:id="0">
    <w:p w14:paraId="31BA9F8F" w14:textId="77777777" w:rsidR="00D73B3B" w:rsidRDefault="00D73B3B" w:rsidP="00E6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CD38" w14:textId="77777777" w:rsidR="00D73B3B" w:rsidRDefault="00D73B3B" w:rsidP="00E639C7">
      <w:pPr>
        <w:spacing w:line="240" w:lineRule="auto"/>
      </w:pPr>
      <w:r>
        <w:separator/>
      </w:r>
    </w:p>
  </w:footnote>
  <w:footnote w:type="continuationSeparator" w:id="0">
    <w:p w14:paraId="50665794" w14:textId="77777777" w:rsidR="00D73B3B" w:rsidRDefault="00D73B3B" w:rsidP="00E6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40C1" w14:textId="1D04F7C4" w:rsidR="00E639C7" w:rsidRDefault="00E639C7" w:rsidP="00E639C7">
    <w:pPr>
      <w:pStyle w:val="Cabealho"/>
      <w:jc w:val="right"/>
    </w:pPr>
    <w:r w:rsidRPr="004B3A28">
      <w:rPr>
        <w:rFonts w:ascii="Verdana" w:hAnsi="Verdana"/>
        <w:noProof/>
        <w:sz w:val="32"/>
      </w:rPr>
      <w:drawing>
        <wp:inline distT="0" distB="0" distL="0" distR="0" wp14:anchorId="62A1D3E5" wp14:editId="3A792A28">
          <wp:extent cx="1856232" cy="292608"/>
          <wp:effectExtent l="0" t="0" r="0" b="0"/>
          <wp:docPr id="1123120887" name="Obrázek 8" descr="Uma imagem com Tipo de letra, logótipo, Gráficos, design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499622" name="Obrázek 8" descr="Uma imagem com Tipo de letra, logótipo, Gráficos, design&#10;&#10;Os conteúdos gerados por IA podem estar incorreto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2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6A684" w14:textId="77777777" w:rsidR="00E639C7" w:rsidRDefault="00E639C7" w:rsidP="00E639C7">
    <w:pPr>
      <w:pStyle w:val="Cabealho"/>
      <w:jc w:val="right"/>
    </w:pPr>
  </w:p>
  <w:p w14:paraId="4CBC5324" w14:textId="77777777" w:rsidR="00E639C7" w:rsidRDefault="00E639C7" w:rsidP="00E639C7">
    <w:pPr>
      <w:pStyle w:val="Cabealho"/>
      <w:jc w:val="right"/>
    </w:pPr>
  </w:p>
  <w:p w14:paraId="5A7F4D2F" w14:textId="449624ED" w:rsidR="00E639C7" w:rsidRDefault="00E639C7" w:rsidP="00E639C7">
    <w:pPr>
      <w:pStyle w:val="Cabealho"/>
      <w:rPr>
        <w:b/>
        <w:bCs/>
      </w:rPr>
    </w:pPr>
    <w:r w:rsidRPr="00E639C7">
      <w:rPr>
        <w:rFonts w:ascii="Verdana" w:hAnsi="Verdana"/>
        <w:b/>
        <w:bCs/>
      </w:rPr>
      <w:t>Comunicado</w:t>
    </w:r>
    <w:r w:rsidRPr="00E639C7">
      <w:rPr>
        <w:b/>
        <w:bCs/>
      </w:rPr>
      <w:t xml:space="preserve"> de </w:t>
    </w:r>
    <w:r>
      <w:rPr>
        <w:b/>
        <w:bCs/>
      </w:rPr>
      <w:t>I</w:t>
    </w:r>
    <w:r w:rsidRPr="00E639C7">
      <w:rPr>
        <w:b/>
        <w:bCs/>
      </w:rPr>
      <w:t>mprensa</w:t>
    </w:r>
  </w:p>
  <w:p w14:paraId="3C6E18D2" w14:textId="77777777" w:rsidR="00E639C7" w:rsidRDefault="00E639C7" w:rsidP="00E639C7">
    <w:pPr>
      <w:pStyle w:val="Cabealho"/>
      <w:rPr>
        <w:b/>
        <w:bCs/>
      </w:rPr>
    </w:pPr>
  </w:p>
  <w:p w14:paraId="3218934C" w14:textId="77777777" w:rsidR="00E639C7" w:rsidRPr="00E639C7" w:rsidRDefault="00E639C7" w:rsidP="00E639C7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BC8"/>
    <w:multiLevelType w:val="multilevel"/>
    <w:tmpl w:val="D340F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4325E"/>
    <w:multiLevelType w:val="hybridMultilevel"/>
    <w:tmpl w:val="0BC4B44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B4933"/>
    <w:multiLevelType w:val="multilevel"/>
    <w:tmpl w:val="C1661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7123A"/>
    <w:multiLevelType w:val="multilevel"/>
    <w:tmpl w:val="DF50AB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85180">
    <w:abstractNumId w:val="3"/>
  </w:num>
  <w:num w:numId="2" w16cid:durableId="359625340">
    <w:abstractNumId w:val="0"/>
  </w:num>
  <w:num w:numId="3" w16cid:durableId="2142066462">
    <w:abstractNumId w:val="1"/>
  </w:num>
  <w:num w:numId="4" w16cid:durableId="43478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4A"/>
    <w:rsid w:val="00015D38"/>
    <w:rsid w:val="0002071E"/>
    <w:rsid w:val="000227AA"/>
    <w:rsid w:val="0003573C"/>
    <w:rsid w:val="00042092"/>
    <w:rsid w:val="0004731F"/>
    <w:rsid w:val="00052EB5"/>
    <w:rsid w:val="00054CBD"/>
    <w:rsid w:val="0006031B"/>
    <w:rsid w:val="000728EC"/>
    <w:rsid w:val="00092809"/>
    <w:rsid w:val="000937BB"/>
    <w:rsid w:val="00093F2F"/>
    <w:rsid w:val="000A25A0"/>
    <w:rsid w:val="000C62BB"/>
    <w:rsid w:val="000C784F"/>
    <w:rsid w:val="000D45F9"/>
    <w:rsid w:val="000F4838"/>
    <w:rsid w:val="0010332B"/>
    <w:rsid w:val="0011496E"/>
    <w:rsid w:val="00135109"/>
    <w:rsid w:val="00135B1E"/>
    <w:rsid w:val="00143083"/>
    <w:rsid w:val="00151D63"/>
    <w:rsid w:val="00157062"/>
    <w:rsid w:val="00174BF8"/>
    <w:rsid w:val="0019510E"/>
    <w:rsid w:val="001B3CBA"/>
    <w:rsid w:val="001F0A0C"/>
    <w:rsid w:val="0020267F"/>
    <w:rsid w:val="0020642B"/>
    <w:rsid w:val="00212647"/>
    <w:rsid w:val="0021546D"/>
    <w:rsid w:val="0023019F"/>
    <w:rsid w:val="002433A7"/>
    <w:rsid w:val="0026285F"/>
    <w:rsid w:val="002647CE"/>
    <w:rsid w:val="002738D1"/>
    <w:rsid w:val="00286D89"/>
    <w:rsid w:val="0029416F"/>
    <w:rsid w:val="002D5880"/>
    <w:rsid w:val="002D6D15"/>
    <w:rsid w:val="002E2CA1"/>
    <w:rsid w:val="002F06D0"/>
    <w:rsid w:val="00303DB9"/>
    <w:rsid w:val="00313386"/>
    <w:rsid w:val="0033692E"/>
    <w:rsid w:val="00342D1A"/>
    <w:rsid w:val="003659F2"/>
    <w:rsid w:val="003B72A6"/>
    <w:rsid w:val="003D4F3E"/>
    <w:rsid w:val="003D713D"/>
    <w:rsid w:val="003E39EF"/>
    <w:rsid w:val="003F3836"/>
    <w:rsid w:val="003F7B4D"/>
    <w:rsid w:val="004006A8"/>
    <w:rsid w:val="00405AB9"/>
    <w:rsid w:val="0041108A"/>
    <w:rsid w:val="00430C37"/>
    <w:rsid w:val="0046694B"/>
    <w:rsid w:val="0047083C"/>
    <w:rsid w:val="00484461"/>
    <w:rsid w:val="004A733C"/>
    <w:rsid w:val="004B22E7"/>
    <w:rsid w:val="004B6567"/>
    <w:rsid w:val="004D16A1"/>
    <w:rsid w:val="004D4455"/>
    <w:rsid w:val="00513B48"/>
    <w:rsid w:val="00526DDD"/>
    <w:rsid w:val="0052775B"/>
    <w:rsid w:val="00530472"/>
    <w:rsid w:val="00542FA5"/>
    <w:rsid w:val="005733F1"/>
    <w:rsid w:val="00596991"/>
    <w:rsid w:val="00597B58"/>
    <w:rsid w:val="005A21FC"/>
    <w:rsid w:val="005C72D0"/>
    <w:rsid w:val="005C7C63"/>
    <w:rsid w:val="005D7CF9"/>
    <w:rsid w:val="005E3479"/>
    <w:rsid w:val="005F0E38"/>
    <w:rsid w:val="005F7A99"/>
    <w:rsid w:val="00611139"/>
    <w:rsid w:val="00611D30"/>
    <w:rsid w:val="006123A0"/>
    <w:rsid w:val="00617B4A"/>
    <w:rsid w:val="0063770B"/>
    <w:rsid w:val="00646476"/>
    <w:rsid w:val="00647FD3"/>
    <w:rsid w:val="0066748B"/>
    <w:rsid w:val="00671251"/>
    <w:rsid w:val="006833E5"/>
    <w:rsid w:val="006946D3"/>
    <w:rsid w:val="0069503C"/>
    <w:rsid w:val="006A6A65"/>
    <w:rsid w:val="006B69F0"/>
    <w:rsid w:val="006E5D54"/>
    <w:rsid w:val="006E65FD"/>
    <w:rsid w:val="00710A13"/>
    <w:rsid w:val="00720892"/>
    <w:rsid w:val="007537BC"/>
    <w:rsid w:val="0075493B"/>
    <w:rsid w:val="00764EF1"/>
    <w:rsid w:val="00775FE0"/>
    <w:rsid w:val="00781D0A"/>
    <w:rsid w:val="00787630"/>
    <w:rsid w:val="0079008E"/>
    <w:rsid w:val="007941F0"/>
    <w:rsid w:val="00795B95"/>
    <w:rsid w:val="007A116D"/>
    <w:rsid w:val="007B2A7A"/>
    <w:rsid w:val="007E45D2"/>
    <w:rsid w:val="0081544D"/>
    <w:rsid w:val="00826201"/>
    <w:rsid w:val="00832A78"/>
    <w:rsid w:val="0083717C"/>
    <w:rsid w:val="00875F99"/>
    <w:rsid w:val="00876B5E"/>
    <w:rsid w:val="00887778"/>
    <w:rsid w:val="0089129E"/>
    <w:rsid w:val="008B0914"/>
    <w:rsid w:val="008C20BF"/>
    <w:rsid w:val="008D011C"/>
    <w:rsid w:val="008D166E"/>
    <w:rsid w:val="008E6D17"/>
    <w:rsid w:val="008F0F02"/>
    <w:rsid w:val="008F5C29"/>
    <w:rsid w:val="008F78B3"/>
    <w:rsid w:val="0092024D"/>
    <w:rsid w:val="00936F63"/>
    <w:rsid w:val="00943BB0"/>
    <w:rsid w:val="0094603F"/>
    <w:rsid w:val="00957D80"/>
    <w:rsid w:val="00971126"/>
    <w:rsid w:val="00975D66"/>
    <w:rsid w:val="0097729D"/>
    <w:rsid w:val="009B3E8C"/>
    <w:rsid w:val="009E2269"/>
    <w:rsid w:val="009F0C21"/>
    <w:rsid w:val="009F3F96"/>
    <w:rsid w:val="00A14C9C"/>
    <w:rsid w:val="00A23D90"/>
    <w:rsid w:val="00A23DE7"/>
    <w:rsid w:val="00A44E2C"/>
    <w:rsid w:val="00A504D0"/>
    <w:rsid w:val="00A54C64"/>
    <w:rsid w:val="00A55792"/>
    <w:rsid w:val="00A73CEB"/>
    <w:rsid w:val="00A7513D"/>
    <w:rsid w:val="00A83F53"/>
    <w:rsid w:val="00A85B1A"/>
    <w:rsid w:val="00A91CC5"/>
    <w:rsid w:val="00AC2CEE"/>
    <w:rsid w:val="00B13127"/>
    <w:rsid w:val="00B416BE"/>
    <w:rsid w:val="00B725FC"/>
    <w:rsid w:val="00B76F82"/>
    <w:rsid w:val="00B7728C"/>
    <w:rsid w:val="00B81248"/>
    <w:rsid w:val="00B901F0"/>
    <w:rsid w:val="00BA1541"/>
    <w:rsid w:val="00BA683C"/>
    <w:rsid w:val="00BB5A07"/>
    <w:rsid w:val="00BE027B"/>
    <w:rsid w:val="00BE21C6"/>
    <w:rsid w:val="00BF68FC"/>
    <w:rsid w:val="00C051C1"/>
    <w:rsid w:val="00C10747"/>
    <w:rsid w:val="00C1088C"/>
    <w:rsid w:val="00C16B3B"/>
    <w:rsid w:val="00C2569C"/>
    <w:rsid w:val="00C45E32"/>
    <w:rsid w:val="00C462F6"/>
    <w:rsid w:val="00C637DA"/>
    <w:rsid w:val="00C65BD5"/>
    <w:rsid w:val="00C6634A"/>
    <w:rsid w:val="00C930D1"/>
    <w:rsid w:val="00CA6F55"/>
    <w:rsid w:val="00CB3E53"/>
    <w:rsid w:val="00CB50FE"/>
    <w:rsid w:val="00CB7298"/>
    <w:rsid w:val="00CF3405"/>
    <w:rsid w:val="00CF52A0"/>
    <w:rsid w:val="00CF6023"/>
    <w:rsid w:val="00D03F6C"/>
    <w:rsid w:val="00D075B4"/>
    <w:rsid w:val="00D10469"/>
    <w:rsid w:val="00D11193"/>
    <w:rsid w:val="00D16C42"/>
    <w:rsid w:val="00D408B0"/>
    <w:rsid w:val="00D52829"/>
    <w:rsid w:val="00D55012"/>
    <w:rsid w:val="00D67CF1"/>
    <w:rsid w:val="00D7119C"/>
    <w:rsid w:val="00D73B3B"/>
    <w:rsid w:val="00D75BB0"/>
    <w:rsid w:val="00D93E33"/>
    <w:rsid w:val="00DA11C6"/>
    <w:rsid w:val="00DA4E9E"/>
    <w:rsid w:val="00DF7E2F"/>
    <w:rsid w:val="00E06742"/>
    <w:rsid w:val="00E10B17"/>
    <w:rsid w:val="00E1140C"/>
    <w:rsid w:val="00E30854"/>
    <w:rsid w:val="00E50FE5"/>
    <w:rsid w:val="00E550C0"/>
    <w:rsid w:val="00E55723"/>
    <w:rsid w:val="00E639C7"/>
    <w:rsid w:val="00E644CA"/>
    <w:rsid w:val="00E72282"/>
    <w:rsid w:val="00E72412"/>
    <w:rsid w:val="00E92E63"/>
    <w:rsid w:val="00EA6F10"/>
    <w:rsid w:val="00EC257C"/>
    <w:rsid w:val="00EC7BA1"/>
    <w:rsid w:val="00EF1157"/>
    <w:rsid w:val="00F10901"/>
    <w:rsid w:val="00F154F6"/>
    <w:rsid w:val="00F1697A"/>
    <w:rsid w:val="00F52403"/>
    <w:rsid w:val="00F74762"/>
    <w:rsid w:val="00F77EE9"/>
    <w:rsid w:val="00F8468E"/>
    <w:rsid w:val="00F93B49"/>
    <w:rsid w:val="00FD4F1B"/>
    <w:rsid w:val="00FE11FD"/>
    <w:rsid w:val="012E2543"/>
    <w:rsid w:val="03EFF370"/>
    <w:rsid w:val="056A2551"/>
    <w:rsid w:val="05ECD756"/>
    <w:rsid w:val="06ADB804"/>
    <w:rsid w:val="09765380"/>
    <w:rsid w:val="0BB2EA0C"/>
    <w:rsid w:val="0BEB39B1"/>
    <w:rsid w:val="0D46C601"/>
    <w:rsid w:val="0DB139BB"/>
    <w:rsid w:val="0DFB1FA7"/>
    <w:rsid w:val="121FE53D"/>
    <w:rsid w:val="181DDC6D"/>
    <w:rsid w:val="1D2F7C01"/>
    <w:rsid w:val="1E7241BA"/>
    <w:rsid w:val="1FF3B88A"/>
    <w:rsid w:val="23BF2CD4"/>
    <w:rsid w:val="245C1B5E"/>
    <w:rsid w:val="252E505B"/>
    <w:rsid w:val="28034E1F"/>
    <w:rsid w:val="2AE71158"/>
    <w:rsid w:val="3054EA55"/>
    <w:rsid w:val="3636FB1A"/>
    <w:rsid w:val="36C96471"/>
    <w:rsid w:val="38F08F02"/>
    <w:rsid w:val="3DC31169"/>
    <w:rsid w:val="3FA4E6DB"/>
    <w:rsid w:val="41951899"/>
    <w:rsid w:val="4554B830"/>
    <w:rsid w:val="48264950"/>
    <w:rsid w:val="49A3495C"/>
    <w:rsid w:val="4C0C4339"/>
    <w:rsid w:val="4D0B75A0"/>
    <w:rsid w:val="532471E7"/>
    <w:rsid w:val="54EF734C"/>
    <w:rsid w:val="5545F04B"/>
    <w:rsid w:val="56FE2813"/>
    <w:rsid w:val="590DB1B3"/>
    <w:rsid w:val="599FA9A3"/>
    <w:rsid w:val="59F6944E"/>
    <w:rsid w:val="5A111C8A"/>
    <w:rsid w:val="5A8D6D98"/>
    <w:rsid w:val="5C46CC0B"/>
    <w:rsid w:val="5D2A9BCE"/>
    <w:rsid w:val="636B51D2"/>
    <w:rsid w:val="63FC482E"/>
    <w:rsid w:val="6697602B"/>
    <w:rsid w:val="6A479450"/>
    <w:rsid w:val="6B2B841A"/>
    <w:rsid w:val="6D9B6B97"/>
    <w:rsid w:val="72050284"/>
    <w:rsid w:val="7326DCF0"/>
    <w:rsid w:val="74301EC1"/>
    <w:rsid w:val="7830E82F"/>
    <w:rsid w:val="7B0289E4"/>
    <w:rsid w:val="7DA6706B"/>
    <w:rsid w:val="7ECB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074"/>
  <w15:docId w15:val="{E5212BF3-59A7-4B44-9E88-F16253E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FA7AB3"/>
    <w:pPr>
      <w:spacing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A7A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A7A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A7A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A7A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A7AB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50C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A25A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A25A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A11C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6946D3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E639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39C7"/>
  </w:style>
  <w:style w:type="paragraph" w:styleId="Rodap">
    <w:name w:val="footer"/>
    <w:basedOn w:val="Normal"/>
    <w:link w:val="RodapCarter"/>
    <w:uiPriority w:val="99"/>
    <w:unhideWhenUsed/>
    <w:rsid w:val="00E639C7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ca.macieira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santos@lift.com.p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f3572-c32f-4aee-b6f5-421a54b69827">
      <Terms xmlns="http://schemas.microsoft.com/office/infopath/2007/PartnerControls"/>
    </lcf76f155ced4ddcb4097134ff3c332f>
    <TaxCatchAll xmlns="e57ecce5-0bad-4b51-9332-12f57b5014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9C6B34829B9438BF4D14CF44F65B7" ma:contentTypeVersion="21" ma:contentTypeDescription="Create a new document." ma:contentTypeScope="" ma:versionID="2d110e7859f8f6496d874f48bbd449e4">
  <xsd:schema xmlns:xsd="http://www.w3.org/2001/XMLSchema" xmlns:xs="http://www.w3.org/2001/XMLSchema" xmlns:p="http://schemas.microsoft.com/office/2006/metadata/properties" xmlns:ns2="887f3572-c32f-4aee-b6f5-421a54b69827" xmlns:ns3="e57ecce5-0bad-4b51-9332-12f57b5014d1" targetNamespace="http://schemas.microsoft.com/office/2006/metadata/properties" ma:root="true" ma:fieldsID="6da5383e47cf02996fa0968a13c3376f" ns2:_="" ns3:_="">
    <xsd:import namespace="887f3572-c32f-4aee-b6f5-421a54b69827"/>
    <xsd:import namespace="e57ecce5-0bad-4b51-9332-12f57b501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f3572-c32f-4aee-b6f5-421a54b69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cce5-0bad-4b51-9332-12f57b50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a83e7-fd2a-4c95-b51a-4032a56d3805}" ma:internalName="TaxCatchAll" ma:showField="CatchAllData" ma:web="e57ecce5-0bad-4b51-9332-12f57b50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oBtYNIX/MMLT0Yq2eCLaR9bew==">CgMxLjA4AHIhMU9YSlFwZ29oN2hTTEk4VkNtbnN1eE4tLUFHUHBUQ1My</go:docsCustomData>
</go:gDocsCustomXmlDataStorage>
</file>

<file path=customXml/itemProps1.xml><?xml version="1.0" encoding="utf-8"?>
<ds:datastoreItem xmlns:ds="http://schemas.openxmlformats.org/officeDocument/2006/customXml" ds:itemID="{8DCB70B8-D346-4D4D-901E-9D6344D1CC76}">
  <ds:schemaRefs>
    <ds:schemaRef ds:uri="http://schemas.microsoft.com/office/2006/metadata/properties"/>
    <ds:schemaRef ds:uri="http://schemas.microsoft.com/office/infopath/2007/PartnerControls"/>
    <ds:schemaRef ds:uri="77695729-0885-4073-9dfd-8cca3062ee75"/>
    <ds:schemaRef ds:uri="6c93f7ab-05af-46e4-9461-60a662885767"/>
    <ds:schemaRef ds:uri="887f3572-c32f-4aee-b6f5-421a54b69827"/>
    <ds:schemaRef ds:uri="e57ecce5-0bad-4b51-9332-12f57b5014d1"/>
  </ds:schemaRefs>
</ds:datastoreItem>
</file>

<file path=customXml/itemProps2.xml><?xml version="1.0" encoding="utf-8"?>
<ds:datastoreItem xmlns:ds="http://schemas.openxmlformats.org/officeDocument/2006/customXml" ds:itemID="{CB40E539-1D1E-4C7C-869E-0076E9FAE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f3572-c32f-4aee-b6f5-421a54b69827"/>
    <ds:schemaRef ds:uri="e57ecce5-0bad-4b51-9332-12f57b501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D2517-F910-4036-A564-A6993F1A3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5113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Pinto</dc:creator>
  <cp:keywords/>
  <cp:lastModifiedBy>Ana Santos</cp:lastModifiedBy>
  <cp:revision>20</cp:revision>
  <dcterms:created xsi:type="dcterms:W3CDTF">2025-07-18T15:14:00Z</dcterms:created>
  <dcterms:modified xsi:type="dcterms:W3CDTF">2025-09-23T11:02:00Z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0x010100B629C6B34829B9438BF4D14CF44F65B7</vt:lpwstr>
  </property>
  <property fmtid="{D5CDD505-2E9C-101B-9397-08002B2CF9AE}" pid="3" name="MediaServiceImageTags">
    <vt:lpwstr/>
  </property>
  <property fmtid="{D5CDD505-2E9C-101B-9397-08002B2CF9AE}" pid="4" name="Order">
    <vt:r8>594300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