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70DC" w:rsidRDefault="00CF7758">
      <w:pPr>
        <w:tabs>
          <w:tab w:val="left" w:pos="6663"/>
        </w:tabs>
        <w:jc w:val="right"/>
        <w:rPr>
          <w:sz w:val="20"/>
          <w:szCs w:val="20"/>
        </w:rPr>
      </w:pPr>
      <w:bookmarkStart w:id="0" w:name="_heading=h.gjdgxs" w:colFirst="0" w:colLast="0"/>
      <w:bookmarkEnd w:id="0"/>
      <w:r>
        <w:rPr>
          <w:sz w:val="20"/>
          <w:szCs w:val="20"/>
        </w:rPr>
        <w:t xml:space="preserve"> </w:t>
      </w:r>
      <w:r w:rsidR="003A0E6E">
        <w:rPr>
          <w:sz w:val="20"/>
          <w:szCs w:val="20"/>
        </w:rPr>
        <w:t>Informacja prasowa, 16</w:t>
      </w:r>
      <w:bookmarkStart w:id="1" w:name="_GoBack"/>
      <w:bookmarkEnd w:id="1"/>
      <w:r>
        <w:rPr>
          <w:sz w:val="20"/>
          <w:szCs w:val="20"/>
        </w:rPr>
        <w:t>.09.2025</w:t>
      </w:r>
    </w:p>
    <w:p w:rsidR="005B70DC" w:rsidRDefault="00CF7758">
      <w:pPr>
        <w:tabs>
          <w:tab w:val="left" w:pos="6663"/>
        </w:tabs>
        <w:jc w:val="both"/>
        <w:rPr>
          <w:rFonts w:ascii="Raleway" w:eastAsia="Raleway" w:hAnsi="Raleway" w:cs="Raleway"/>
          <w:sz w:val="20"/>
          <w:szCs w:val="20"/>
        </w:rPr>
      </w:pPr>
      <w:r>
        <w:rPr>
          <w:rFonts w:ascii="Raleway" w:eastAsia="Raleway" w:hAnsi="Raleway" w:cs="Raleway"/>
          <w:sz w:val="20"/>
          <w:szCs w:val="20"/>
        </w:rPr>
        <w:t xml:space="preserve"> </w:t>
      </w:r>
    </w:p>
    <w:p w:rsidR="005B70DC" w:rsidRDefault="00CF7758">
      <w:pPr>
        <w:jc w:val="both"/>
        <w:rPr>
          <w:b/>
          <w:sz w:val="28"/>
          <w:szCs w:val="28"/>
        </w:rPr>
      </w:pPr>
      <w:r>
        <w:rPr>
          <w:b/>
          <w:sz w:val="28"/>
          <w:szCs w:val="28"/>
        </w:rPr>
        <w:t>Od fotowoltaiki po odzysk ciepła – ekologiczne rozwiązania w nowoczesnych centrach logistycznych</w:t>
      </w:r>
    </w:p>
    <w:p w:rsidR="005B70DC" w:rsidRDefault="00CF7758">
      <w:pPr>
        <w:jc w:val="both"/>
        <w:rPr>
          <w:b/>
        </w:rPr>
      </w:pPr>
      <w:r>
        <w:rPr>
          <w:b/>
        </w:rPr>
        <w:t>W ciągu zaledwie roku udział certyfikowanej powierzchni magazynowej wzrósł z 53 do 77 proc., a obiekty magazynowe odpowiadają już za ponad 54 proc. wszystkich certyfikowanych budynków w kraju.</w:t>
      </w:r>
      <w:r>
        <w:rPr>
          <w:b/>
          <w:vertAlign w:val="superscript"/>
        </w:rPr>
        <w:footnoteReference w:id="1"/>
      </w:r>
      <w:r>
        <w:rPr>
          <w:b/>
          <w:vertAlign w:val="superscript"/>
        </w:rPr>
        <w:t xml:space="preserve"> </w:t>
      </w:r>
      <w:r>
        <w:rPr>
          <w:b/>
        </w:rPr>
        <w:t>Wynika to z rosnącej presji w sektorze logistycznym na dostoso</w:t>
      </w:r>
      <w:r>
        <w:rPr>
          <w:b/>
        </w:rPr>
        <w:t xml:space="preserve">wywanie budynków do wymogów związanych z redukcją emisji CO₂, zarówno z uwagi na regulacje unijne, ale też rosnącą świadomość najemców. </w:t>
      </w:r>
    </w:p>
    <w:p w:rsidR="005B70DC" w:rsidRDefault="00CF7758">
      <w:pPr>
        <w:jc w:val="both"/>
      </w:pPr>
      <w:r>
        <w:rPr>
          <w:b/>
        </w:rPr>
        <w:t>Rynek domaga się zielonych rozwiązań magazynowych</w:t>
      </w:r>
    </w:p>
    <w:p w:rsidR="005B70DC" w:rsidRDefault="00CF7758">
      <w:pPr>
        <w:jc w:val="both"/>
      </w:pPr>
      <w:r>
        <w:t>Coraz więcej firm traktuje inwestycje w ekologiczne budownictwo nie j</w:t>
      </w:r>
      <w:r>
        <w:t>ako koszt, lecz strategiczną decyzję biznesową. Nacisk ze strony otoczenia biznesowego powoduje, że centra dystrybucyjne przyjazne środowisku stają się standardem rynkowym. Zgodnie z danymi przedstawionymi w raporcie PLGBC „Zrównoważone certyfikowane budyn</w:t>
      </w:r>
      <w:r>
        <w:t xml:space="preserve">ki 2025”, na przestrzeni roku - od marca 2024 do marca 2025, liczba certyfikowanych budynków zwiększyła się o 10 proc. Obecnie mamy ich w Polsce 2456, z czego 54 proc. stanowią obiekty magazynowe. Ich liczba z roku na rok rośnie. W 2024 roku odnotowano 53 </w:t>
      </w:r>
      <w:r>
        <w:t>proc. magazynów certyfikowanych, natomiast w marcu 2025 było już ich 77 proc., co tylko pokazuje siłę rosnącego trendu.</w:t>
      </w:r>
    </w:p>
    <w:p w:rsidR="005B70DC" w:rsidRDefault="00CF7758">
      <w:pPr>
        <w:jc w:val="both"/>
        <w:rPr>
          <w:i/>
        </w:rPr>
      </w:pPr>
      <w:r>
        <w:rPr>
          <w:i/>
        </w:rPr>
        <w:t>- Platformy logistyczne odgrywają dziś kluczową rolę w zrównoważonym budownictwie, stanowiąc ponad połowę certyfikowanych budynków w kra</w:t>
      </w:r>
      <w:r>
        <w:rPr>
          <w:i/>
        </w:rPr>
        <w:t>ju. Nasze obiekty w Wiskitkach, Będzinie, Olszowej i Błoniu zostały wyróżnione certyfikatem LEED, co oznacza, że spełniają jedne z najwyższych standardów budownictwa zrównoważonego na świecie. To ogromna wartość w relacjach z klientami, podnosząca konkuren</w:t>
      </w:r>
      <w:r>
        <w:rPr>
          <w:i/>
        </w:rPr>
        <w:t xml:space="preserve">cyjność naszej oferty. Unijne wymogi sprawiają, że przedsiębiorstwa muszą zmieniać swoje modele działania i zarządzania łańcuchem dostaw, a nowoczesne obiekty zaprojektowane z myślą o redukcji emisji CO₂ stają się atutem strategicznym </w:t>
      </w:r>
      <w:r>
        <w:t>– mówi Mariusz Gajek,</w:t>
      </w:r>
      <w:r>
        <w:t xml:space="preserve"> Dyrektor ds. Technicznych w regionie Europy Centralnej, FM Logistic. </w:t>
      </w:r>
    </w:p>
    <w:p w:rsidR="005B70DC" w:rsidRDefault="00CF7758">
      <w:pPr>
        <w:spacing w:before="240" w:after="240"/>
        <w:jc w:val="both"/>
      </w:pPr>
      <w:bookmarkStart w:id="2" w:name="_heading=h.cjlcgdbbeg7z" w:colFirst="0" w:colLast="0"/>
      <w:bookmarkEnd w:id="2"/>
      <w:r>
        <w:t>Certyfikaty zrównoważonego budownictwa są potwierdzeniem, że deklaracje operatorów logistycznych dotyczące ekologicznych rozwiązań nie pozostają jedynie na poziomie obietnic. Najczęście</w:t>
      </w:r>
      <w:r>
        <w:t xml:space="preserve">j spotykane to BREEAM i LEED, oceniające obiekty pod kątem wpływu na środowisko. Kryteria oceny obejmują m.in. lokalizację, gospodarkę wodną, efektywność energetyczną, dobór materiałów czy jakość środowiska wewnętrznego. </w:t>
      </w:r>
    </w:p>
    <w:p w:rsidR="005B70DC" w:rsidRDefault="00CF7758">
      <w:pPr>
        <w:jc w:val="both"/>
      </w:pPr>
      <w:r>
        <w:rPr>
          <w:b/>
        </w:rPr>
        <w:t xml:space="preserve">Zrównoważony magazyn w praktyce </w:t>
      </w:r>
    </w:p>
    <w:p w:rsidR="005B70DC" w:rsidRDefault="00CF7758">
      <w:pPr>
        <w:jc w:val="both"/>
      </w:pPr>
      <w:r>
        <w:t>W</w:t>
      </w:r>
      <w:r>
        <w:t xml:space="preserve"> nowoczesnych  centrach dystrybucyjnych rozwiązania przyjazne środowisku wdrażane są na wielu poziomach – od produkcji i odzysku energii, przez racjonalne gospodarowanie zasobami, po zapewnienie komfortowych warunków pracy zespołom. Standardem wyposażenia </w:t>
      </w:r>
      <w:r>
        <w:t>stały się m.in. energooszczędne oświetlenie LED z czujnikami ruchu, systemy zarządzania energią oraz odnawialne źródła energii.</w:t>
      </w:r>
    </w:p>
    <w:p w:rsidR="005B70DC" w:rsidRDefault="00CF7758">
      <w:pPr>
        <w:jc w:val="both"/>
        <w:rPr>
          <w:i/>
        </w:rPr>
      </w:pPr>
      <w:r>
        <w:lastRenderedPageBreak/>
        <w:t>Najczęściej stosowanym rozwiązaniem są panele fotowoltaiczne, które znacząco ograniczają emisję CO₂. - P</w:t>
      </w:r>
      <w:r>
        <w:rPr>
          <w:i/>
        </w:rPr>
        <w:t>anele fotowoltaiczne o m</w:t>
      </w:r>
      <w:r>
        <w:rPr>
          <w:i/>
        </w:rPr>
        <w:t>ocy 350 kWp zainstalowane w naszym obiekcie w Wiskitkach  pozwalają nam na produkcję własnej energii elektrycznej. Dzięki temu redukujemy zapotrzebowanie na energię z sieci, ale przede wszystkim zmniejszamy emisję CO₂ aż o 249 ton rocznie. Dążymy również d</w:t>
      </w:r>
      <w:r>
        <w:rPr>
          <w:i/>
        </w:rPr>
        <w:t xml:space="preserve">o tego, aby wykorzystywana przez nas energia była maksymalnie zielona, dlatego na etapie zakupu wybieramy tą certyfikowaną z odnawialnych źródeł </w:t>
      </w:r>
      <w:r>
        <w:t>- podkreśla Mariusz Gajek z FM Logistic</w:t>
      </w:r>
      <w:r>
        <w:rPr>
          <w:i/>
        </w:rPr>
        <w:t>.</w:t>
      </w:r>
    </w:p>
    <w:p w:rsidR="005B70DC" w:rsidRDefault="00CF7758">
      <w:pPr>
        <w:jc w:val="both"/>
      </w:pPr>
      <w:r>
        <w:t xml:space="preserve">Równie istotne są systemy odzysku ciepła, które ograniczają negatywny </w:t>
      </w:r>
      <w:r>
        <w:t>wpływ działalności magazynowej na środowisko. Coraz częściej obiekty przechodzą na ogrzewanie oparte na pompach ciepła, zasilanych energią elektryczną pochodzącą z paneli fotowoltaicznych. Nadwyżki energii produkowanej efektywnie przez pompy ciepła, mogą b</w:t>
      </w:r>
      <w:r>
        <w:t>yć przekazywane do innych miejsc w budynku dzięki integracji i połączeniu sieci grzewczej pomp ciepła z ogrzewaniem z kotłowni. Kluczowe pozostaje także zatrzymywanie wyprodukowanego ciepła wewnątrz obiektu.</w:t>
      </w:r>
    </w:p>
    <w:p w:rsidR="005B70DC" w:rsidRDefault="00CF7758">
      <w:pPr>
        <w:jc w:val="both"/>
      </w:pPr>
      <w:r>
        <w:t>-</w:t>
      </w:r>
      <w:r>
        <w:rPr>
          <w:i/>
        </w:rPr>
        <w:t xml:space="preserve"> Intensywny ruch na platformie logistycznej wią</w:t>
      </w:r>
      <w:r>
        <w:rPr>
          <w:i/>
        </w:rPr>
        <w:t>że się z częstą wymianą powietrza, a tym samym utratą ciepła. Aby ograniczyć straty energetyczne, na platformie w Wiskitkach wdrożyliśmy autorskie rozwiązanie w postaci specjalnych kurtyn doków oraz zastosowaliśmy izolację cieplną podbudowy doków. Dzięki t</w:t>
      </w:r>
      <w:r>
        <w:rPr>
          <w:i/>
        </w:rPr>
        <w:t xml:space="preserve">emu redukujemy ubytki ciepła i poprawiamy komfort pracy </w:t>
      </w:r>
      <w:r>
        <w:t>– mówi Mariusz Gajek.</w:t>
      </w:r>
    </w:p>
    <w:p w:rsidR="005B70DC" w:rsidRDefault="00CF7758">
      <w:pPr>
        <w:jc w:val="both"/>
      </w:pPr>
      <w:r>
        <w:t>Dużą rolę w zarządzaniu energią współczesnych magazynów odgrywają także inteligentne systemy sterowania, które pozwalają nie tylko na bieżące monitorowanie zużycia i kontrolę prz</w:t>
      </w:r>
      <w:r>
        <w:t xml:space="preserve">epływu, ale także na dostosowanie warunków do specyfiki przechowywanych produktów. </w:t>
      </w:r>
    </w:p>
    <w:p w:rsidR="005B70DC" w:rsidRDefault="00CF7758">
      <w:pPr>
        <w:jc w:val="both"/>
      </w:pPr>
      <w:r>
        <w:t>-</w:t>
      </w:r>
      <w:r>
        <w:rPr>
          <w:i/>
        </w:rPr>
        <w:t xml:space="preserve"> Nad optymalizacją pracy naszych obiektów czuwa system BMS, który pozwala na zdalne zarządzanie mediami i ich efektywne wykorzystanie. Dzięki temu rozwiązaniu możliwe jest</w:t>
      </w:r>
      <w:r>
        <w:rPr>
          <w:i/>
        </w:rPr>
        <w:t xml:space="preserve"> ograniczenie zużycia energii nawet o kilkanaście procent rocznie oraz szybka reakcja na wszelkie nieprawidłowości. To narzędzie pozwala nam jednocześnie utrzymywać najwyższe standardy w zakresie parametrów temperatury i wilgotności dla przechowywanych tow</w:t>
      </w:r>
      <w:r>
        <w:rPr>
          <w:i/>
        </w:rPr>
        <w:t xml:space="preserve">arów </w:t>
      </w:r>
      <w:r>
        <w:t>- dodaje Mariusz Gajek.</w:t>
      </w:r>
    </w:p>
    <w:p w:rsidR="005B70DC" w:rsidRDefault="00CF7758">
      <w:pPr>
        <w:jc w:val="both"/>
      </w:pPr>
      <w:bookmarkStart w:id="3" w:name="_heading=h.j0nkx0oecff" w:colFirst="0" w:colLast="0"/>
      <w:bookmarkEnd w:id="3"/>
      <w:r>
        <w:rPr>
          <w:b/>
        </w:rPr>
        <w:t>Certyfikowane magazyny jako realna wartość dla najemców</w:t>
      </w:r>
    </w:p>
    <w:p w:rsidR="005B70DC" w:rsidRDefault="00CF7758">
      <w:pPr>
        <w:jc w:val="both"/>
      </w:pPr>
      <w:bookmarkStart w:id="4" w:name="_heading=h.e9j1ps621val" w:colFirst="0" w:colLast="0"/>
      <w:bookmarkEnd w:id="4"/>
      <w:r>
        <w:t>Udział certyfikowanej powierzchni magazynowej systematycznie rośnie, a głównymi beneficjentami tego trendu są najemcy, zyskujący dostęp do nowoczesnych zrównoważonych obie</w:t>
      </w:r>
      <w:r>
        <w:t>któw, lepiej odpowiadających ich wymaganiom operacyjnym i środowiskowym. Wysoka efektywność energetyczna takich magazynów pozwala im optymalizować koszty działalności poprzez niższe rachunki za media, co przekłada się na wymierne oszczędności w dłuższej pe</w:t>
      </w:r>
      <w:r>
        <w:t>rspektywie. Korzystanie z obiektów zrównoważonych wspiera także proces raportowania – producenci i dystrybutorzy mogą redukować swój ślad węglowy, co znajduje odzwierciedlenie w lepszych wskaźnikach środowiskowych.</w:t>
      </w:r>
    </w:p>
    <w:p w:rsidR="005B70DC" w:rsidRDefault="00CF7758">
      <w:pPr>
        <w:jc w:val="both"/>
        <w:rPr>
          <w:sz w:val="20"/>
          <w:szCs w:val="20"/>
        </w:rPr>
      </w:pPr>
      <w:bookmarkStart w:id="5" w:name="_heading=h.5c3jm7lphb9z" w:colFirst="0" w:colLast="0"/>
      <w:bookmarkEnd w:id="5"/>
      <w:r>
        <w:rPr>
          <w:sz w:val="20"/>
          <w:szCs w:val="20"/>
        </w:rPr>
        <w:t>**</w:t>
      </w:r>
    </w:p>
    <w:p w:rsidR="005B70DC" w:rsidRDefault="00CF7758">
      <w:pPr>
        <w:spacing w:line="240" w:lineRule="auto"/>
        <w:jc w:val="both"/>
        <w:rPr>
          <w:sz w:val="18"/>
          <w:szCs w:val="18"/>
        </w:rPr>
      </w:pPr>
      <w:r>
        <w:rPr>
          <w:b/>
          <w:sz w:val="18"/>
          <w:szCs w:val="18"/>
        </w:rPr>
        <w:t>FM Logistic Central Europe</w:t>
      </w:r>
      <w:r>
        <w:rPr>
          <w:sz w:val="18"/>
          <w:szCs w:val="18"/>
        </w:rPr>
        <w:t xml:space="preserve"> jest części</w:t>
      </w:r>
      <w:r>
        <w:rPr>
          <w:sz w:val="18"/>
          <w:szCs w:val="18"/>
        </w:rPr>
        <w:t>ą międzynarodowej firmy logistycznej FM Logistic i zajmuje się obsługą rynków w Europie Środkowej. Oddziały w Polsce, Czechach, Słowacji i na Węgrzech umożliwiają skuteczną obsługę klientów w regionie.FM Logistic Central Europe oferuje kompleksowe usługi l</w:t>
      </w:r>
      <w:r>
        <w:rPr>
          <w:sz w:val="18"/>
          <w:szCs w:val="18"/>
        </w:rPr>
        <w:t>ogistyczne, takie jak magazynowanie, dystrybucja, transport oraz zarządzanie łańcuchem dostaw. Firma dysponuje łącznie ponad 1 000 000 mkw. powierzchni magazynowej, a także flotą ok. 2 500 pojazdów. Posiada 16 platform logistycznych, 29 magazynów przeładun</w:t>
      </w:r>
      <w:r>
        <w:rPr>
          <w:sz w:val="18"/>
          <w:szCs w:val="18"/>
        </w:rPr>
        <w:t>kowych i zatrudnia ponad 5 000 pracowników. Posiada nowoczesne centra logistyczne, wyposażone w zaawansowane technologie i systemy informatyczne. Dzięki bogatemu doświadczeniu, szerokiemu zakresowi usług i elastycznemu podejściu, FM Logistic Central Europe</w:t>
      </w:r>
      <w:r>
        <w:rPr>
          <w:sz w:val="18"/>
          <w:szCs w:val="18"/>
        </w:rPr>
        <w:t xml:space="preserve"> jest w stanie dostosować się do indywidualnych potrzeb każdego klienta. FM Logistic Central Europe prowadzi działania mające na celu redukcję emisji CO2 oraz minimalizację negatywnego wpływu na środowisko naturalne. Firma stosuje strategie ekologiczne, ta</w:t>
      </w:r>
      <w:r>
        <w:rPr>
          <w:sz w:val="18"/>
          <w:szCs w:val="18"/>
        </w:rPr>
        <w:t>kie jak optymalizacja tras transportowych i wykorzystanie energii odnawialnej.</w:t>
      </w:r>
    </w:p>
    <w:p w:rsidR="005B70DC" w:rsidRDefault="005B70DC">
      <w:pPr>
        <w:jc w:val="both"/>
        <w:rPr>
          <w:rFonts w:ascii="Raleway" w:eastAsia="Raleway" w:hAnsi="Raleway" w:cs="Raleway"/>
          <w:b/>
          <w:i/>
        </w:rPr>
      </w:pPr>
    </w:p>
    <w:p w:rsidR="005B70DC" w:rsidRDefault="00CF7758">
      <w:pPr>
        <w:spacing w:after="0" w:line="240" w:lineRule="auto"/>
        <w:rPr>
          <w:b/>
          <w:sz w:val="20"/>
          <w:szCs w:val="20"/>
        </w:rPr>
      </w:pPr>
      <w:r>
        <w:rPr>
          <w:b/>
          <w:sz w:val="20"/>
          <w:szCs w:val="20"/>
        </w:rPr>
        <w:lastRenderedPageBreak/>
        <w:t>Kontakt dla mediów</w:t>
      </w:r>
    </w:p>
    <w:p w:rsidR="005B70DC" w:rsidRDefault="005B70DC">
      <w:pPr>
        <w:spacing w:after="0" w:line="240" w:lineRule="auto"/>
        <w:rPr>
          <w:sz w:val="20"/>
          <w:szCs w:val="20"/>
        </w:rPr>
      </w:pPr>
    </w:p>
    <w:p w:rsidR="005B70DC" w:rsidRDefault="00CF7758">
      <w:pPr>
        <w:spacing w:after="0" w:line="240" w:lineRule="auto"/>
        <w:rPr>
          <w:sz w:val="20"/>
          <w:szCs w:val="20"/>
        </w:rPr>
      </w:pPr>
      <w:r>
        <w:rPr>
          <w:sz w:val="20"/>
          <w:szCs w:val="20"/>
        </w:rPr>
        <w:t xml:space="preserve">Paweł Skowron </w:t>
      </w:r>
    </w:p>
    <w:p w:rsidR="005B70DC" w:rsidRDefault="00CF7758">
      <w:pPr>
        <w:spacing w:after="0" w:line="240" w:lineRule="auto"/>
        <w:rPr>
          <w:sz w:val="20"/>
          <w:szCs w:val="20"/>
        </w:rPr>
      </w:pPr>
      <w:r>
        <w:rPr>
          <w:sz w:val="20"/>
          <w:szCs w:val="20"/>
        </w:rPr>
        <w:t>Jr Account Executive</w:t>
      </w:r>
    </w:p>
    <w:p w:rsidR="005B70DC" w:rsidRDefault="00CF7758">
      <w:pPr>
        <w:spacing w:after="0" w:line="240" w:lineRule="auto"/>
        <w:rPr>
          <w:sz w:val="20"/>
          <w:szCs w:val="20"/>
        </w:rPr>
      </w:pPr>
      <w:r>
        <w:rPr>
          <w:sz w:val="20"/>
          <w:szCs w:val="20"/>
        </w:rPr>
        <w:t>Tel. + 48 796 699 177</w:t>
      </w:r>
    </w:p>
    <w:p w:rsidR="005B70DC" w:rsidRDefault="00CF7758">
      <w:pPr>
        <w:spacing w:after="0" w:line="240" w:lineRule="auto"/>
        <w:rPr>
          <w:sz w:val="20"/>
          <w:szCs w:val="20"/>
        </w:rPr>
      </w:pPr>
      <w:r>
        <w:rPr>
          <w:sz w:val="20"/>
          <w:szCs w:val="20"/>
        </w:rPr>
        <w:t>E-mail: pawel.skowron@goodonepr.pl</w:t>
      </w:r>
    </w:p>
    <w:sectPr w:rsidR="005B70DC">
      <w:headerReference w:type="default" r:id="rId7"/>
      <w:footerReference w:type="default" r:id="rId8"/>
      <w:pgSz w:w="11906" w:h="16838"/>
      <w:pgMar w:top="1417" w:right="1417"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7758" w:rsidRDefault="00CF7758">
      <w:pPr>
        <w:spacing w:after="0" w:line="240" w:lineRule="auto"/>
      </w:pPr>
      <w:r>
        <w:separator/>
      </w:r>
    </w:p>
  </w:endnote>
  <w:endnote w:type="continuationSeparator" w:id="0">
    <w:p w:rsidR="00CF7758" w:rsidRDefault="00CF7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00"/>
    <w:family w:val="roman"/>
    <w:notTrueType/>
    <w:pitch w:val="default"/>
  </w:font>
  <w:font w:name="Georgia">
    <w:panose1 w:val="02040502050405020303"/>
    <w:charset w:val="00"/>
    <w:family w:val="auto"/>
    <w:pitch w:val="default"/>
  </w:font>
  <w:font w:name="Raleway">
    <w:charset w:val="00"/>
    <w:family w:val="auto"/>
    <w:pitch w:val="default"/>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70DC" w:rsidRDefault="00CF7758">
    <w:pPr>
      <w:pBdr>
        <w:top w:val="nil"/>
        <w:left w:val="nil"/>
        <w:bottom w:val="nil"/>
        <w:right w:val="nil"/>
        <w:between w:val="nil"/>
      </w:pBdr>
      <w:tabs>
        <w:tab w:val="center" w:pos="4536"/>
        <w:tab w:val="right" w:pos="9072"/>
      </w:tabs>
      <w:spacing w:after="0" w:line="240" w:lineRule="auto"/>
      <w:jc w:val="right"/>
      <w:rPr>
        <w:color w:val="000000"/>
      </w:rPr>
    </w:pPr>
    <w:r>
      <w:rPr>
        <w:color w:val="000000"/>
      </w:rPr>
      <w:fldChar w:fldCharType="begin"/>
    </w:r>
    <w:r>
      <w:rPr>
        <w:color w:val="000000"/>
      </w:rPr>
      <w:instrText>PAGE</w:instrText>
    </w:r>
    <w:r w:rsidR="003A0E6E">
      <w:rPr>
        <w:color w:val="000000"/>
      </w:rPr>
      <w:fldChar w:fldCharType="separate"/>
    </w:r>
    <w:r w:rsidR="003A0E6E">
      <w:rPr>
        <w:noProof/>
        <w:color w:val="000000"/>
      </w:rPr>
      <w:t>2</w:t>
    </w:r>
    <w:r>
      <w:rPr>
        <w:color w:val="000000"/>
      </w:rPr>
      <w:fldChar w:fldCharType="end"/>
    </w:r>
  </w:p>
  <w:p w:rsidR="005B70DC" w:rsidRDefault="005B70DC">
    <w:pPr>
      <w:pBdr>
        <w:top w:val="nil"/>
        <w:left w:val="nil"/>
        <w:bottom w:val="nil"/>
        <w:right w:val="nil"/>
        <w:between w:val="nil"/>
      </w:pBdr>
      <w:tabs>
        <w:tab w:val="center" w:pos="4536"/>
        <w:tab w:val="right" w:pos="9072"/>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7758" w:rsidRDefault="00CF7758">
      <w:pPr>
        <w:spacing w:after="0" w:line="240" w:lineRule="auto"/>
      </w:pPr>
      <w:r>
        <w:separator/>
      </w:r>
    </w:p>
  </w:footnote>
  <w:footnote w:type="continuationSeparator" w:id="0">
    <w:p w:rsidR="00CF7758" w:rsidRDefault="00CF7758">
      <w:pPr>
        <w:spacing w:after="0" w:line="240" w:lineRule="auto"/>
      </w:pPr>
      <w:r>
        <w:continuationSeparator/>
      </w:r>
    </w:p>
  </w:footnote>
  <w:footnote w:id="1">
    <w:p w:rsidR="005B70DC" w:rsidRDefault="00CF7758">
      <w:pPr>
        <w:spacing w:after="0" w:line="240" w:lineRule="auto"/>
        <w:rPr>
          <w:sz w:val="20"/>
          <w:szCs w:val="20"/>
        </w:rPr>
      </w:pPr>
      <w:r>
        <w:rPr>
          <w:vertAlign w:val="superscript"/>
        </w:rPr>
        <w:footnoteRef/>
      </w:r>
      <w:r>
        <w:rPr>
          <w:sz w:val="20"/>
          <w:szCs w:val="20"/>
        </w:rPr>
        <w:t xml:space="preserve"> Raport Polskiego Stowarzyszenia Budownictwa Ekologicznego PLGBC „ Zrównoważone certyfikowane budynki 2025”</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70DC" w:rsidRDefault="00CF7758">
    <w:pPr>
      <w:pBdr>
        <w:top w:val="nil"/>
        <w:left w:val="nil"/>
        <w:bottom w:val="nil"/>
        <w:right w:val="nil"/>
        <w:between w:val="nil"/>
      </w:pBdr>
      <w:tabs>
        <w:tab w:val="center" w:pos="4536"/>
        <w:tab w:val="right" w:pos="9072"/>
      </w:tabs>
      <w:spacing w:after="0" w:line="240" w:lineRule="auto"/>
      <w:rPr>
        <w:color w:val="000000"/>
      </w:rPr>
    </w:pPr>
    <w:r>
      <w:rPr>
        <w:noProof/>
        <w:color w:val="000000"/>
        <w:lang w:val="pl-PL"/>
      </w:rPr>
      <w:drawing>
        <wp:inline distT="0" distB="0" distL="0" distR="0">
          <wp:extent cx="1515110" cy="641350"/>
          <wp:effectExtent l="0" t="0" r="0" b="0"/>
          <wp:docPr id="81010644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515110" cy="641350"/>
                  </a:xfrm>
                  <a:prstGeom prst="rect">
                    <a:avLst/>
                  </a:prstGeom>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70DC"/>
    <w:rsid w:val="003A0E6E"/>
    <w:rsid w:val="005B70DC"/>
    <w:rsid w:val="00CF775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01F995"/>
  <w15:docId w15:val="{EB9026A3-86A4-40C4-8537-9860BE340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pl" w:eastAsia="pl-P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style>
  <w:style w:type="paragraph" w:styleId="Nagwek1">
    <w:name w:val="heading 1"/>
    <w:basedOn w:val="Normalny"/>
    <w:next w:val="Normalny"/>
    <w:pPr>
      <w:keepNext/>
      <w:keepLines/>
      <w:spacing w:before="480" w:after="120"/>
      <w:outlineLvl w:val="0"/>
    </w:pPr>
    <w:rPr>
      <w:b/>
      <w:sz w:val="48"/>
      <w:szCs w:val="48"/>
    </w:rPr>
  </w:style>
  <w:style w:type="paragraph" w:styleId="Nagwek2">
    <w:name w:val="heading 2"/>
    <w:basedOn w:val="Normalny"/>
    <w:next w:val="Normalny"/>
    <w:pPr>
      <w:keepNext/>
      <w:keepLines/>
      <w:spacing w:before="360" w:after="80"/>
      <w:outlineLvl w:val="1"/>
    </w:pPr>
    <w:rPr>
      <w:b/>
      <w:sz w:val="36"/>
      <w:szCs w:val="36"/>
    </w:rPr>
  </w:style>
  <w:style w:type="paragraph" w:styleId="Nagwek3">
    <w:name w:val="heading 3"/>
    <w:basedOn w:val="Normalny"/>
    <w:next w:val="Normalny"/>
    <w:pPr>
      <w:keepNext/>
      <w:keepLines/>
      <w:spacing w:before="280" w:after="80"/>
      <w:outlineLvl w:val="2"/>
    </w:pPr>
    <w:rPr>
      <w:b/>
      <w:sz w:val="28"/>
      <w:szCs w:val="28"/>
    </w:rPr>
  </w:style>
  <w:style w:type="paragraph" w:styleId="Nagwek4">
    <w:name w:val="heading 4"/>
    <w:basedOn w:val="Normalny"/>
    <w:next w:val="Normalny"/>
    <w:pPr>
      <w:keepNext/>
      <w:keepLines/>
      <w:spacing w:before="240" w:after="40"/>
      <w:outlineLvl w:val="3"/>
    </w:pPr>
    <w:rPr>
      <w:b/>
      <w:sz w:val="24"/>
      <w:szCs w:val="24"/>
    </w:rPr>
  </w:style>
  <w:style w:type="paragraph" w:styleId="Nagwek5">
    <w:name w:val="heading 5"/>
    <w:basedOn w:val="Normalny"/>
    <w:next w:val="Normalny"/>
    <w:pPr>
      <w:keepNext/>
      <w:keepLines/>
      <w:spacing w:before="220" w:after="40"/>
      <w:outlineLvl w:val="4"/>
    </w:pPr>
    <w:rPr>
      <w:b/>
    </w:rPr>
  </w:style>
  <w:style w:type="paragraph" w:styleId="Nagwek6">
    <w:name w:val="heading 6"/>
    <w:basedOn w:val="Normalny"/>
    <w:next w:val="Normalny"/>
    <w:pPr>
      <w:keepNext/>
      <w:keepLines/>
      <w:spacing w:before="200" w:after="40"/>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ytu">
    <w:name w:val="Title"/>
    <w:basedOn w:val="Normalny"/>
    <w:next w:val="Normalny"/>
    <w:pPr>
      <w:keepNext/>
      <w:keepLines/>
      <w:spacing w:before="480" w:after="120"/>
    </w:pPr>
    <w:rPr>
      <w:b/>
      <w:sz w:val="72"/>
      <w:szCs w:val="72"/>
    </w:rPr>
  </w:style>
  <w:style w:type="table" w:customStyle="1" w:styleId="TableNormal0">
    <w:name w:val="TableNormal"/>
    <w:tblPr>
      <w:tblCellMar>
        <w:top w:w="100" w:type="dxa"/>
        <w:left w:w="100" w:type="dxa"/>
        <w:bottom w:w="100" w:type="dxa"/>
        <w:right w:w="100" w:type="dxa"/>
      </w:tblCellMar>
    </w:tblPr>
  </w:style>
  <w:style w:type="table" w:customStyle="1" w:styleId="TableNormal1">
    <w:name w:val="Table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table" w:customStyle="1" w:styleId="TableNormal9">
    <w:name w:val="Table Normal"/>
    <w:tblPr>
      <w:tblCellMar>
        <w:top w:w="0" w:type="dxa"/>
        <w:left w:w="0" w:type="dxa"/>
        <w:bottom w:w="0" w:type="dxa"/>
        <w:right w:w="0" w:type="dxa"/>
      </w:tblCellMar>
    </w:tblPr>
  </w:style>
  <w:style w:type="paragraph" w:styleId="Nagwek">
    <w:name w:val="header"/>
    <w:link w:val="NagwekZnak"/>
    <w:uiPriority w:val="99"/>
    <w:unhideWhenUsed/>
    <w:rsid w:val="00AB5DE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B5DEE"/>
  </w:style>
  <w:style w:type="paragraph" w:styleId="Stopka">
    <w:name w:val="footer"/>
    <w:link w:val="StopkaZnak"/>
    <w:uiPriority w:val="99"/>
    <w:unhideWhenUsed/>
    <w:rsid w:val="00AB5DE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B5DEE"/>
  </w:style>
  <w:style w:type="character" w:styleId="Hipercze">
    <w:name w:val="Hyperlink"/>
    <w:basedOn w:val="Domylnaczcionkaakapitu"/>
    <w:uiPriority w:val="99"/>
    <w:unhideWhenUsed/>
    <w:rsid w:val="00AB5DEE"/>
    <w:rPr>
      <w:color w:val="0000FF"/>
      <w:u w:val="single"/>
    </w:rPr>
  </w:style>
  <w:style w:type="paragraph" w:styleId="Tekstprzypisudolnego">
    <w:name w:val="footnote text"/>
    <w:link w:val="TekstprzypisudolnegoZnak"/>
    <w:uiPriority w:val="99"/>
    <w:semiHidden/>
    <w:unhideWhenUsed/>
    <w:rsid w:val="00E35995"/>
    <w:pPr>
      <w:spacing w:after="0" w:line="240" w:lineRule="auto"/>
    </w:pPr>
    <w:rPr>
      <w:rFonts w:asciiTheme="minorHAnsi" w:eastAsiaTheme="minorHAnsi" w:hAnsiTheme="minorHAnsi" w:cstheme="minorBidi"/>
      <w:kern w:val="2"/>
      <w:sz w:val="20"/>
      <w:szCs w:val="20"/>
      <w:lang w:eastAsia="en-US"/>
    </w:rPr>
  </w:style>
  <w:style w:type="character" w:customStyle="1" w:styleId="TekstprzypisudolnegoZnak">
    <w:name w:val="Tekst przypisu dolnego Znak"/>
    <w:basedOn w:val="Domylnaczcionkaakapitu"/>
    <w:link w:val="Tekstprzypisudolnego"/>
    <w:uiPriority w:val="99"/>
    <w:semiHidden/>
    <w:rsid w:val="00E35995"/>
    <w:rPr>
      <w:rFonts w:asciiTheme="minorHAnsi" w:eastAsiaTheme="minorHAnsi" w:hAnsiTheme="minorHAnsi" w:cstheme="minorBidi"/>
      <w:kern w:val="2"/>
      <w:sz w:val="20"/>
      <w:szCs w:val="20"/>
      <w:lang w:eastAsia="en-US"/>
    </w:rPr>
  </w:style>
  <w:style w:type="character" w:styleId="Odwoanieprzypisudolnego">
    <w:name w:val="footnote reference"/>
    <w:basedOn w:val="Domylnaczcionkaakapitu"/>
    <w:uiPriority w:val="99"/>
    <w:semiHidden/>
    <w:unhideWhenUsed/>
    <w:rsid w:val="00E35995"/>
    <w:rPr>
      <w:vertAlign w:val="superscript"/>
    </w:rPr>
  </w:style>
  <w:style w:type="paragraph" w:styleId="Tekstdymka">
    <w:name w:val="Balloon Text"/>
    <w:link w:val="TekstdymkaZnak"/>
    <w:uiPriority w:val="99"/>
    <w:semiHidden/>
    <w:unhideWhenUsed/>
    <w:rsid w:val="00AC556E"/>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C556E"/>
    <w:rPr>
      <w:rFonts w:ascii="Segoe UI" w:hAnsi="Segoe UI" w:cs="Segoe UI"/>
      <w:sz w:val="18"/>
      <w:szCs w:val="18"/>
    </w:rPr>
  </w:style>
  <w:style w:type="character" w:styleId="Odwoaniedokomentarza">
    <w:name w:val="annotation reference"/>
    <w:basedOn w:val="Domylnaczcionkaakapitu"/>
    <w:uiPriority w:val="99"/>
    <w:semiHidden/>
    <w:unhideWhenUsed/>
    <w:rsid w:val="0028526B"/>
    <w:rPr>
      <w:sz w:val="16"/>
      <w:szCs w:val="16"/>
    </w:rPr>
  </w:style>
  <w:style w:type="paragraph" w:styleId="Tekstkomentarza">
    <w:name w:val="annotation text"/>
    <w:link w:val="TekstkomentarzaZnak"/>
    <w:uiPriority w:val="99"/>
    <w:semiHidden/>
    <w:unhideWhenUsed/>
    <w:rsid w:val="0028526B"/>
    <w:pPr>
      <w:spacing w:line="240" w:lineRule="auto"/>
    </w:pPr>
    <w:rPr>
      <w:rFonts w:asciiTheme="minorHAnsi" w:eastAsiaTheme="minorHAnsi" w:hAnsiTheme="minorHAnsi" w:cstheme="minorBidi"/>
      <w:sz w:val="20"/>
      <w:szCs w:val="20"/>
      <w:lang w:eastAsia="en-US"/>
    </w:rPr>
  </w:style>
  <w:style w:type="character" w:customStyle="1" w:styleId="TekstkomentarzaZnak">
    <w:name w:val="Tekst komentarza Znak"/>
    <w:basedOn w:val="Domylnaczcionkaakapitu"/>
    <w:link w:val="Tekstkomentarza"/>
    <w:uiPriority w:val="99"/>
    <w:semiHidden/>
    <w:rsid w:val="0028526B"/>
    <w:rPr>
      <w:rFonts w:asciiTheme="minorHAnsi" w:eastAsiaTheme="minorHAnsi" w:hAnsiTheme="minorHAnsi" w:cstheme="minorBidi"/>
      <w:sz w:val="20"/>
      <w:szCs w:val="20"/>
      <w:lang w:eastAsia="en-US"/>
    </w:rPr>
  </w:style>
  <w:style w:type="paragraph" w:styleId="Tematkomentarza">
    <w:name w:val="annotation subject"/>
    <w:basedOn w:val="Tekstkomentarza"/>
    <w:next w:val="Tekstkomentarza"/>
    <w:link w:val="TematkomentarzaZnak"/>
    <w:uiPriority w:val="99"/>
    <w:semiHidden/>
    <w:unhideWhenUsed/>
    <w:rsid w:val="0028526B"/>
    <w:rPr>
      <w:rFonts w:ascii="Calibri" w:eastAsia="Calibri" w:hAnsi="Calibri" w:cs="Calibri"/>
      <w:b/>
      <w:bCs/>
      <w:lang w:eastAsia="pl-PL"/>
    </w:rPr>
  </w:style>
  <w:style w:type="character" w:customStyle="1" w:styleId="TematkomentarzaZnak">
    <w:name w:val="Temat komentarza Znak"/>
    <w:basedOn w:val="TekstkomentarzaZnak"/>
    <w:link w:val="Tematkomentarza"/>
    <w:uiPriority w:val="99"/>
    <w:semiHidden/>
    <w:rsid w:val="0028526B"/>
    <w:rPr>
      <w:rFonts w:asciiTheme="minorHAnsi" w:eastAsiaTheme="minorHAnsi" w:hAnsiTheme="minorHAnsi" w:cstheme="minorBidi"/>
      <w:b/>
      <w:bCs/>
      <w:sz w:val="20"/>
      <w:szCs w:val="20"/>
      <w:lang w:eastAsia="en-US"/>
    </w:rPr>
  </w:style>
  <w:style w:type="paragraph" w:styleId="Tekstprzypisukocowego">
    <w:name w:val="endnote text"/>
    <w:link w:val="TekstprzypisukocowegoZnak"/>
    <w:uiPriority w:val="99"/>
    <w:semiHidden/>
    <w:unhideWhenUsed/>
    <w:rsid w:val="0028526B"/>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28526B"/>
    <w:rPr>
      <w:sz w:val="20"/>
      <w:szCs w:val="20"/>
    </w:rPr>
  </w:style>
  <w:style w:type="character" w:styleId="Odwoanieprzypisukocowego">
    <w:name w:val="endnote reference"/>
    <w:basedOn w:val="Domylnaczcionkaakapitu"/>
    <w:uiPriority w:val="99"/>
    <w:semiHidden/>
    <w:unhideWhenUsed/>
    <w:rsid w:val="0028526B"/>
    <w:rPr>
      <w:vertAlign w:val="superscript"/>
    </w:rPr>
  </w:style>
  <w:style w:type="paragraph" w:styleId="Poprawka">
    <w:name w:val="Revision"/>
    <w:hidden/>
    <w:uiPriority w:val="99"/>
    <w:semiHidden/>
    <w:rsid w:val="000D648C"/>
    <w:pPr>
      <w:spacing w:after="0" w:line="240" w:lineRule="auto"/>
    </w:pPr>
  </w:style>
  <w:style w:type="paragraph" w:styleId="Akapitzlist">
    <w:name w:val="List Paragraph"/>
    <w:uiPriority w:val="34"/>
    <w:qFormat/>
    <w:rsid w:val="004F406E"/>
    <w:pPr>
      <w:ind w:left="720"/>
      <w:contextualSpacing/>
    </w:pPr>
  </w:style>
  <w:style w:type="table" w:styleId="Tabela-Siatka">
    <w:name w:val="Table Grid"/>
    <w:basedOn w:val="Standardowy"/>
    <w:uiPriority w:val="39"/>
    <w:rsid w:val="00B72FC2"/>
    <w:pPr>
      <w:spacing w:after="0"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dtytu">
    <w:name w:val="Subtitle"/>
    <w:basedOn w:val="Normalny"/>
    <w:next w:val="Normalny"/>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EQHTyoVXQSLBj1pnI41Y+pF9XKg==">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</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997</Words>
  <Characters>5983</Characters>
  <Application>Microsoft Office Word</Application>
  <DocSecurity>0</DocSecurity>
  <Lines>49</Lines>
  <Paragraphs>13</Paragraphs>
  <ScaleCrop>false</ScaleCrop>
  <Company/>
  <LinksUpToDate>false</LinksUpToDate>
  <CharactersWithSpaces>6967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Monika Perdjon</dc:creator>
  <cp:lastModifiedBy>PR2024</cp:lastModifiedBy>
  <cp:revision>2</cp:revision>
  <dcterms:created xsi:type="dcterms:W3CDTF">2024-02-06T11:43:00Z</dcterms:created>
  <dcterms:modified xsi:type="dcterms:W3CDTF">2025-09-16T07:16:00Z</dcterms:modified>
</cp:coreProperties>
</file>