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0"/>
          <w:szCs w:val="20"/>
        </w:rPr>
      </w:pPr>
      <w:r w:rsidDel="00000000" w:rsidR="00000000" w:rsidRPr="00000000">
        <w:rPr>
          <w:rtl w:val="0"/>
        </w:rPr>
      </w:r>
    </w:p>
    <w:p w:rsidR="00000000" w:rsidDel="00000000" w:rsidP="00000000" w:rsidRDefault="00000000" w:rsidRPr="00000000" w14:paraId="00000002">
      <w:pPr>
        <w:spacing w:line="240" w:lineRule="auto"/>
        <w:jc w:val="both"/>
        <w:rPr>
          <w:b w:val="1"/>
          <w:sz w:val="20"/>
          <w:szCs w:val="20"/>
        </w:rPr>
      </w:pPr>
      <w:r w:rsidDel="00000000" w:rsidR="00000000" w:rsidRPr="00000000">
        <w:rPr>
          <w:b w:val="1"/>
          <w:sz w:val="20"/>
          <w:szCs w:val="20"/>
          <w:rtl w:val="0"/>
        </w:rPr>
        <w:t xml:space="preserve">Modelowa modernizacja w Gdańsku. Centrum Biurowe Neptun przechodzi efektowną i efektywną rewitalizację. Powstaje nowa jakość z widokiem na morze.</w:t>
      </w:r>
    </w:p>
    <w:p w:rsidR="00000000" w:rsidDel="00000000" w:rsidP="00000000" w:rsidRDefault="00000000" w:rsidRPr="00000000" w14:paraId="00000003">
      <w:pPr>
        <w:spacing w:line="240" w:lineRule="auto"/>
        <w:jc w:val="both"/>
        <w:rPr>
          <w:b w:val="1"/>
          <w:sz w:val="20"/>
          <w:szCs w:val="20"/>
        </w:rPr>
      </w:pPr>
      <w:r w:rsidDel="00000000" w:rsidR="00000000" w:rsidRPr="00000000">
        <w:rPr>
          <w:b w:val="1"/>
          <w:sz w:val="20"/>
          <w:szCs w:val="20"/>
          <w:rtl w:val="0"/>
        </w:rPr>
        <w:t xml:space="preserve">Rozpoczęła się modernizacja Centrum Biurowego Neptun – jednego z najbardziej rozpoznawalnych biurowców Trójmiasta. Wymiana kluczowych systemów budynkowych oraz nowoczesne, funkcjonalne lobby podniosą standard i atrakcyjność obiektu dla najemców zapewniając m.in. większy komfort pracy, podniesie standardu ESG oraz efektywności energetycznej budynku. Zakończenie prac planowane jest na koniec IV kw. 2025 roku. Właściciel, spółka zarządzana przez CBRE Investment Management (CBRE IM), odpowiada tym samym na dynamicznie zmieniające się potrzeby rynku oraz rosnące wymagania w zakresie energooszczędności, well-beingu użytkowników oraz oddziaływania na środowisko. Za zarządzanie budynkiem i kompleksowe prace modernizacyjne odpowiada międzynarodowa firma doradcza Cushman &amp; Wakefield.</w:t>
      </w:r>
    </w:p>
    <w:p w:rsidR="00000000" w:rsidDel="00000000" w:rsidP="00000000" w:rsidRDefault="00000000" w:rsidRPr="00000000" w14:paraId="00000004">
      <w:pPr>
        <w:spacing w:line="240" w:lineRule="auto"/>
        <w:rPr>
          <w:b w:val="1"/>
          <w:sz w:val="20"/>
          <w:szCs w:val="20"/>
        </w:rPr>
      </w:pPr>
      <w:r w:rsidDel="00000000" w:rsidR="00000000" w:rsidRPr="00000000">
        <w:rPr>
          <w:b w:val="1"/>
          <w:sz w:val="20"/>
          <w:szCs w:val="20"/>
          <w:rtl w:val="0"/>
        </w:rPr>
        <w:t xml:space="preserve">Ponadczasowa bryła z nową energią</w:t>
      </w:r>
    </w:p>
    <w:p w:rsidR="00000000" w:rsidDel="00000000" w:rsidP="00000000" w:rsidRDefault="00000000" w:rsidRPr="00000000" w14:paraId="00000005">
      <w:pPr>
        <w:spacing w:line="240" w:lineRule="auto"/>
        <w:jc w:val="both"/>
        <w:rPr>
          <w:sz w:val="20"/>
          <w:szCs w:val="20"/>
        </w:rPr>
      </w:pPr>
      <w:r w:rsidDel="00000000" w:rsidR="00000000" w:rsidRPr="00000000">
        <w:rPr>
          <w:sz w:val="20"/>
          <w:szCs w:val="20"/>
          <w:rtl w:val="0"/>
        </w:rPr>
        <w:t xml:space="preserve">Zlokalizowany przy al. Grunwaldzkiej 103a, w samym sercu Wrzeszcza, 18-piętrowy Neptun wyróżnia się nie tylko wyjątkowymi widokami na panoramę Gdańska i morze, ale i świetną dostępnością komunikacyjną – w bezpośrednim sąsiedztwie znajdują się przystanki autobusowe i tramwajowe, a zaledwie 300 m dalej stacja SKM, PKM i PKP Gdańsk Wrzeszcz. Z wyższych pięter budynku rozciąga się widok na Zatokę Gdańską i panoramę miasta. Neptun, oddany do użytku w 2014 roku, posiada certyfikat BREEAM In-Use (Asset Performance) na poziomie Excellent, a jego ponadczasowa architektura sprawia, że doskonale wpisuje się w miejską tkankę. Teraz przechodzi modernizację, która otworzy przed najemcami nowe możliwości i zapewni nową, jeszcze wyższą jakość przestrzeni.</w:t>
      </w:r>
    </w:p>
    <w:p w:rsidR="00000000" w:rsidDel="00000000" w:rsidP="00000000" w:rsidRDefault="00000000" w:rsidRPr="00000000" w14:paraId="00000006">
      <w:pPr>
        <w:spacing w:line="240" w:lineRule="auto"/>
        <w:jc w:val="both"/>
        <w:rPr>
          <w:sz w:val="20"/>
          <w:szCs w:val="20"/>
        </w:rPr>
      </w:pPr>
      <w:r w:rsidDel="00000000" w:rsidR="00000000" w:rsidRPr="00000000">
        <w:rPr>
          <w:i w:val="1"/>
          <w:sz w:val="20"/>
          <w:szCs w:val="20"/>
          <w:rtl w:val="0"/>
        </w:rPr>
        <w:t xml:space="preserve">Neptun to ikona biurowa Gdańska, której atuty – lokalizacja, unikalne widoki i ponadczasowa bryła – chcemy uzupełnić o nowoczesne rozwiązania odpowiadające na oczekiwania najemców i wymogi ESG. Dzięki modernizacji budynek zyska na atrakcyjności, jak również będzie też gotowy na wyzwania i szybko zmieniające się potrzeby jego użytkowników</w:t>
      </w:r>
      <w:r w:rsidDel="00000000" w:rsidR="00000000" w:rsidRPr="00000000">
        <w:rPr>
          <w:sz w:val="20"/>
          <w:szCs w:val="20"/>
          <w:rtl w:val="0"/>
        </w:rPr>
        <w:t xml:space="preserve"> – mówi </w:t>
      </w:r>
      <w:r w:rsidDel="00000000" w:rsidR="00000000" w:rsidRPr="00000000">
        <w:rPr>
          <w:b w:val="1"/>
          <w:sz w:val="20"/>
          <w:szCs w:val="20"/>
          <w:rtl w:val="0"/>
        </w:rPr>
        <w:t xml:space="preserve">Maria Pustułka, Asset Manager, CBRE Investment Management</w:t>
      </w:r>
      <w:r w:rsidDel="00000000" w:rsidR="00000000" w:rsidRPr="00000000">
        <w:rPr>
          <w:sz w:val="20"/>
          <w:szCs w:val="20"/>
          <w:rtl w:val="0"/>
        </w:rPr>
        <w:t xml:space="preserve">.</w:t>
      </w:r>
    </w:p>
    <w:p w:rsidR="00000000" w:rsidDel="00000000" w:rsidP="00000000" w:rsidRDefault="00000000" w:rsidRPr="00000000" w14:paraId="00000007">
      <w:pPr>
        <w:spacing w:line="240" w:lineRule="auto"/>
        <w:jc w:val="both"/>
        <w:rPr>
          <w:b w:val="1"/>
          <w:sz w:val="20"/>
          <w:szCs w:val="20"/>
        </w:rPr>
      </w:pPr>
      <w:r w:rsidDel="00000000" w:rsidR="00000000" w:rsidRPr="00000000">
        <w:rPr>
          <w:b w:val="1"/>
          <w:sz w:val="20"/>
          <w:szCs w:val="20"/>
          <w:rtl w:val="0"/>
        </w:rPr>
        <w:t xml:space="preserve">Nowa odsłona Neptuna – estetyka, funkcjonalność i odpowiedzialność za środowisko</w:t>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Planowana przebudowa obejmuje, oprócz odświeżenia stref wspólnych, także wdrożenie rozwiązań technologicznych podnoszących komfort użytkowania i efektywność energetyczną. Modernizacja, w przeciwieństwie do wyburzeń i nowych realizacji, pozwala znacząco zmniejszyć ślad węglowy inwestycji, przy jednoczesnym zapewnieniu standardu odpowiadającego nowym realiom pracy.</w:t>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Pozytywne zmiany wymagają dobrego przygotowania i współpracy. Przez ponad pół roku trwały intensywne prace nad projektem – od spotkań warsztatowych, przez tworzenie wizualizacji, aż po wybór rozwiązań technicznych i materiałów. Celem było stworzenie przestrzeni, która będzie reprezentacyjną wizytówką budynku oraz pozostanie funkcjonalna, trwała i przyjazna użytkownikom na długie lata.</w:t>
      </w:r>
    </w:p>
    <w:p w:rsidR="00000000" w:rsidDel="00000000" w:rsidP="00000000" w:rsidRDefault="00000000" w:rsidRPr="00000000" w14:paraId="0000000A">
      <w:pPr>
        <w:spacing w:line="240" w:lineRule="auto"/>
        <w:jc w:val="both"/>
        <w:rPr>
          <w:sz w:val="20"/>
          <w:szCs w:val="20"/>
        </w:rPr>
      </w:pPr>
      <w:r w:rsidDel="00000000" w:rsidR="00000000" w:rsidRPr="00000000">
        <w:rPr>
          <w:i w:val="1"/>
          <w:sz w:val="20"/>
          <w:szCs w:val="20"/>
          <w:rtl w:val="0"/>
        </w:rPr>
        <w:t xml:space="preserve">Od początku zależało nam na stworzeniu lobby, które będzie jasne, otwarte i ponadczasowe, a jednocześnie zrealizowane z poszanowaniem środowiska. Dzięki formule Design &amp; Build i bliskiej współpracy z właścicielem mogliśmy wypracować rozwiązania, które łączą design z odpowiedzialnością. Przebudowa Centrum Biurowego Neptun będzie dobrym benchmarkiem dla innych ponad 10-letnich obiektów</w:t>
      </w:r>
      <w:r w:rsidDel="00000000" w:rsidR="00000000" w:rsidRPr="00000000">
        <w:rPr>
          <w:sz w:val="20"/>
          <w:szCs w:val="20"/>
          <w:rtl w:val="0"/>
        </w:rPr>
        <w:t xml:space="preserve"> – podkreśla </w:t>
      </w:r>
      <w:r w:rsidDel="00000000" w:rsidR="00000000" w:rsidRPr="00000000">
        <w:rPr>
          <w:b w:val="1"/>
          <w:sz w:val="20"/>
          <w:szCs w:val="20"/>
          <w:rtl w:val="0"/>
        </w:rPr>
        <w:t xml:space="preserve">Bogumiła Kompowska, Head of Design &amp; Build Poland, Project &amp; Development Services, Cushman &amp; Wakefield</w:t>
      </w:r>
      <w:r w:rsidDel="00000000" w:rsidR="00000000" w:rsidRPr="00000000">
        <w:rPr>
          <w:sz w:val="20"/>
          <w:szCs w:val="20"/>
          <w:rtl w:val="0"/>
        </w:rPr>
        <w:t xml:space="preserve">.</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Zmieniona kolorystyka, nowe elementy dekoracyjne i rozjaśniona przestrzeń sprawią, że lobby Neptuna zyska bardziej otwartą i gościnną atmosferę. W projekcie Cushman &amp; Wakefield wykorzystał wyłącznie materiały najwyższej jakości – granit na posadzkach, płyty włókno-cementowe oraz tapetę ryflowaną, które zapewniają elegancję i trwałość.</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rtl w:val="0"/>
        </w:rPr>
        <w:t xml:space="preserve">Jednym z najbardziej spektakularnych elementów nowej aranżacji będzie instalacja świetlna marki Kriska Decor – wykonana z łańcuszków z anodyzowanego aluminium, zwieszonych z imponująco wysokiego sufitu lobby. To rozwiązanie, znane z realizacji światowej klasy projektantów, takich jak Patricia Urquiola czy Philippe Starck, nada przestrzeni unikalny, artystyczny charakter.</w:t>
      </w:r>
    </w:p>
    <w:p w:rsidR="00000000" w:rsidDel="00000000" w:rsidP="00000000" w:rsidRDefault="00000000" w:rsidRPr="00000000" w14:paraId="0000000D">
      <w:pPr>
        <w:spacing w:line="240" w:lineRule="auto"/>
        <w:jc w:val="both"/>
        <w:rPr>
          <w:b w:val="1"/>
          <w:sz w:val="20"/>
          <w:szCs w:val="20"/>
        </w:rPr>
      </w:pPr>
      <w:r w:rsidDel="00000000" w:rsidR="00000000" w:rsidRPr="00000000">
        <w:rPr>
          <w:b w:val="1"/>
          <w:sz w:val="20"/>
          <w:szCs w:val="20"/>
          <w:rtl w:val="0"/>
        </w:rPr>
        <w:t xml:space="preserve">Bez marnotrawstwa i z myślą o przyszłości</w:t>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Trwająca modernizacja została zaplanowana w duchu zrównoważonego rozwoju. Zespół projektowy zdecydował się zachować jak najwięcej istniejących elementów – w tym oryginalną posadzkę granitową – co pozwoli ograniczyć zużycie nowych materiałów i realnie zmniejszyć ślad węglowy inwestycji. To podejście udowadnia, że nowoczesny design i troska o środowisko mogą iść w parze.</w:t>
      </w:r>
    </w:p>
    <w:p w:rsidR="00000000" w:rsidDel="00000000" w:rsidP="00000000" w:rsidRDefault="00000000" w:rsidRPr="00000000" w14:paraId="0000000F">
      <w:pPr>
        <w:spacing w:line="240" w:lineRule="auto"/>
        <w:jc w:val="both"/>
        <w:rPr>
          <w:sz w:val="20"/>
          <w:szCs w:val="20"/>
        </w:rPr>
      </w:pPr>
      <w:r w:rsidDel="00000000" w:rsidR="00000000" w:rsidRPr="00000000">
        <w:rPr>
          <w:i w:val="1"/>
          <w:sz w:val="20"/>
          <w:szCs w:val="20"/>
          <w:rtl w:val="0"/>
        </w:rPr>
        <w:t xml:space="preserve">Nowe lobby Neptuna stanie się nie tylko wizytówką budynku, ale także miejscem, które zaprasza, inspiruje i podkreśla prestiż lokalizacji. Modernizacja pokazuje, że dzięki partnerskiej współpracy, odważnym decyzjom i dbałości o detale można stworzyć przestrzeń, która łączy estetykę, funkcjonalność i odpowiedzialność. Nie trzeba budować od nowa, żeby stworzyć nową jakość nieruchomości</w:t>
      </w:r>
      <w:r w:rsidDel="00000000" w:rsidR="00000000" w:rsidRPr="00000000">
        <w:rPr>
          <w:sz w:val="20"/>
          <w:szCs w:val="20"/>
          <w:rtl w:val="0"/>
        </w:rPr>
        <w:t xml:space="preserve"> – tłumaczy </w:t>
      </w:r>
      <w:r w:rsidDel="00000000" w:rsidR="00000000" w:rsidRPr="00000000">
        <w:rPr>
          <w:b w:val="1"/>
          <w:sz w:val="20"/>
          <w:szCs w:val="20"/>
          <w:rtl w:val="0"/>
        </w:rPr>
        <w:t xml:space="preserve">Dorota Piątek, Property Manager, Asset Services EMEA, Cushman &amp; Wakefield</w:t>
      </w:r>
      <w:r w:rsidDel="00000000" w:rsidR="00000000" w:rsidRPr="00000000">
        <w:rPr>
          <w:sz w:val="20"/>
          <w:szCs w:val="20"/>
          <w:rtl w:val="0"/>
        </w:rPr>
        <w:t xml:space="preserve">.</w:t>
      </w:r>
    </w:p>
    <w:p w:rsidR="00000000" w:rsidDel="00000000" w:rsidP="00000000" w:rsidRDefault="00000000" w:rsidRPr="00000000" w14:paraId="00000010">
      <w:pPr>
        <w:spacing w:line="240" w:lineRule="auto"/>
        <w:jc w:val="both"/>
        <w:rPr>
          <w:b w:val="1"/>
          <w:sz w:val="20"/>
          <w:szCs w:val="20"/>
        </w:rPr>
      </w:pPr>
      <w:r w:rsidDel="00000000" w:rsidR="00000000" w:rsidRPr="00000000">
        <w:rPr>
          <w:b w:val="1"/>
          <w:sz w:val="20"/>
          <w:szCs w:val="20"/>
          <w:rtl w:val="0"/>
        </w:rPr>
        <w:t xml:space="preserve">Technologiczny upgrade da realną zmianę</w:t>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Nowemu projektowi lobby towarzyszy wymiana kluczowych dla zarządzania i korzystania z obiektu</w:t>
      </w:r>
      <w:r w:rsidDel="00000000" w:rsidR="00000000" w:rsidRPr="00000000">
        <w:rPr>
          <w:b w:val="1"/>
          <w:sz w:val="20"/>
          <w:szCs w:val="20"/>
          <w:rtl w:val="0"/>
        </w:rPr>
        <w:t xml:space="preserve"> </w:t>
      </w:r>
      <w:r w:rsidDel="00000000" w:rsidR="00000000" w:rsidRPr="00000000">
        <w:rPr>
          <w:sz w:val="20"/>
          <w:szCs w:val="20"/>
          <w:rtl w:val="0"/>
        </w:rPr>
        <w:t xml:space="preserve">systemów budynkowych: wdrażany jest inteligentny system kontroli dostępu (Bluetooth, NFC, kody QR) oraz nowoczesny system BMS z algorytmami optymalizacji, który poprawi efektywność energetyczną i komfort pracy. </w:t>
      </w:r>
    </w:p>
    <w:p w:rsidR="00000000" w:rsidDel="00000000" w:rsidP="00000000" w:rsidRDefault="00000000" w:rsidRPr="00000000" w14:paraId="00000012">
      <w:pPr>
        <w:spacing w:line="240" w:lineRule="auto"/>
        <w:jc w:val="both"/>
        <w:rPr>
          <w:sz w:val="20"/>
          <w:szCs w:val="20"/>
        </w:rPr>
      </w:pPr>
      <w:r w:rsidDel="00000000" w:rsidR="00000000" w:rsidRPr="00000000">
        <w:rPr>
          <w:i w:val="1"/>
          <w:sz w:val="20"/>
          <w:szCs w:val="20"/>
          <w:rtl w:val="0"/>
        </w:rPr>
        <w:t xml:space="preserve">Zadbaliśmy o to, aby modernizacja budynku szła w parze z technologią i efektywnością. Nowe systemy BMS i kontroli dostępu zapewnią najemcom bezpieczeństwo i komfort oraz realne oszczędności energetyczne</w:t>
      </w:r>
      <w:r w:rsidDel="00000000" w:rsidR="00000000" w:rsidRPr="00000000">
        <w:rPr>
          <w:sz w:val="20"/>
          <w:szCs w:val="20"/>
          <w:rtl w:val="0"/>
        </w:rPr>
        <w:t xml:space="preserve"> – dodaje </w:t>
      </w:r>
      <w:r w:rsidDel="00000000" w:rsidR="00000000" w:rsidRPr="00000000">
        <w:rPr>
          <w:b w:val="1"/>
          <w:sz w:val="20"/>
          <w:szCs w:val="20"/>
          <w:rtl w:val="0"/>
        </w:rPr>
        <w:t xml:space="preserve">Sylwester Marchewka, Head of Asset Services Operations &amp; Technical Poland, Cushman &amp; Wakefield</w:t>
      </w:r>
      <w:r w:rsidDel="00000000" w:rsidR="00000000" w:rsidRPr="00000000">
        <w:rPr>
          <w:sz w:val="20"/>
          <w:szCs w:val="20"/>
          <w:rtl w:val="0"/>
        </w:rPr>
        <w:t xml:space="preserve">.</w:t>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Zespół Asset Services nadzoruje aktualnie także prace aranżacyjne dla najemców budynku na 4, 14, 15, 16 i 17 piętrze. </w:t>
      </w:r>
    </w:p>
    <w:p w:rsidR="00000000" w:rsidDel="00000000" w:rsidP="00000000" w:rsidRDefault="00000000" w:rsidRPr="00000000" w14:paraId="00000014">
      <w:pPr>
        <w:jc w:val="center"/>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KONIEC -</w:t>
      </w:r>
      <w:r w:rsidDel="00000000" w:rsidR="00000000" w:rsidRPr="00000000">
        <w:rPr>
          <w:rtl w:val="0"/>
        </w:rPr>
      </w:r>
    </w:p>
    <w:p w:rsidR="00000000" w:rsidDel="00000000" w:rsidP="00000000" w:rsidRDefault="00000000" w:rsidRPr="00000000" w14:paraId="00000015">
      <w:pPr>
        <w:spacing w:line="240" w:lineRule="auto"/>
        <w:jc w:val="both"/>
        <w:rPr>
          <w:b w:val="1"/>
          <w:sz w:val="20"/>
          <w:szCs w:val="20"/>
        </w:rPr>
      </w:pPr>
      <w:r w:rsidDel="00000000" w:rsidR="00000000" w:rsidRPr="00000000">
        <w:rPr>
          <w:b w:val="1"/>
          <w:sz w:val="16"/>
          <w:szCs w:val="16"/>
          <w:rtl w:val="0"/>
        </w:rPr>
        <w:t xml:space="preserve">O Cushman &amp; Wakefield</w:t>
      </w:r>
      <w:r w:rsidDel="00000000" w:rsidR="00000000" w:rsidRPr="00000000">
        <w:rPr>
          <w:rtl w:val="0"/>
        </w:rPr>
      </w:r>
    </w:p>
    <w:p w:rsidR="00000000" w:rsidDel="00000000" w:rsidP="00000000" w:rsidRDefault="00000000" w:rsidRPr="00000000" w14:paraId="00000016">
      <w:pPr>
        <w:jc w:val="both"/>
        <w:rPr>
          <w:sz w:val="16"/>
          <w:szCs w:val="16"/>
        </w:rPr>
      </w:pPr>
      <w:r w:rsidDel="00000000" w:rsidR="00000000" w:rsidRPr="00000000">
        <w:rPr>
          <w:sz w:val="16"/>
          <w:szCs w:val="16"/>
          <w:rtl w:val="0"/>
        </w:rPr>
        <w:t xml:space="preserve">Cushman &amp; Wakefield (NYSE: CWK) jest wiodącą na świecie firmą świadczącą usługi na rzecz właścicieli i najemców nieruchomości komercyjnych. Zatrudnia ok. 52 tys. pracowników w niemal 400 biurach i 60 krajach na całym świecie. W 2024 roku jej przychody wyniosły 9,4 mld USD. Do najważniejszych usług świadczonych przez firmę należą m.in. zarządzanie nieruchomościami, obiektami i projektami, pośrednictwo w wynajmie powierzchni, obsługa transakcji na rynkach kapitałowych oraz wyceny. Za nieustanne dążenie do doskonałości zgodnie z zasadą </w:t>
      </w:r>
      <w:r w:rsidDel="00000000" w:rsidR="00000000" w:rsidRPr="00000000">
        <w:rPr>
          <w:i w:val="1"/>
          <w:sz w:val="16"/>
          <w:szCs w:val="16"/>
          <w:rtl w:val="0"/>
        </w:rPr>
        <w:t xml:space="preserve">Better never settles</w:t>
      </w:r>
      <w:r w:rsidDel="00000000" w:rsidR="00000000" w:rsidRPr="00000000">
        <w:rPr>
          <w:sz w:val="16"/>
          <w:szCs w:val="16"/>
          <w:rtl w:val="0"/>
        </w:rPr>
        <w:t xml:space="preserve"> Cushman &amp; Wakefield otrzymuje wiele wyróżnień oraz nagród w konkursach branżowych i biznesowych. Dodatkowe informacje na stronie </w:t>
      </w:r>
      <w:hyperlink r:id="rId7">
        <w:r w:rsidDel="00000000" w:rsidR="00000000" w:rsidRPr="00000000">
          <w:rPr>
            <w:color w:val="4472c4"/>
            <w:sz w:val="16"/>
            <w:szCs w:val="16"/>
            <w:u w:val="single"/>
            <w:rtl w:val="0"/>
          </w:rPr>
          <w:t xml:space="preserve">www.cushmanwakefield.com</w:t>
        </w:r>
      </w:hyperlink>
      <w:r w:rsidDel="00000000" w:rsidR="00000000" w:rsidRPr="00000000">
        <w:rPr>
          <w:sz w:val="16"/>
          <w:szCs w:val="16"/>
          <w:rtl w:val="0"/>
        </w:rPr>
        <w:t xml:space="preserve">.</w:t>
      </w:r>
    </w:p>
    <w:p w:rsidR="00000000" w:rsidDel="00000000" w:rsidP="00000000" w:rsidRDefault="00000000" w:rsidRPr="00000000" w14:paraId="00000017">
      <w:pPr>
        <w:jc w:val="center"/>
        <w:rPr>
          <w:sz w:val="16"/>
          <w:szCs w:val="16"/>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2880" w:top="3600" w:left="1224" w:right="1008" w:header="180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9000.0" w:type="dxa"/>
      <w:jc w:val="left"/>
      <w:tblLayout w:type="fixed"/>
      <w:tblLook w:val="0400"/>
    </w:tblPr>
    <w:tblGrid>
      <w:gridCol w:w="9000"/>
      <w:tblGridChange w:id="0">
        <w:tblGrid>
          <w:gridCol w:w="9000"/>
        </w:tblGrid>
      </w:tblGridChange>
    </w:tblGrid>
    <w:tr>
      <w:trPr>
        <w:cantSplit w:val="0"/>
        <w:trHeight w:val="630" w:hRule="atLeast"/>
        <w:tblHeader w:val="0"/>
      </w:trPr>
      <w:tc>
        <w:tcPr>
          <w:vAlign w:val="bottom"/>
        </w:tcPr>
        <w:p w:rsidR="00000000" w:rsidDel="00000000" w:rsidP="00000000" w:rsidRDefault="00000000" w:rsidRPr="00000000" w14:paraId="0000001B">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Dodatkowe informacje:</w:t>
          </w:r>
        </w:p>
      </w:tc>
    </w:tr>
    <w:tr>
      <w:trPr>
        <w:cantSplit w:val="0"/>
        <w:trHeight w:val="1260"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2"/>
            <w:tblW w:w="10095.0" w:type="dxa"/>
            <w:jc w:val="left"/>
            <w:tblLayout w:type="fixed"/>
            <w:tblLook w:val="04A0"/>
          </w:tblPr>
          <w:tblGrid>
            <w:gridCol w:w="3467"/>
            <w:gridCol w:w="3763"/>
            <w:gridCol w:w="2865"/>
            <w:tblGridChange w:id="0">
              <w:tblGrid>
                <w:gridCol w:w="3467"/>
                <w:gridCol w:w="3763"/>
                <w:gridCol w:w="2865"/>
              </w:tblGrid>
            </w:tblGridChange>
          </w:tblGrid>
          <w:tr>
            <w:trPr>
              <w:cantSplit w:val="0"/>
              <w:trHeight w:val="1164"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3"/>
                  <w:tblW w:w="24344.0" w:type="dxa"/>
                  <w:jc w:val="left"/>
                  <w:tblInd w:w="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6"/>
                  <w:gridCol w:w="6086"/>
                  <w:gridCol w:w="6086"/>
                  <w:gridCol w:w="6086"/>
                  <w:tblGridChange w:id="0">
                    <w:tblGrid>
                      <w:gridCol w:w="6086"/>
                      <w:gridCol w:w="6086"/>
                      <w:gridCol w:w="6086"/>
                      <w:gridCol w:w="6086"/>
                    </w:tblGrid>
                  </w:tblGridChange>
                </w:tblGrid>
                <w:tr>
                  <w:trPr>
                    <w:cantSplit w:val="0"/>
                    <w:trHeight w:val="738" w:hRule="atLeast"/>
                    <w:tblHeader w:val="0"/>
                  </w:trPr>
                  <w:tc>
                    <w:tcPr/>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696b6b"/>
                          <w:sz w:val="18"/>
                          <w:szCs w:val="18"/>
                          <w:u w:val="none"/>
                          <w:shd w:fill="auto" w:val="clear"/>
                          <w:vertAlign w:val="baseline"/>
                        </w:rPr>
                      </w:pPr>
                      <w:r w:rsidDel="00000000" w:rsidR="00000000" w:rsidRPr="00000000">
                        <w:rPr>
                          <w:rFonts w:ascii="Calibri" w:cs="Calibri" w:eastAsia="Calibri" w:hAnsi="Calibri"/>
                          <w:b w:val="1"/>
                          <w:i w:val="0"/>
                          <w:smallCaps w:val="0"/>
                          <w:strike w:val="0"/>
                          <w:color w:val="696b6b"/>
                          <w:sz w:val="18"/>
                          <w:szCs w:val="18"/>
                          <w:u w:val="none"/>
                          <w:shd w:fill="auto" w:val="clear"/>
                          <w:vertAlign w:val="baseline"/>
                          <w:rtl w:val="0"/>
                        </w:rPr>
                        <w:t xml:space="preserve">Karolina Samczyńska-Fiślak</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96b6b"/>
                          <w:sz w:val="18"/>
                          <w:szCs w:val="18"/>
                          <w:u w:val="none"/>
                          <w:shd w:fill="auto" w:val="clear"/>
                          <w:vertAlign w:val="baseline"/>
                        </w:rPr>
                      </w:pPr>
                      <w:r w:rsidDel="00000000" w:rsidR="00000000" w:rsidRPr="00000000">
                        <w:rPr>
                          <w:rFonts w:ascii="Calibri" w:cs="Calibri" w:eastAsia="Calibri" w:hAnsi="Calibri"/>
                          <w:b w:val="0"/>
                          <w:i w:val="0"/>
                          <w:smallCaps w:val="0"/>
                          <w:strike w:val="0"/>
                          <w:color w:val="696b6b"/>
                          <w:sz w:val="18"/>
                          <w:szCs w:val="18"/>
                          <w:u w:val="none"/>
                          <w:shd w:fill="auto" w:val="clear"/>
                          <w:vertAlign w:val="baseline"/>
                          <w:rtl w:val="0"/>
                        </w:rPr>
                        <w:t xml:space="preserve">Cushman &amp; Wakefield </w:t>
                      </w:r>
                    </w:p>
                    <w:p w:rsidR="00000000" w:rsidDel="00000000" w:rsidP="00000000" w:rsidRDefault="00000000" w:rsidRPr="00000000" w14:paraId="00000020">
                      <w:pPr>
                        <w:rPr>
                          <w:rFonts w:ascii="Calibri" w:cs="Calibri" w:eastAsia="Calibri" w:hAnsi="Calibri"/>
                          <w:sz w:val="18"/>
                          <w:szCs w:val="18"/>
                        </w:rPr>
                      </w:pPr>
                      <w:r w:rsidDel="00000000" w:rsidR="00000000" w:rsidRPr="00000000">
                        <w:rPr>
                          <w:rFonts w:ascii="Calibri" w:cs="Calibri" w:eastAsia="Calibri" w:hAnsi="Calibri"/>
                          <w:color w:val="696b6b"/>
                          <w:sz w:val="18"/>
                          <w:szCs w:val="18"/>
                          <w:u w:val="none"/>
                          <w:rtl w:val="0"/>
                        </w:rPr>
                        <w:t xml:space="preserve">Tel: + 48 22 820 20 20; 691 060 202</w:t>
                      </w: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688"/>
                        </w:tabs>
                        <w:spacing w:after="0" w:before="0" w:line="240" w:lineRule="auto"/>
                        <w:ind w:left="0" w:right="0" w:firstLine="0"/>
                        <w:jc w:val="left"/>
                        <w:rPr>
                          <w:rFonts w:ascii="Calibri" w:cs="Calibri" w:eastAsia="Calibri" w:hAnsi="Calibri"/>
                          <w:b w:val="1"/>
                          <w:i w:val="0"/>
                          <w:smallCaps w:val="0"/>
                          <w:strike w:val="0"/>
                          <w:color w:val="696b6b"/>
                          <w:sz w:val="18"/>
                          <w:szCs w:val="18"/>
                          <w:u w:val="none"/>
                          <w:shd w:fill="auto" w:val="clear"/>
                          <w:vertAlign w:val="baseline"/>
                        </w:rPr>
                      </w:pPr>
                      <w:r w:rsidDel="00000000" w:rsidR="00000000" w:rsidRPr="00000000">
                        <w:rPr>
                          <w:rFonts w:ascii="Calibri" w:cs="Calibri" w:eastAsia="Calibri" w:hAnsi="Calibri"/>
                          <w:b w:val="1"/>
                          <w:i w:val="0"/>
                          <w:smallCaps w:val="0"/>
                          <w:strike w:val="0"/>
                          <w:color w:val="696b6b"/>
                          <w:sz w:val="18"/>
                          <w:szCs w:val="18"/>
                          <w:u w:val="none"/>
                          <w:shd w:fill="auto" w:val="clear"/>
                          <w:vertAlign w:val="baseline"/>
                          <w:rtl w:val="0"/>
                        </w:rPr>
                        <w:t xml:space="preserve">e-mail: </w:t>
                      </w:r>
                      <w:hyperlink r:id="rId1">
                        <w:r w:rsidDel="00000000" w:rsidR="00000000" w:rsidRPr="00000000">
                          <w:rPr>
                            <w:rFonts w:ascii="Calibri" w:cs="Calibri" w:eastAsia="Calibri" w:hAnsi="Calibri"/>
                            <w:b w:val="1"/>
                            <w:i w:val="0"/>
                            <w:smallCaps w:val="0"/>
                            <w:strike w:val="0"/>
                            <w:color w:val="008b98"/>
                            <w:sz w:val="18"/>
                            <w:szCs w:val="18"/>
                            <w:u w:val="none"/>
                            <w:shd w:fill="auto" w:val="clear"/>
                            <w:vertAlign w:val="baseline"/>
                            <w:rtl w:val="0"/>
                          </w:rPr>
                          <w:t xml:space="preserve">media.poland@cushwake.pl</w:t>
                        </w:r>
                      </w:hyperlink>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96b6b"/>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696b6b"/>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696b6b"/>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96b6b"/>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4"/>
      <w:tblW w:w="9000.0" w:type="dxa"/>
      <w:jc w:val="left"/>
      <w:tblLayout w:type="fixed"/>
      <w:tblLook w:val="0400"/>
    </w:tblPr>
    <w:tblGrid>
      <w:gridCol w:w="5670"/>
      <w:gridCol w:w="3330"/>
      <w:tblGridChange w:id="0">
        <w:tblGrid>
          <w:gridCol w:w="5670"/>
          <w:gridCol w:w="3330"/>
        </w:tblGrid>
      </w:tblGridChange>
    </w:tblGrid>
    <w:tr>
      <w:trPr>
        <w:cantSplit w:val="0"/>
        <w:trHeight w:val="630" w:hRule="atLeast"/>
        <w:tblHeader w:val="0"/>
      </w:trPr>
      <w:tc>
        <w:tcPr>
          <w:vAlign w:val="bottom"/>
        </w:tcPr>
        <w:p w:rsidR="00000000" w:rsidDel="00000000" w:rsidP="00000000" w:rsidRDefault="00000000" w:rsidRPr="00000000" w14:paraId="0000002C">
          <w:pPr>
            <w:pStyle w:val="Heading2"/>
            <w:rPr>
              <w:rFonts w:ascii="Arial" w:cs="Arial" w:eastAsia="Arial" w:hAnsi="Arial"/>
              <w:color w:val="696b6b"/>
            </w:rPr>
          </w:pPr>
          <w:r w:rsidDel="00000000" w:rsidR="00000000" w:rsidRPr="00000000">
            <w:rPr>
              <w:rFonts w:ascii="Arial" w:cs="Arial" w:eastAsia="Arial" w:hAnsi="Arial"/>
              <w:color w:val="696b6b"/>
              <w:rtl w:val="0"/>
            </w:rPr>
            <w:t xml:space="preserve">Media Contact:</w:t>
          </w:r>
        </w:p>
      </w:tc>
      <w:tc>
        <w:tcPr>
          <w:vAlign w:val="bottom"/>
        </w:tcPr>
        <w:p w:rsidR="00000000" w:rsidDel="00000000" w:rsidP="00000000" w:rsidRDefault="00000000" w:rsidRPr="00000000" w14:paraId="0000002D">
          <w:pPr>
            <w:spacing w:after="100" w:line="240" w:lineRule="auto"/>
            <w:rPr>
              <w:b w:val="1"/>
              <w:color w:val="696b6b"/>
              <w:sz w:val="18"/>
              <w:szCs w:val="18"/>
            </w:rPr>
          </w:pPr>
          <w:r w:rsidDel="00000000" w:rsidR="00000000" w:rsidRPr="00000000">
            <w:rPr>
              <w:rtl w:val="0"/>
            </w:rPr>
          </w:r>
        </w:p>
      </w:tc>
    </w:tr>
    <w:tr>
      <w:trPr>
        <w:cantSplit w:val="0"/>
        <w:trHeight w:val="1260" w:hRule="atLeast"/>
        <w:tblHeader w:val="0"/>
      </w:trPr>
      <w:tc>
        <w:tcPr>
          <w:vAlign w:val="bottom"/>
        </w:tcPr>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after="0" w:lineRule="auto"/>
            <w:rPr>
              <w:b w:val="1"/>
              <w:color w:val="696b6b"/>
              <w:sz w:val="18"/>
              <w:szCs w:val="18"/>
            </w:rPr>
          </w:pPr>
          <w:r w:rsidDel="00000000" w:rsidR="00000000" w:rsidRPr="00000000">
            <w:rPr>
              <w:b w:val="1"/>
              <w:color w:val="696b6b"/>
              <w:sz w:val="18"/>
              <w:szCs w:val="18"/>
              <w:rtl w:val="0"/>
            </w:rPr>
            <w:t xml:space="preserve">Name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color w:val="696b6b"/>
              <w:sz w:val="18"/>
              <w:szCs w:val="18"/>
            </w:rPr>
          </w:pPr>
          <w:r w:rsidDel="00000000" w:rsidR="00000000" w:rsidRPr="00000000">
            <w:rPr>
              <w:color w:val="696b6b"/>
              <w:sz w:val="18"/>
              <w:szCs w:val="18"/>
              <w:rtl w:val="0"/>
            </w:rPr>
            <w:t xml:space="preserve">Title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color w:val="696b6b"/>
              <w:sz w:val="18"/>
              <w:szCs w:val="18"/>
            </w:rPr>
          </w:pPr>
          <w:r w:rsidDel="00000000" w:rsidR="00000000" w:rsidRPr="00000000">
            <w:rPr>
              <w:color w:val="696b6b"/>
              <w:sz w:val="18"/>
              <w:szCs w:val="18"/>
              <w:rtl w:val="0"/>
            </w:rPr>
            <w:t xml:space="preserve">+1 000 000 0000</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color w:val="696b6b"/>
              <w:sz w:val="18"/>
              <w:szCs w:val="18"/>
            </w:rPr>
          </w:pPr>
          <w:hyperlink r:id="rId1">
            <w:r w:rsidDel="00000000" w:rsidR="00000000" w:rsidRPr="00000000">
              <w:rPr>
                <w:color w:val="4472c4"/>
                <w:sz w:val="18"/>
                <w:szCs w:val="18"/>
                <w:u w:val="single"/>
                <w:rtl w:val="0"/>
              </w:rPr>
              <w:t xml:space="preserve">first.last@cushwake.com</w:t>
            </w:r>
          </w:hyperlink>
          <w:r w:rsidDel="00000000" w:rsidR="00000000" w:rsidRPr="00000000">
            <w:rPr>
              <w:color w:val="696b6b"/>
              <w:sz w:val="18"/>
              <w:szCs w:val="18"/>
              <w:rtl w:val="0"/>
            </w:rPr>
            <w:t xml:space="preserve"> </w:t>
          </w:r>
        </w:p>
      </w:tc>
      <w:tc>
        <w:tcPr>
          <w:vAlign w:val="bottom"/>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color w:val="696b6b"/>
              <w:sz w:val="18"/>
              <w:szCs w:val="18"/>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43134</wp:posOffset>
          </wp:positionH>
          <wp:positionV relativeFrom="paragraph">
            <wp:posOffset>-154973</wp:posOffset>
          </wp:positionV>
          <wp:extent cx="1933575" cy="4076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076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3813</wp:posOffset>
          </wp:positionH>
          <wp:positionV relativeFrom="paragraph">
            <wp:posOffset>-201292</wp:posOffset>
          </wp:positionV>
          <wp:extent cx="1933575" cy="40767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4076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100" w:lineRule="auto"/>
    </w:pPr>
    <w:rPr>
      <w:rFonts w:ascii="Calibri" w:cs="Calibri" w:eastAsia="Calibri" w:hAnsi="Calibri"/>
      <w:b w:val="1"/>
      <w:smallCaps w:val="1"/>
      <w:color w:val="008b98"/>
      <w:sz w:val="18"/>
      <w:szCs w:val="1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2Znak" w:customStyle="1">
    <w:name w:val="Nagłówek 2 Znak"/>
    <w:basedOn w:val="Domylnaczcionkaakapitu"/>
    <w:link w:val="Nagwek2"/>
    <w:uiPriority w:val="9"/>
    <w:rsid w:val="00D84A2D"/>
    <w:rPr>
      <w:rFonts w:ascii="Calibri" w:cs="Calibri" w:eastAsia="Calibri" w:hAnsi="Calibri"/>
      <w:b w:val="1"/>
      <w:smallCaps w:val="1"/>
      <w:color w:val="008b98"/>
      <w:sz w:val="18"/>
      <w:szCs w:val="18"/>
      <w:lang w:eastAsia="pl-PL"/>
    </w:rPr>
  </w:style>
  <w:style w:type="paragraph" w:styleId="Stopka">
    <w:name w:val="footer"/>
    <w:basedOn w:val="Normalny"/>
    <w:link w:val="StopkaZnak"/>
    <w:uiPriority w:val="99"/>
    <w:unhideWhenUsed w:val="1"/>
    <w:rsid w:val="00D84A2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84A2D"/>
    <w:rPr>
      <w:rFonts w:ascii="Arial" w:cs="Arial" w:eastAsia="Arial" w:hAnsi="Arial"/>
      <w:lang w:eastAsia="pl-PL"/>
    </w:rPr>
  </w:style>
  <w:style w:type="character" w:styleId="Hipercze">
    <w:name w:val="Hyperlink"/>
    <w:basedOn w:val="Domylnaczcionkaakapitu"/>
    <w:unhideWhenUsed w:val="1"/>
    <w:qFormat w:val="1"/>
    <w:rsid w:val="00D84A2D"/>
    <w:rPr>
      <w:color w:val="4472c4" w:themeColor="accent1"/>
      <w:u w:val="single"/>
    </w:rPr>
  </w:style>
  <w:style w:type="table" w:styleId="Tabela-Siatka">
    <w:name w:val="Table Grid"/>
    <w:basedOn w:val="Standardowy"/>
    <w:uiPriority w:val="59"/>
    <w:rsid w:val="00D84A2D"/>
    <w:pPr>
      <w:spacing w:after="0" w:line="240" w:lineRule="auto"/>
    </w:pPr>
    <w:rPr>
      <w:rFonts w:eastAsiaTheme="minorEastAs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ntactName" w:customStyle="1">
    <w:name w:val="ContactName"/>
    <w:basedOn w:val="Nagwek3"/>
    <w:qFormat w:val="1"/>
    <w:rsid w:val="00D84A2D"/>
    <w:pPr>
      <w:spacing w:before="0" w:line="216" w:lineRule="atLeast"/>
    </w:pPr>
    <w:rPr>
      <w:rFonts w:ascii="Calibri" w:cs="Times New Roman" w:eastAsia="Times New Roman" w:hAnsi="Calibri"/>
      <w:b w:val="1"/>
      <w:bCs w:val="1"/>
      <w:color w:val="008b98"/>
      <w:sz w:val="18"/>
      <w:lang w:eastAsia="en-GB" w:val="en-GB"/>
    </w:rPr>
  </w:style>
  <w:style w:type="paragraph" w:styleId="ContactDetail" w:customStyle="1">
    <w:name w:val="ContactDetail"/>
    <w:basedOn w:val="Normalny"/>
    <w:rsid w:val="00D84A2D"/>
    <w:pPr>
      <w:spacing w:after="0" w:line="216" w:lineRule="atLeast"/>
    </w:pPr>
    <w:rPr>
      <w:rFonts w:ascii="Calibri" w:cs="Times New Roman" w:eastAsia="Times New Roman" w:hAnsi="Calibri"/>
      <w:color w:val="000000"/>
      <w:sz w:val="18"/>
      <w:szCs w:val="24"/>
      <w:lang w:eastAsia="en-GB" w:val="en-GB"/>
    </w:rPr>
  </w:style>
  <w:style w:type="character" w:styleId="Brak" w:customStyle="1">
    <w:name w:val="Brak"/>
    <w:rsid w:val="00D84A2D"/>
  </w:style>
  <w:style w:type="character" w:styleId="Hyperlink0" w:customStyle="1">
    <w:name w:val="Hyperlink.0"/>
    <w:basedOn w:val="Brak"/>
    <w:rsid w:val="00D84A2D"/>
  </w:style>
  <w:style w:type="table" w:styleId="PlainTable41" w:customStyle="1">
    <w:name w:val="Plain Table 41"/>
    <w:basedOn w:val="Standardowy"/>
    <w:uiPriority w:val="44"/>
    <w:rsid w:val="00D84A2D"/>
    <w:pPr>
      <w:spacing w:after="0" w:line="240" w:lineRule="auto"/>
    </w:pPr>
    <w:rPr>
      <w:lang w:val="en-US"/>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Zwykytekst">
    <w:name w:val="Plain Text"/>
    <w:basedOn w:val="Normalny"/>
    <w:link w:val="ZwykytekstZnak"/>
    <w:uiPriority w:val="99"/>
    <w:unhideWhenUsed w:val="1"/>
    <w:rsid w:val="00D84A2D"/>
    <w:pPr>
      <w:spacing w:after="0" w:line="240" w:lineRule="auto"/>
    </w:pPr>
    <w:rPr>
      <w:rFonts w:ascii="Calibri" w:cs="Consolas" w:eastAsia="Times New Roman" w:hAnsi="Calibri"/>
      <w:szCs w:val="21"/>
    </w:rPr>
  </w:style>
  <w:style w:type="character" w:styleId="ZwykytekstZnak" w:customStyle="1">
    <w:name w:val="Zwykły tekst Znak"/>
    <w:basedOn w:val="Domylnaczcionkaakapitu"/>
    <w:link w:val="Zwykytekst"/>
    <w:uiPriority w:val="99"/>
    <w:rsid w:val="00D84A2D"/>
    <w:rPr>
      <w:rFonts w:ascii="Calibri" w:cs="Consolas" w:eastAsia="Times New Roman" w:hAnsi="Calibri"/>
      <w:szCs w:val="21"/>
      <w:lang w:eastAsia="pl-PL"/>
    </w:rPr>
  </w:style>
  <w:style w:type="character" w:styleId="Nagwek3Znak" w:customStyle="1">
    <w:name w:val="Nagłówek 3 Znak"/>
    <w:basedOn w:val="Domylnaczcionkaakapitu"/>
    <w:link w:val="Nagwek3"/>
    <w:uiPriority w:val="9"/>
    <w:semiHidden w:val="1"/>
    <w:rsid w:val="00D84A2D"/>
    <w:rPr>
      <w:rFonts w:asciiTheme="majorHAnsi" w:cstheme="majorBidi" w:eastAsiaTheme="majorEastAsia" w:hAnsiTheme="majorHAnsi"/>
      <w:color w:val="1f3763" w:themeColor="accent1" w:themeShade="00007F"/>
      <w:sz w:val="24"/>
      <w:szCs w:val="24"/>
      <w:lang w:eastAsia="pl-PL"/>
    </w:rPr>
  </w:style>
  <w:style w:type="character" w:styleId="Odwoaniedokomentarza">
    <w:name w:val="annotation reference"/>
    <w:basedOn w:val="Domylnaczcionkaakapitu"/>
    <w:uiPriority w:val="99"/>
    <w:semiHidden w:val="1"/>
    <w:unhideWhenUsed w:val="1"/>
    <w:rsid w:val="00CB2FB2"/>
    <w:rPr>
      <w:sz w:val="16"/>
      <w:szCs w:val="16"/>
    </w:rPr>
  </w:style>
  <w:style w:type="paragraph" w:styleId="Tekstkomentarza">
    <w:name w:val="annotation text"/>
    <w:basedOn w:val="Normalny"/>
    <w:link w:val="TekstkomentarzaZnak"/>
    <w:uiPriority w:val="99"/>
    <w:unhideWhenUsed w:val="1"/>
    <w:rsid w:val="00CB2FB2"/>
    <w:pPr>
      <w:spacing w:line="240" w:lineRule="auto"/>
    </w:pPr>
    <w:rPr>
      <w:sz w:val="20"/>
      <w:szCs w:val="20"/>
    </w:rPr>
  </w:style>
  <w:style w:type="character" w:styleId="TekstkomentarzaZnak" w:customStyle="1">
    <w:name w:val="Tekst komentarza Znak"/>
    <w:basedOn w:val="Domylnaczcionkaakapitu"/>
    <w:link w:val="Tekstkomentarza"/>
    <w:uiPriority w:val="99"/>
    <w:rsid w:val="00CB2FB2"/>
    <w:rPr>
      <w:rFonts w:ascii="Arial" w:cs="Arial" w:eastAsia="Arial" w:hAnsi="Arial"/>
      <w:sz w:val="20"/>
      <w:szCs w:val="20"/>
      <w:lang w:eastAsia="pl-PL"/>
    </w:rPr>
  </w:style>
  <w:style w:type="paragraph" w:styleId="Tematkomentarza">
    <w:name w:val="annotation subject"/>
    <w:basedOn w:val="Tekstkomentarza"/>
    <w:next w:val="Tekstkomentarza"/>
    <w:link w:val="TematkomentarzaZnak"/>
    <w:uiPriority w:val="99"/>
    <w:semiHidden w:val="1"/>
    <w:unhideWhenUsed w:val="1"/>
    <w:rsid w:val="00CB2FB2"/>
    <w:rPr>
      <w:b w:val="1"/>
      <w:bCs w:val="1"/>
    </w:rPr>
  </w:style>
  <w:style w:type="character" w:styleId="TematkomentarzaZnak" w:customStyle="1">
    <w:name w:val="Temat komentarza Znak"/>
    <w:basedOn w:val="TekstkomentarzaZnak"/>
    <w:link w:val="Tematkomentarza"/>
    <w:uiPriority w:val="99"/>
    <w:semiHidden w:val="1"/>
    <w:rsid w:val="00CB2FB2"/>
    <w:rPr>
      <w:rFonts w:ascii="Arial" w:cs="Arial" w:eastAsia="Arial" w:hAnsi="Arial"/>
      <w:b w:val="1"/>
      <w:bCs w:val="1"/>
      <w:sz w:val="20"/>
      <w:szCs w:val="20"/>
      <w:lang w:eastAsia="pl-PL"/>
    </w:rPr>
  </w:style>
  <w:style w:type="paragraph" w:styleId="Tekstdymka">
    <w:name w:val="Balloon Text"/>
    <w:basedOn w:val="Normalny"/>
    <w:link w:val="TekstdymkaZnak"/>
    <w:uiPriority w:val="99"/>
    <w:semiHidden w:val="1"/>
    <w:unhideWhenUsed w:val="1"/>
    <w:rsid w:val="00CB2FB2"/>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CB2FB2"/>
    <w:rPr>
      <w:rFonts w:ascii="Segoe UI" w:cs="Segoe UI" w:eastAsia="Arial" w:hAnsi="Segoe UI"/>
      <w:sz w:val="18"/>
      <w:szCs w:val="18"/>
      <w:lang w:eastAsia="pl-PL"/>
    </w:rPr>
  </w:style>
  <w:style w:type="paragraph" w:styleId="Poprawka">
    <w:name w:val="Revision"/>
    <w:hidden w:val="1"/>
    <w:uiPriority w:val="99"/>
    <w:semiHidden w:val="1"/>
    <w:rsid w:val="005323BE"/>
    <w:pPr>
      <w:spacing w:after="0" w:line="240" w:lineRule="auto"/>
    </w:pPr>
    <w:rPr>
      <w:rFonts w:ascii="Arial" w:cs="Arial" w:eastAsia="Arial" w:hAnsi="Arial"/>
      <w:lang w:eastAsia="pl-PL"/>
    </w:rPr>
  </w:style>
  <w:style w:type="paragraph" w:styleId="Tekstprzypisukocowego">
    <w:name w:val="endnote text"/>
    <w:basedOn w:val="Normalny"/>
    <w:link w:val="TekstprzypisukocowegoZnak"/>
    <w:uiPriority w:val="99"/>
    <w:semiHidden w:val="1"/>
    <w:unhideWhenUsed w:val="1"/>
    <w:rsid w:val="00976C95"/>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976C95"/>
    <w:rPr>
      <w:rFonts w:ascii="Arial" w:cs="Arial" w:eastAsia="Arial" w:hAnsi="Arial"/>
      <w:sz w:val="20"/>
      <w:szCs w:val="20"/>
      <w:lang w:eastAsia="pl-PL"/>
    </w:rPr>
  </w:style>
  <w:style w:type="character" w:styleId="Odwoanieprzypisukocowego">
    <w:name w:val="endnote reference"/>
    <w:basedOn w:val="Domylnaczcionkaakapitu"/>
    <w:uiPriority w:val="99"/>
    <w:semiHidden w:val="1"/>
    <w:unhideWhenUsed w:val="1"/>
    <w:rsid w:val="00976C95"/>
    <w:rPr>
      <w:vertAlign w:val="superscript"/>
    </w:rPr>
  </w:style>
  <w:style w:type="paragraph" w:styleId="Nagwek">
    <w:name w:val="header"/>
    <w:basedOn w:val="Normalny"/>
    <w:link w:val="NagwekZnak"/>
    <w:uiPriority w:val="99"/>
    <w:unhideWhenUsed w:val="1"/>
    <w:rsid w:val="00B77D9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77D91"/>
    <w:rPr>
      <w:rFonts w:ascii="Arial" w:cs="Arial" w:eastAsia="Arial" w:hAnsi="Arial"/>
      <w:lang w:eastAsia="pl-PL"/>
    </w:rPr>
  </w:style>
  <w:style w:type="character" w:styleId="Nierozpoznanawzmianka1" w:customStyle="1">
    <w:name w:val="Nierozpoznana wzmianka1"/>
    <w:basedOn w:val="Domylnaczcionkaakapitu"/>
    <w:uiPriority w:val="99"/>
    <w:semiHidden w:val="1"/>
    <w:unhideWhenUsed w:val="1"/>
    <w:rsid w:val="00B77D91"/>
    <w:rPr>
      <w:color w:val="605e5c"/>
      <w:shd w:color="auto" w:fill="e1dfdd" w:val="clear"/>
    </w:rPr>
  </w:style>
  <w:style w:type="character" w:styleId="Nierozpoznanawzmianka2" w:customStyle="1">
    <w:name w:val="Nierozpoznana wzmianka2"/>
    <w:basedOn w:val="Domylnaczcionkaakapitu"/>
    <w:uiPriority w:val="99"/>
    <w:semiHidden w:val="1"/>
    <w:unhideWhenUsed w:val="1"/>
    <w:rsid w:val="006B635B"/>
    <w:rPr>
      <w:color w:val="605e5c"/>
      <w:shd w:color="auto" w:fill="e1dfdd" w:val="clear"/>
    </w:rPr>
  </w:style>
  <w:style w:type="paragraph" w:styleId="western" w:customStyle="1">
    <w:name w:val="western"/>
    <w:basedOn w:val="Normalny"/>
    <w:rsid w:val="00FE3132"/>
    <w:pPr>
      <w:spacing w:after="100" w:afterAutospacing="1" w:before="100" w:beforeAutospacing="1" w:line="240" w:lineRule="auto"/>
    </w:pPr>
    <w:rPr>
      <w:rFonts w:ascii="Calibri" w:cs="Calibri" w:hAnsi="Calibri" w:eastAsiaTheme="minorHAnsi"/>
    </w:rPr>
  </w:style>
  <w:style w:type="character" w:styleId="Pogrubienie">
    <w:name w:val="Strong"/>
    <w:basedOn w:val="Domylnaczcionkaakapitu"/>
    <w:uiPriority w:val="22"/>
    <w:qFormat w:val="1"/>
    <w:rsid w:val="00FE3132"/>
    <w:rPr>
      <w:b w:val="1"/>
      <w:bCs w:val="1"/>
    </w:rPr>
  </w:style>
  <w:style w:type="character" w:styleId="Nagwek1Znak" w:customStyle="1">
    <w:name w:val="Nagłówek 1 Znak"/>
    <w:basedOn w:val="Domylnaczcionkaakapitu"/>
    <w:link w:val="Nagwek1"/>
    <w:uiPriority w:val="9"/>
    <w:rsid w:val="00FE3132"/>
    <w:rPr>
      <w:rFonts w:asciiTheme="majorHAnsi" w:cstheme="majorBidi" w:eastAsiaTheme="majorEastAsia" w:hAnsiTheme="majorHAnsi"/>
      <w:color w:val="2f5496" w:themeColor="accent1" w:themeShade="0000BF"/>
      <w:sz w:val="32"/>
      <w:szCs w:val="32"/>
      <w:lang w:eastAsia="pl-PL"/>
    </w:rPr>
  </w:style>
  <w:style w:type="character" w:styleId="Uwydatnienie">
    <w:name w:val="Emphasis"/>
    <w:basedOn w:val="Domylnaczcionkaakapitu"/>
    <w:uiPriority w:val="20"/>
    <w:qFormat w:val="1"/>
    <w:rsid w:val="00E909E6"/>
    <w:rPr>
      <w:i w:val="1"/>
      <w:iCs w:val="1"/>
    </w:rPr>
  </w:style>
  <w:style w:type="character" w:styleId="cf01" w:customStyle="1">
    <w:name w:val="cf01"/>
    <w:basedOn w:val="Domylnaczcionkaakapitu"/>
    <w:rsid w:val="00167436"/>
    <w:rPr>
      <w:rFonts w:ascii="Segoe UI" w:cs="Segoe UI" w:hAnsi="Segoe UI" w:hint="default"/>
      <w:sz w:val="18"/>
      <w:szCs w:val="18"/>
    </w:rPr>
  </w:style>
  <w:style w:type="character" w:styleId="apple-converted-space" w:customStyle="1">
    <w:name w:val="apple-converted-space"/>
    <w:basedOn w:val="Domylnaczcionkaakapitu"/>
    <w:rsid w:val="00775E16"/>
  </w:style>
  <w:style w:type="paragraph" w:styleId="Akapitzlist">
    <w:name w:val="List Paragraph"/>
    <w:basedOn w:val="Normalny"/>
    <w:uiPriority w:val="34"/>
    <w:qFormat w:val="1"/>
    <w:rsid w:val="00AF11EE"/>
    <w:pPr>
      <w:spacing w:after="0" w:line="240" w:lineRule="auto"/>
      <w:ind w:left="720"/>
    </w:pPr>
    <w:rPr>
      <w:rFonts w:ascii="Calibri" w:cs="Calibri" w:hAnsi="Calibri" w:eastAsiaTheme="minorHAnsi"/>
      <w:lang w:eastAsia="en-GB" w:val="en-GB"/>
    </w:rPr>
  </w:style>
  <w:style w:type="paragraph" w:styleId="NormalnyWeb">
    <w:name w:val="Normal (Web)"/>
    <w:basedOn w:val="Normalny"/>
    <w:uiPriority w:val="99"/>
    <w:unhideWhenUsed w:val="1"/>
    <w:rsid w:val="00AF11EE"/>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Tekstprzypisudolnego">
    <w:name w:val="footnote text"/>
    <w:basedOn w:val="Normalny"/>
    <w:link w:val="TekstprzypisudolnegoZnak"/>
    <w:uiPriority w:val="99"/>
    <w:semiHidden w:val="1"/>
    <w:unhideWhenUsed w:val="1"/>
    <w:rsid w:val="00AF11EE"/>
    <w:pPr>
      <w:spacing w:after="0" w:line="240" w:lineRule="auto"/>
    </w:pPr>
    <w:rPr>
      <w:rFonts w:asciiTheme="minorHAnsi" w:cstheme="minorBidi" w:eastAsiaTheme="minorHAnsi" w:hAnsiTheme="minorHAnsi"/>
      <w:sz w:val="20"/>
      <w:szCs w:val="20"/>
      <w:lang w:eastAsia="en-US"/>
    </w:rPr>
  </w:style>
  <w:style w:type="character" w:styleId="TekstprzypisudolnegoZnak" w:customStyle="1">
    <w:name w:val="Tekst przypisu dolnego Znak"/>
    <w:basedOn w:val="Domylnaczcionkaakapitu"/>
    <w:link w:val="Tekstprzypisudolnego"/>
    <w:uiPriority w:val="99"/>
    <w:semiHidden w:val="1"/>
    <w:rsid w:val="00AF11EE"/>
    <w:rPr>
      <w:sz w:val="20"/>
      <w:szCs w:val="20"/>
    </w:rPr>
  </w:style>
  <w:style w:type="character" w:styleId="Odwoanieprzypisudolnego">
    <w:name w:val="footnote reference"/>
    <w:basedOn w:val="Domylnaczcionkaakapitu"/>
    <w:uiPriority w:val="99"/>
    <w:semiHidden w:val="1"/>
    <w:unhideWhenUsed w:val="1"/>
    <w:rsid w:val="00AF11EE"/>
    <w:rPr>
      <w:vertAlign w:val="superscript"/>
    </w:rPr>
  </w:style>
  <w:style w:type="character" w:styleId="normaltextrun" w:customStyle="1">
    <w:name w:val="normaltextrun"/>
    <w:basedOn w:val="Domylnaczcionkaakapitu"/>
    <w:rsid w:val="00C0604F"/>
  </w:style>
  <w:style w:type="character" w:styleId="eop" w:customStyle="1">
    <w:name w:val="eop"/>
    <w:basedOn w:val="Domylnaczcionkaakapitu"/>
    <w:rsid w:val="00C0604F"/>
  </w:style>
  <w:style w:type="paragraph" w:styleId="pf0" w:customStyle="1">
    <w:name w:val="pf0"/>
    <w:basedOn w:val="Normalny"/>
    <w:rsid w:val="00A12BAB"/>
    <w:pPr>
      <w:spacing w:after="100" w:afterAutospacing="1" w:before="100" w:beforeAutospacing="1" w:line="240" w:lineRule="auto"/>
    </w:pPr>
    <w:rPr>
      <w:rFonts w:ascii="Times New Roman" w:cs="Times New Roman" w:eastAsia="Times New Roman" w:hAnsi="Times New Roman"/>
      <w:sz w:val="24"/>
      <w:szCs w:val="24"/>
    </w:rPr>
  </w:style>
  <w:style w:type="character" w:styleId="Nierozpoznanawzmianka3" w:customStyle="1">
    <w:name w:val="Nierozpoznana wzmianka3"/>
    <w:basedOn w:val="Domylnaczcionkaakapitu"/>
    <w:uiPriority w:val="99"/>
    <w:semiHidden w:val="1"/>
    <w:unhideWhenUsed w:val="1"/>
    <w:rsid w:val="006C62BD"/>
    <w:rPr>
      <w:color w:val="605e5c"/>
      <w:shd w:color="auto" w:fill="e1dfdd" w:val="clear"/>
    </w:rPr>
  </w:style>
  <w:style w:type="character" w:styleId="UyteHipercze">
    <w:name w:val="FollowedHyperlink"/>
    <w:basedOn w:val="Domylnaczcionkaakapitu"/>
    <w:uiPriority w:val="99"/>
    <w:semiHidden w:val="1"/>
    <w:unhideWhenUsed w:val="1"/>
    <w:rsid w:val="00B70FF6"/>
    <w:rPr>
      <w:color w:val="954f72" w:themeColor="followedHyperlink"/>
      <w:u w:val="single"/>
    </w:rPr>
  </w:style>
  <w:style w:type="character" w:styleId="Wzmianka">
    <w:name w:val="Mention"/>
    <w:basedOn w:val="Domylnaczcionkaakapitu"/>
    <w:uiPriority w:val="99"/>
    <w:unhideWhenUsed w:val="1"/>
    <w:rsid w:val="00915181"/>
    <w:rPr>
      <w:color w:val="2b579a"/>
      <w:shd w:color="auto" w:fill="e1dfdd" w:val="clear"/>
    </w:rPr>
  </w:style>
  <w:style w:type="character" w:styleId="Nierozpoznanawzmianka">
    <w:name w:val="Unresolved Mention"/>
    <w:basedOn w:val="Domylnaczcionkaakapitu"/>
    <w:uiPriority w:val="99"/>
    <w:semiHidden w:val="1"/>
    <w:unhideWhenUsed w:val="1"/>
    <w:rsid w:val="0019481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ushmanwakefield.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edia.poland@cushwake.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irst.last@cushwak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bfDsu0C9EWFslcyZm+bKAa8wA==">CgMxLjA4AHIhMTRRaThPMzVRVm0tOVJFNHZRYzhkakJia25CN0JnWjEt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2025-09-22T09:24:00Z</dcterms:created>
  <dc:creator>Natalia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01c4386eb9a1dc9de2fec12738f87015bcc4ef4c8803dccae430c9e60e042de1</vt:lpwstr>
  </property>
  <property fmtid="{D5CDD505-2E9C-101B-9397-08002B2CF9AE}" pid="3" name="ContentTypeId">
    <vt:lpwstr>0x010100C609ED7BA2763A478EDE0130F91B5123</vt:lpwstr>
  </property>
</Properties>
</file>