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5B24" w14:textId="348D5D7B" w:rsidR="00E8284F" w:rsidRDefault="00000000">
      <w:pPr>
        <w:spacing w:after="0" w:line="269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Piotrków Trybunalski, </w:t>
      </w:r>
      <w:r w:rsidR="003A2FB4">
        <w:rPr>
          <w:sz w:val="20"/>
          <w:szCs w:val="20"/>
        </w:rPr>
        <w:t>19.09</w:t>
      </w:r>
      <w:r>
        <w:rPr>
          <w:sz w:val="20"/>
          <w:szCs w:val="20"/>
        </w:rPr>
        <w:t>.2025</w:t>
      </w:r>
    </w:p>
    <w:p w14:paraId="2EA55689" w14:textId="77777777" w:rsidR="00E8284F" w:rsidRDefault="00000000">
      <w:pPr>
        <w:jc w:val="both"/>
        <w:rPr>
          <w:b/>
        </w:rPr>
      </w:pPr>
      <w:r>
        <w:rPr>
          <w:b/>
        </w:rPr>
        <w:br/>
      </w:r>
    </w:p>
    <w:p w14:paraId="17F5932C" w14:textId="72446E25" w:rsidR="00E828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Przesyłki pod kontrolą </w:t>
      </w:r>
      <w:r w:rsidR="003A2FB4">
        <w:rPr>
          <w:b/>
          <w:sz w:val="24"/>
          <w:szCs w:val="24"/>
        </w:rPr>
        <w:t>–</w:t>
      </w:r>
      <w:r>
        <w:rPr>
          <w:b/>
          <w:sz w:val="28"/>
          <w:szCs w:val="28"/>
        </w:rPr>
        <w:t xml:space="preserve"> jak chronić dane w fizycznej korespondencji</w:t>
      </w:r>
      <w:r>
        <w:rPr>
          <w:b/>
          <w:sz w:val="28"/>
          <w:szCs w:val="28"/>
        </w:rPr>
        <w:br/>
      </w:r>
    </w:p>
    <w:p w14:paraId="431BCAD0" w14:textId="574CD306" w:rsidR="00E8284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czasach coraz częstszych wycieków danych oraz zaostrzających się regulacji dotyczących ich ochrony, firmy nie mogą już pozwolić sobie na niedopatrzenia – także w sferze fizycznej korespondencji.</w:t>
      </w:r>
      <w:r w:rsidR="003A2F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Specjalistyczne technologie zabezpieczające dane w przesyłkach papierowych, takie jak druki utajnione, pressure sealer czy scratch code, stają się nieodzownym elementem profesjonalnej obsługi klienta. To jednocześnie warunek konieczny do tego, by listy z wrażliwymi informacjami były zgodne z przepisami np. RODO. Administratorem danych w zakresie niezbędnym do doręczenia przesyłki jest operator pocztowy, procedury bezpieczeństwa obejmują jednak nie tylko wysyłkę. To także druk i konfekcjonowanie korespondencji, dlatego tak ważna jest ścisła współpraca między tym, kto przesyłki doręcza i tym, kto je produkuje. Jak chroni się dziś poufne dane w tradycyjnej korespondencji papierowej? Wyjaśniają eksperci z rynku pocztowego. </w:t>
      </w:r>
    </w:p>
    <w:p w14:paraId="1C406083" w14:textId="77777777" w:rsidR="00E8284F" w:rsidRDefault="00000000">
      <w:pPr>
        <w:jc w:val="both"/>
      </w:pPr>
      <w:r>
        <w:t>Większość firm w Polsce skupia się na zabezpieczeniu danych w systemach informatycznych, co wcale nie dziwi, bo według Urzędu Ochrony Danych Osobowych w 2023 roku administratorzy zgłosili 7 tys. naruszeń.</w:t>
      </w:r>
      <w:r>
        <w:rPr>
          <w:vertAlign w:val="superscript"/>
        </w:rPr>
        <w:footnoteReference w:id="1"/>
      </w:r>
      <w:r>
        <w:t xml:space="preserve"> Choć skala ta w przypadku korespondencji fizycznej jest mniejsza, zdarzają się przypadki zagubionych przesyłek lub listów doręczonych do niewłaściwego odbiorcy. Tymczasem listy polecone zawierające dane osobowe – rozliczenia, hasła dostępu, PIN-y, wyniki badań czy poufne dane klientów – podlegają tym samym przepisom, co dane przetwarzane cyfrowo. Reguluje to kilka aktów prawnych, z których głównym jest RODO (Rozporządzenie UE), ale także krajowe ustawy i przepisy szczegółowe (KPC, KPA, Prawo Pocztowe czy ust. z dnia 10 maja 2018 r. o ochronie danych osobowych).</w:t>
      </w:r>
    </w:p>
    <w:p w14:paraId="6CC337FC" w14:textId="3F1E5ACF" w:rsidR="00E8284F" w:rsidRDefault="00000000">
      <w:pPr>
        <w:jc w:val="both"/>
      </w:pPr>
      <w:r>
        <w:rPr>
          <w:i/>
        </w:rPr>
        <w:t xml:space="preserve">– Firmy coraz częściej rozumieją, że bezpieczeństwo danych jest konieczne na każdym etapie doręczenia przesyłki, począwszy od produkcji specjalistycznych dokumentów utajnionych i konfekcjonowanie, po odpowiednie zabezpieczenie poufnych danych, przygotowanie do wysyłki i doręczenie do rąk własnych adresata. Każdy dokument papierowy, zawierający dane osobowe, powinien być traktowany z pełnym reżimem bezpieczeństwa. Dlatego tak ważne jest stosowanie rozwiązań wymagających zachowania wysokiego stopnia poufności, żeby uchronić dane wrażliwe przed ewentualnym ryzykiem ich ujawnienia – </w:t>
      </w:r>
      <w:r>
        <w:t xml:space="preserve">podkreśla </w:t>
      </w:r>
      <w:r w:rsidR="00E91DA8">
        <w:t>Janusz Konopka prezes zarządu Speedmail, największego w Polsce prywatnego operatora pocztowego.</w:t>
      </w:r>
      <w:r>
        <w:t xml:space="preserve"> </w:t>
      </w:r>
    </w:p>
    <w:p w14:paraId="1847B9CF" w14:textId="77777777" w:rsidR="00E8284F" w:rsidRDefault="00000000">
      <w:pPr>
        <w:jc w:val="both"/>
        <w:rPr>
          <w:b/>
        </w:rPr>
      </w:pPr>
      <w:r>
        <w:rPr>
          <w:b/>
        </w:rPr>
        <w:t>Nowoczesne technologie, które chronią fizyczne dane</w:t>
      </w:r>
    </w:p>
    <w:p w14:paraId="12AFE609" w14:textId="02BC620D" w:rsidR="00E8284F" w:rsidRDefault="00000000">
      <w:pPr>
        <w:jc w:val="both"/>
        <w:rPr>
          <w:highlight w:val="white"/>
        </w:rPr>
      </w:pPr>
      <w:r>
        <w:lastRenderedPageBreak/>
        <w:t xml:space="preserve">Należy pamiętać, że papierowa korespondencja również może naruszać RODO. W odpowiedzi na te oraz wiele innych potrzeb, na rynku dostępne są zaawansowane techniki druku i zabezpieczania przesyłek, które znacząco podnoszą poziom ochrony informacji. Przykładem takich zabezpieczeń są </w:t>
      </w:r>
      <w:r>
        <w:rPr>
          <w:highlight w:val="white"/>
        </w:rPr>
        <w:t>produkty z etykietami scratch code i code 09 służące do przekazywani</w:t>
      </w:r>
      <w:r>
        <w:t>a zastrzeżonych</w:t>
      </w:r>
      <w:r>
        <w:rPr>
          <w:highlight w:val="white"/>
        </w:rPr>
        <w:t xml:space="preserve"> kodów. </w:t>
      </w:r>
      <w:r>
        <w:t xml:space="preserve">Poufne </w:t>
      </w:r>
      <w:r>
        <w:rPr>
          <w:highlight w:val="white"/>
        </w:rPr>
        <w:t xml:space="preserve">dane, takie jak np. kod PIN, nanoszone są na specjalną etykietę i zabezpieczone warstwą ochronną. Informację można odczytać dopiero po zdrapaniu (scratch code) lub rozciągnięciu (code 09) etykiety. Innym skutecznym rozwiązaniem są popularne koperty PIN-owe i płacowe </w:t>
      </w:r>
      <w:r w:rsidR="003A2FB4">
        <w:t>–</w:t>
      </w:r>
      <w:r>
        <w:rPr>
          <w:highlight w:val="white"/>
        </w:rPr>
        <w:t xml:space="preserve"> druki utajnione ze składanki komputerowej, zabezpieczające treść przed odczytem bez naruszenia dokumentu. Alternatywą są druki typu pressure sealer – pojedyncze arkusze A4 lub składanki perforowane i pokryte specjalnym klejem aktywowanym naciskiem. Po zadrukowaniu i złożeniu na maszynie, tworzą one zaklejoną „kopertę” z ukrytą zawartością.</w:t>
      </w:r>
    </w:p>
    <w:p w14:paraId="0118A4B7" w14:textId="64F97BDC" w:rsidR="00E8284F" w:rsidRPr="00FE22EE" w:rsidRDefault="00000000">
      <w:pPr>
        <w:jc w:val="both"/>
      </w:pPr>
      <w:r>
        <w:t xml:space="preserve">- </w:t>
      </w:r>
      <w:r>
        <w:rPr>
          <w:i/>
        </w:rPr>
        <w:t xml:space="preserve">Takie rozwiązania technologiczne powszechnie wykorzystujemy w korespondencji </w:t>
      </w:r>
      <w:r w:rsidR="00E91DA8">
        <w:rPr>
          <w:i/>
        </w:rPr>
        <w:t>produkowanej dla części naszych klientów</w:t>
      </w:r>
      <w:r>
        <w:rPr>
          <w:i/>
        </w:rPr>
        <w:t xml:space="preserve"> </w:t>
      </w:r>
      <w:r w:rsidR="00E91DA8">
        <w:rPr>
          <w:i/>
        </w:rPr>
        <w:t>–</w:t>
      </w:r>
      <w:r>
        <w:rPr>
          <w:i/>
        </w:rPr>
        <w:t xml:space="preserve"> </w:t>
      </w:r>
      <w:r w:rsidR="00E91DA8">
        <w:rPr>
          <w:i/>
        </w:rPr>
        <w:t xml:space="preserve">m.in. </w:t>
      </w:r>
      <w:r>
        <w:rPr>
          <w:i/>
        </w:rPr>
        <w:t>banków czy u</w:t>
      </w:r>
      <w:r w:rsidR="00E91DA8">
        <w:rPr>
          <w:i/>
        </w:rPr>
        <w:t>bezpieczycieli</w:t>
      </w:r>
      <w:r w:rsidR="003A2FB4">
        <w:rPr>
          <w:i/>
        </w:rPr>
        <w:t xml:space="preserve"> </w:t>
      </w:r>
      <w:r w:rsidR="003A2FB4">
        <w:t>–</w:t>
      </w:r>
      <w:r w:rsidR="003A2FB4">
        <w:t xml:space="preserve"> </w:t>
      </w:r>
      <w:r>
        <w:rPr>
          <w:i/>
        </w:rPr>
        <w:t>a zatem</w:t>
      </w:r>
      <w:r w:rsidR="00BD769B">
        <w:rPr>
          <w:i/>
        </w:rPr>
        <w:t xml:space="preserve"> w</w:t>
      </w:r>
      <w:r>
        <w:rPr>
          <w:i/>
        </w:rPr>
        <w:t xml:space="preserve"> przesyłk</w:t>
      </w:r>
      <w:r w:rsidR="00BD769B">
        <w:rPr>
          <w:i/>
        </w:rPr>
        <w:t>ach</w:t>
      </w:r>
      <w:r>
        <w:rPr>
          <w:i/>
        </w:rPr>
        <w:t>, które najczęściej zawierają poufne dane. Zastosowanie utajnionych technik w korespondencji przynosi firmom wymierne korzyści. Ogranicza ryzyko naruszeń i kar administracyjnych w pełnej zgodności z przepisami o ochronie danych osobowych. Dbanie o zaufanie klientów i kompleksowe podejście do ochrony ich danych poufnych to dla nas priorytet w codziennej pracy</w:t>
      </w:r>
      <w:r w:rsidR="00E91DA8">
        <w:rPr>
          <w:i/>
        </w:rPr>
        <w:t xml:space="preserve"> </w:t>
      </w:r>
      <w:r>
        <w:t xml:space="preserve">– dodaje </w:t>
      </w:r>
      <w:r w:rsidR="00E91DA8">
        <w:t xml:space="preserve">Maciej </w:t>
      </w:r>
      <w:proofErr w:type="spellStart"/>
      <w:r w:rsidR="00E91DA8">
        <w:t>Frukacz</w:t>
      </w:r>
      <w:proofErr w:type="spellEnd"/>
      <w:r w:rsidR="00E91DA8">
        <w:t xml:space="preserve"> prezes zarządu EDC </w:t>
      </w:r>
      <w:proofErr w:type="spellStart"/>
      <w:r w:rsidR="00E91DA8">
        <w:t>Expert</w:t>
      </w:r>
      <w:proofErr w:type="spellEnd"/>
      <w:r w:rsidR="00E91DA8">
        <w:t xml:space="preserve"> Direct </w:t>
      </w:r>
      <w:proofErr w:type="spellStart"/>
      <w:r w:rsidR="00E91DA8">
        <w:t>Communication</w:t>
      </w:r>
      <w:proofErr w:type="spellEnd"/>
      <w:r w:rsidR="00E91DA8">
        <w:t xml:space="preserve"> wchodzącej w skład </w:t>
      </w:r>
      <w:r w:rsidR="00FE22EE">
        <w:t>G</w:t>
      </w:r>
      <w:r w:rsidR="00E91DA8">
        <w:t>rupy Emerson - lidera w dziedzinie innowacyjnych usług i produktów dla biznesu.</w:t>
      </w:r>
    </w:p>
    <w:p w14:paraId="2973B1DC" w14:textId="77777777" w:rsidR="00E8284F" w:rsidRDefault="00000000">
      <w:pPr>
        <w:jc w:val="both"/>
      </w:pPr>
      <w:r>
        <w:t>Połączenie rozwiązań technologicznych i zaawansowanych systemów druku zabezpieczonego – z doświadczeniem w logistyce, personalizacji i masowej dystrybucji przesyłek sprawia, że usługi mają charakter kompleksowy. Pozwala to tworzyć rozwiązania „end-to-end”, obejmujące każdy etap procesu komunikacji papierowej – od zlecenia w formie cyfrowej, przez druk, odpowiednie kopertowanie i zabezpieczanie informacji, aż po fizyczną dystrybucję dokumentów przez operatora pocztowego do odbiorców końcowych.</w:t>
      </w:r>
    </w:p>
    <w:p w14:paraId="567B134C" w14:textId="77777777" w:rsidR="00E8284F" w:rsidRDefault="00E8284F">
      <w:pPr>
        <w:spacing w:after="0" w:line="269" w:lineRule="auto"/>
        <w:jc w:val="both"/>
      </w:pPr>
    </w:p>
    <w:p w14:paraId="7E569DE4" w14:textId="77777777" w:rsidR="00E8284F" w:rsidRDefault="00E8284F">
      <w:pPr>
        <w:spacing w:after="0" w:line="269" w:lineRule="auto"/>
        <w:jc w:val="both"/>
      </w:pPr>
    </w:p>
    <w:p w14:paraId="5BF42C89" w14:textId="77777777" w:rsidR="00E8284F" w:rsidRDefault="00E8284F">
      <w:pPr>
        <w:spacing w:after="0" w:line="269" w:lineRule="auto"/>
        <w:jc w:val="both"/>
      </w:pPr>
    </w:p>
    <w:p w14:paraId="415D7596" w14:textId="77777777" w:rsidR="00E8284F" w:rsidRDefault="000000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***</w:t>
      </w:r>
    </w:p>
    <w:p w14:paraId="3974D1F6" w14:textId="20AEABEA" w:rsidR="00E8284F" w:rsidRDefault="00000000">
      <w:pPr>
        <w:shd w:val="clear" w:color="auto" w:fill="FFFFFF"/>
        <w:spacing w:after="0" w:line="268" w:lineRule="auto"/>
        <w:jc w:val="both"/>
        <w:rPr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Speedmail</w:t>
      </w:r>
      <w:r>
        <w:rPr>
          <w:color w:val="222222"/>
          <w:sz w:val="20"/>
          <w:szCs w:val="20"/>
        </w:rPr>
        <w:t xml:space="preserve"> to największy w Polsce niezależny operator pocztowy. Firma doręcza przesyłki listowe i marketingowe poprzez sieć ponad 100 </w:t>
      </w:r>
      <w:r w:rsidR="003A2FB4">
        <w:rPr>
          <w:color w:val="222222"/>
          <w:sz w:val="20"/>
          <w:szCs w:val="20"/>
        </w:rPr>
        <w:t>punktów dystrybucyjnych zlokalizowanych</w:t>
      </w:r>
      <w:r>
        <w:rPr>
          <w:color w:val="222222"/>
          <w:sz w:val="20"/>
          <w:szCs w:val="20"/>
        </w:rPr>
        <w:t xml:space="preserve"> w większości dużych i średnich miast kraju. Oferta Speedmail adresowana jest do firm takich jak: banki, operatorzy telekomunikacyjni, telewizje kablowe, firmy ubezpieczeniowe, ale też do agencji marketingowych, fundacji, samorządów oraz spółek miejskich. Jej konkurencyjną przewagę stanowią zarówno elastyczność cenowa, jak i najnowsze rozwiązania IT: śledzenie wszystkich przesyłek, monitoring listonoszy on-line czy aplikacja do zarządzania korespondencją. Dzięki zintegrowaniu z największymi drukarniami korespondencji i firmami konfekcyjnymi, Speedmail zapewnia pełną automatyzację wysyłek masowych. Działalność firmy wyróżnia zastosowanie sprawdzonych rozwiązań logistycznych, ale także dbałość o bezpieczeństwo obrotu pocztowego. Marka Speedmail budowana jest w oparciu o najlepsze praktyki i doświadczenia rynków europejskich. </w:t>
      </w:r>
    </w:p>
    <w:p w14:paraId="51A7955F" w14:textId="77777777" w:rsidR="00E8284F" w:rsidRDefault="00E8284F">
      <w:pPr>
        <w:shd w:val="clear" w:color="auto" w:fill="FFFFFF"/>
        <w:spacing w:after="0" w:line="268" w:lineRule="auto"/>
        <w:jc w:val="both"/>
        <w:rPr>
          <w:color w:val="222222"/>
          <w:sz w:val="20"/>
          <w:szCs w:val="20"/>
        </w:rPr>
      </w:pPr>
    </w:p>
    <w:p w14:paraId="251A3089" w14:textId="77777777" w:rsidR="00E8284F" w:rsidRDefault="00E8284F">
      <w:pPr>
        <w:spacing w:after="0" w:line="266" w:lineRule="auto"/>
        <w:jc w:val="both"/>
        <w:rPr>
          <w:b/>
          <w:color w:val="000000"/>
          <w:sz w:val="18"/>
          <w:szCs w:val="18"/>
        </w:rPr>
      </w:pPr>
    </w:p>
    <w:p w14:paraId="78C4B522" w14:textId="77777777" w:rsidR="00E8284F" w:rsidRDefault="00000000">
      <w:pPr>
        <w:spacing w:after="0" w:line="26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Kontakt dla mediów:</w:t>
      </w:r>
    </w:p>
    <w:p w14:paraId="2D65D07D" w14:textId="77777777" w:rsidR="00E8284F" w:rsidRDefault="00000000">
      <w:pPr>
        <w:spacing w:after="0" w:line="266" w:lineRule="auto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Piotr Chojnacki</w:t>
      </w:r>
    </w:p>
    <w:p w14:paraId="35FC1E0F" w14:textId="77777777" w:rsidR="00E8284F" w:rsidRDefault="00000000">
      <w:pPr>
        <w:spacing w:after="0" w:line="26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Tel. + 48 796 996 </w:t>
      </w:r>
      <w:r>
        <w:rPr>
          <w:sz w:val="18"/>
          <w:szCs w:val="18"/>
        </w:rPr>
        <w:t>267</w:t>
      </w:r>
    </w:p>
    <w:p w14:paraId="2419E657" w14:textId="77777777" w:rsidR="00E8284F" w:rsidRPr="002324F1" w:rsidRDefault="00000000">
      <w:pPr>
        <w:spacing w:after="0" w:line="269" w:lineRule="auto"/>
        <w:jc w:val="both"/>
        <w:rPr>
          <w:lang w:val="en-US"/>
        </w:rPr>
      </w:pPr>
      <w:r w:rsidRPr="002324F1">
        <w:rPr>
          <w:color w:val="000000"/>
          <w:sz w:val="18"/>
          <w:szCs w:val="18"/>
          <w:lang w:val="en-US"/>
        </w:rPr>
        <w:t xml:space="preserve">E-mail: </w:t>
      </w:r>
      <w:r w:rsidRPr="002324F1">
        <w:rPr>
          <w:sz w:val="18"/>
          <w:szCs w:val="18"/>
          <w:lang w:val="en-US"/>
        </w:rPr>
        <w:t>piotr.chojnacki</w:t>
      </w:r>
      <w:r w:rsidRPr="002324F1">
        <w:rPr>
          <w:color w:val="000000"/>
          <w:sz w:val="18"/>
          <w:szCs w:val="18"/>
          <w:lang w:val="en-US"/>
        </w:rPr>
        <w:t>@goodonepr.pl</w:t>
      </w:r>
    </w:p>
    <w:p w14:paraId="10A656A0" w14:textId="77777777" w:rsidR="00E8284F" w:rsidRPr="002324F1" w:rsidRDefault="00E8284F">
      <w:pPr>
        <w:spacing w:after="0" w:line="269" w:lineRule="auto"/>
        <w:jc w:val="both"/>
        <w:rPr>
          <w:lang w:val="en-US"/>
        </w:rPr>
      </w:pPr>
    </w:p>
    <w:sectPr w:rsidR="00E8284F" w:rsidRPr="002324F1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C17C" w14:textId="77777777" w:rsidR="003C580C" w:rsidRDefault="003C580C">
      <w:pPr>
        <w:spacing w:after="0" w:line="240" w:lineRule="auto"/>
      </w:pPr>
      <w:r>
        <w:separator/>
      </w:r>
    </w:p>
  </w:endnote>
  <w:endnote w:type="continuationSeparator" w:id="0">
    <w:p w14:paraId="33E88B0D" w14:textId="77777777" w:rsidR="003C580C" w:rsidRDefault="003C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81DC" w14:textId="77777777" w:rsidR="00E8284F" w:rsidRDefault="0000000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8A523" wp14:editId="3D53DF12">
          <wp:simplePos x="0" y="0"/>
          <wp:positionH relativeFrom="column">
            <wp:posOffset>-835177</wp:posOffset>
          </wp:positionH>
          <wp:positionV relativeFrom="paragraph">
            <wp:posOffset>6057900</wp:posOffset>
          </wp:positionV>
          <wp:extent cx="7430135" cy="70866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135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5EB787" w14:textId="77777777" w:rsidR="00E828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A18796" wp14:editId="30DB5B5C">
          <wp:simplePos x="0" y="0"/>
          <wp:positionH relativeFrom="column">
            <wp:posOffset>-838196</wp:posOffset>
          </wp:positionH>
          <wp:positionV relativeFrom="paragraph">
            <wp:posOffset>101101</wp:posOffset>
          </wp:positionV>
          <wp:extent cx="7430135" cy="708660"/>
          <wp:effectExtent l="0" t="0" r="0" b="0"/>
          <wp:wrapTopAndBottom distT="0" dist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135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9C5AE" w14:textId="77777777" w:rsidR="003C580C" w:rsidRDefault="003C580C">
      <w:pPr>
        <w:spacing w:after="0" w:line="240" w:lineRule="auto"/>
      </w:pPr>
      <w:r>
        <w:separator/>
      </w:r>
    </w:p>
  </w:footnote>
  <w:footnote w:type="continuationSeparator" w:id="0">
    <w:p w14:paraId="59FE6E59" w14:textId="77777777" w:rsidR="003C580C" w:rsidRDefault="003C580C">
      <w:pPr>
        <w:spacing w:after="0" w:line="240" w:lineRule="auto"/>
      </w:pPr>
      <w:r>
        <w:continuationSeparator/>
      </w:r>
    </w:p>
  </w:footnote>
  <w:footnote w:id="1">
    <w:p w14:paraId="6A4CB867" w14:textId="77777777" w:rsidR="00E8284F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 w:rsidR="00E8284F">
          <w:rPr>
            <w:color w:val="1155CC"/>
            <w:sz w:val="20"/>
            <w:szCs w:val="20"/>
            <w:u w:val="single"/>
          </w:rPr>
          <w:t>https://uodo.gov.pl/pl/138/3457?utm</w:t>
        </w:r>
      </w:hyperlink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4F"/>
    <w:rsid w:val="000A3610"/>
    <w:rsid w:val="002324F1"/>
    <w:rsid w:val="00300878"/>
    <w:rsid w:val="003A2FB4"/>
    <w:rsid w:val="003C580C"/>
    <w:rsid w:val="00B57A16"/>
    <w:rsid w:val="00BD769B"/>
    <w:rsid w:val="00CC1122"/>
    <w:rsid w:val="00E8284F"/>
    <w:rsid w:val="00E91DA8"/>
    <w:rsid w:val="00F60841"/>
    <w:rsid w:val="00F74DFE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BF88"/>
  <w15:docId w15:val="{2DDFC340-83FC-49D4-BB1B-90B80D7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2990"/>
  </w:style>
  <w:style w:type="paragraph" w:styleId="Stopka">
    <w:name w:val="footer"/>
    <w:link w:val="StopkaZnak"/>
    <w:uiPriority w:val="99"/>
    <w:unhideWhenUsed/>
    <w:rsid w:val="00C8299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2990"/>
  </w:style>
  <w:style w:type="paragraph" w:styleId="Tekstdymka">
    <w:name w:val="Balloon Text"/>
    <w:link w:val="TekstdymkaZnak"/>
    <w:uiPriority w:val="99"/>
    <w:semiHidden/>
    <w:unhideWhenUsed/>
    <w:rsid w:val="00C8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90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EE0A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42A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06D9F"/>
    <w:rPr>
      <w:b/>
      <w:bCs/>
    </w:rPr>
  </w:style>
  <w:style w:type="paragraph" w:styleId="Tekstprzypisukocowego">
    <w:name w:val="endnote text"/>
    <w:link w:val="TekstprzypisukocowegoZnak"/>
    <w:uiPriority w:val="99"/>
    <w:semiHidden/>
    <w:unhideWhenUsed/>
    <w:rsid w:val="00B001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8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E04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530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E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E04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6AB"/>
    <w:pPr>
      <w:spacing w:after="0" w:line="240" w:lineRule="auto"/>
    </w:pPr>
    <w:rPr>
      <w:rFonts w:eastAsiaTheme="minorEastAsia"/>
    </w:rPr>
  </w:style>
  <w:style w:type="paragraph" w:styleId="NormalnyWeb">
    <w:name w:val="Normal (Web)"/>
    <w:uiPriority w:val="99"/>
    <w:semiHidden/>
    <w:unhideWhenUsed/>
    <w:rsid w:val="0068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nowrap">
    <w:name w:val="text-nowrap"/>
    <w:basedOn w:val="Domylnaczcionkaakapitu"/>
    <w:rsid w:val="00CD5B01"/>
  </w:style>
  <w:style w:type="character" w:styleId="Uwydatnienie">
    <w:name w:val="Emphasis"/>
    <w:basedOn w:val="Domylnaczcionkaakapitu"/>
    <w:uiPriority w:val="20"/>
    <w:qFormat/>
    <w:rsid w:val="00DA2D5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6BD"/>
    <w:rPr>
      <w:color w:val="605E5C"/>
      <w:shd w:val="clear" w:color="auto" w:fill="E1DFDD"/>
    </w:rPr>
  </w:style>
  <w:style w:type="paragraph" w:styleId="Tekstprzypisudolnego">
    <w:name w:val="footnote text"/>
    <w:link w:val="TekstprzypisudolnegoZnak"/>
    <w:uiPriority w:val="99"/>
    <w:semiHidden/>
    <w:unhideWhenUsed/>
    <w:rsid w:val="00E76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97A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97A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do.gov.pl/pl/138/3457?u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t+yUhLNEDyPijazOuy4RcwtKQ==">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Zielinska</dc:creator>
  <cp:lastModifiedBy>Good One</cp:lastModifiedBy>
  <cp:revision>2</cp:revision>
  <dcterms:created xsi:type="dcterms:W3CDTF">2025-09-18T11:23:00Z</dcterms:created>
  <dcterms:modified xsi:type="dcterms:W3CDTF">2025-09-18T11:23:00Z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12b0b2-1478-4c29-b719-0ace0124ecbe_Enabled">
    <vt:lpwstr>true</vt:lpwstr>
  </property>
  <property fmtid="{D5CDD505-2E9C-101B-9397-08002B2CF9AE}" pid="3" name="MSIP_Label_a812b0b2-1478-4c29-b719-0ace0124ecbe_SetDate">
    <vt:lpwstr>2024-09-23T07:29:57Z</vt:lpwstr>
  </property>
  <property fmtid="{D5CDD505-2E9C-101B-9397-08002B2CF9AE}" pid="4" name="MSIP_Label_a812b0b2-1478-4c29-b719-0ace0124ecbe_Method">
    <vt:lpwstr>Standard</vt:lpwstr>
  </property>
  <property fmtid="{D5CDD505-2E9C-101B-9397-08002B2CF9AE}" pid="5" name="MSIP_Label_a812b0b2-1478-4c29-b719-0ace0124ecbe_Name">
    <vt:lpwstr>PL_01_public</vt:lpwstr>
  </property>
  <property fmtid="{D5CDD505-2E9C-101B-9397-08002B2CF9AE}" pid="6" name="MSIP_Label_a812b0b2-1478-4c29-b719-0ace0124ecbe_SiteId">
    <vt:lpwstr>94a57ab1-b77f-4874-94d3-202694f69e30</vt:lpwstr>
  </property>
  <property fmtid="{D5CDD505-2E9C-101B-9397-08002B2CF9AE}" pid="7" name="MSIP_Label_a812b0b2-1478-4c29-b719-0ace0124ecbe_ActionId">
    <vt:lpwstr>ff1bb62b-11a8-4f6e-9a05-9c15f69cddd9</vt:lpwstr>
  </property>
  <property fmtid="{D5CDD505-2E9C-101B-9397-08002B2CF9AE}" pid="8" name="MSIP_Label_a812b0b2-1478-4c29-b719-0ace0124ecbe_ContentBits">
    <vt:lpwstr>0</vt:lpwstr>
  </property>
</Properties>
</file>