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7404" w14:textId="77777777" w:rsidR="00284F23" w:rsidRDefault="00284F23" w:rsidP="000443A0">
      <w:pPr>
        <w:spacing w:after="120" w:line="240" w:lineRule="auto"/>
        <w:jc w:val="center"/>
        <w:rPr>
          <w:rFonts w:ascii="Calibri" w:hAnsi="Calibri" w:cs="Calibri"/>
          <w:b/>
          <w:bCs/>
        </w:rPr>
      </w:pPr>
    </w:p>
    <w:p w14:paraId="21E5A353" w14:textId="3F97927C" w:rsidR="0020713B" w:rsidRPr="000443A0" w:rsidRDefault="00A3679F" w:rsidP="000443A0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0443A0">
        <w:rPr>
          <w:rFonts w:ascii="Calibri" w:hAnsi="Calibri" w:cs="Calibri"/>
          <w:b/>
          <w:bCs/>
        </w:rPr>
        <w:t>Otwarcie wystawy</w:t>
      </w:r>
      <w:r w:rsidR="00F163C3" w:rsidRPr="000443A0">
        <w:rPr>
          <w:rFonts w:ascii="Calibri" w:hAnsi="Calibri" w:cs="Calibri"/>
          <w:b/>
          <w:bCs/>
        </w:rPr>
        <w:t xml:space="preserve"> „</w:t>
      </w:r>
      <w:r w:rsidR="002D3471" w:rsidRPr="000443A0">
        <w:rPr>
          <w:rFonts w:ascii="Calibri" w:hAnsi="Calibri" w:cs="Calibri"/>
          <w:b/>
          <w:bCs/>
        </w:rPr>
        <w:t xml:space="preserve">Oblicza wsparcia w chorobie” podczas obchodów </w:t>
      </w:r>
      <w:r w:rsidR="00B058AE" w:rsidRPr="000443A0">
        <w:rPr>
          <w:rFonts w:ascii="Calibri" w:hAnsi="Calibri" w:cs="Calibri"/>
          <w:b/>
          <w:bCs/>
        </w:rPr>
        <w:t>2</w:t>
      </w:r>
      <w:r w:rsidR="002D3471" w:rsidRPr="000443A0">
        <w:rPr>
          <w:rFonts w:ascii="Calibri" w:hAnsi="Calibri" w:cs="Calibri"/>
          <w:b/>
          <w:bCs/>
        </w:rPr>
        <w:t xml:space="preserve">5-lecia </w:t>
      </w:r>
      <w:r w:rsidR="00B058AE" w:rsidRPr="000443A0">
        <w:rPr>
          <w:rFonts w:ascii="Calibri" w:hAnsi="Calibri" w:cs="Calibri"/>
          <w:b/>
          <w:bCs/>
        </w:rPr>
        <w:t xml:space="preserve">kierunków medycznych </w:t>
      </w:r>
      <w:r w:rsidR="00B455B2" w:rsidRPr="000443A0">
        <w:rPr>
          <w:rFonts w:ascii="Calibri" w:hAnsi="Calibri" w:cs="Calibri"/>
          <w:b/>
          <w:bCs/>
        </w:rPr>
        <w:t>Uniwersytetu Rzeszowskiego</w:t>
      </w:r>
    </w:p>
    <w:p w14:paraId="7F9BCE38" w14:textId="2E914C78" w:rsidR="009F5CBC" w:rsidRPr="000443A0" w:rsidRDefault="5A9713F5" w:rsidP="000443A0">
      <w:pPr>
        <w:spacing w:after="120" w:line="240" w:lineRule="auto"/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000443A0">
        <w:rPr>
          <w:rFonts w:ascii="Calibri" w:eastAsia="Aptos" w:hAnsi="Calibri" w:cs="Calibri"/>
          <w:b/>
          <w:bCs/>
          <w:sz w:val="22"/>
          <w:szCs w:val="22"/>
        </w:rPr>
        <w:t>18 września br. w Collegium Medicum Uniwersytetu Rzeszowskiego zainaugurowana zosta</w:t>
      </w:r>
      <w:r w:rsidR="00284F23">
        <w:rPr>
          <w:rFonts w:ascii="Calibri" w:eastAsia="Aptos" w:hAnsi="Calibri" w:cs="Calibri"/>
          <w:b/>
          <w:bCs/>
          <w:sz w:val="22"/>
          <w:szCs w:val="22"/>
        </w:rPr>
        <w:t>ła</w:t>
      </w:r>
      <w:r w:rsidRPr="000443A0">
        <w:rPr>
          <w:rFonts w:ascii="Calibri" w:eastAsia="Aptos" w:hAnsi="Calibri" w:cs="Calibri"/>
          <w:b/>
          <w:bCs/>
          <w:sz w:val="22"/>
          <w:szCs w:val="22"/>
        </w:rPr>
        <w:t xml:space="preserve"> wystawa „Oblicza wsparcia w chorobie”. </w:t>
      </w:r>
      <w:r w:rsidR="31E9B6AB" w:rsidRPr="000443A0">
        <w:rPr>
          <w:rFonts w:ascii="Calibri" w:eastAsia="Aptos" w:hAnsi="Calibri" w:cs="Calibri"/>
          <w:b/>
          <w:bCs/>
          <w:sz w:val="22"/>
          <w:szCs w:val="22"/>
        </w:rPr>
        <w:t>Wydarzeniu towarzyszy</w:t>
      </w:r>
      <w:r w:rsidR="00284F23">
        <w:rPr>
          <w:rFonts w:ascii="Calibri" w:eastAsia="Aptos" w:hAnsi="Calibri" w:cs="Calibri"/>
          <w:b/>
          <w:bCs/>
          <w:sz w:val="22"/>
          <w:szCs w:val="22"/>
        </w:rPr>
        <w:t>ło</w:t>
      </w:r>
      <w:r w:rsidR="31E9B6AB" w:rsidRPr="000443A0">
        <w:rPr>
          <w:rFonts w:ascii="Calibri" w:eastAsia="Aptos" w:hAnsi="Calibri" w:cs="Calibri"/>
          <w:b/>
          <w:bCs/>
          <w:sz w:val="22"/>
          <w:szCs w:val="22"/>
        </w:rPr>
        <w:t xml:space="preserve"> podpisanie umowy partnerskiej </w:t>
      </w:r>
      <w:r w:rsidR="007A6144" w:rsidRPr="000443A0">
        <w:rPr>
          <w:rFonts w:ascii="Calibri" w:eastAsia="Aptos" w:hAnsi="Calibri" w:cs="Calibri"/>
          <w:b/>
          <w:bCs/>
          <w:sz w:val="22"/>
          <w:szCs w:val="22"/>
        </w:rPr>
        <w:t xml:space="preserve">Collegium Medicum </w:t>
      </w:r>
      <w:r w:rsidR="31E9B6AB" w:rsidRPr="000443A0">
        <w:rPr>
          <w:rFonts w:ascii="Calibri" w:eastAsia="Aptos" w:hAnsi="Calibri" w:cs="Calibri"/>
          <w:b/>
          <w:bCs/>
          <w:sz w:val="22"/>
          <w:szCs w:val="22"/>
        </w:rPr>
        <w:t>Uniwersytetu Rzeszowskiego z Fundacją Nutricia,</w:t>
      </w:r>
      <w:r w:rsidR="004213D4" w:rsidRPr="000443A0">
        <w:rPr>
          <w:rFonts w:ascii="Calibri" w:eastAsia="Aptos" w:hAnsi="Calibri" w:cs="Calibri"/>
          <w:b/>
          <w:bCs/>
          <w:sz w:val="22"/>
          <w:szCs w:val="22"/>
        </w:rPr>
        <w:t xml:space="preserve"> dzięki której </w:t>
      </w:r>
      <w:r w:rsidR="00C204C0" w:rsidRPr="000443A0">
        <w:rPr>
          <w:rFonts w:ascii="Calibri" w:eastAsia="Aptos" w:hAnsi="Calibri" w:cs="Calibri"/>
          <w:b/>
          <w:bCs/>
          <w:sz w:val="22"/>
          <w:szCs w:val="22"/>
        </w:rPr>
        <w:t>zwiększona zostanie liczba godzin dydaktycznych z zakresu leczenia żywieniowego</w:t>
      </w:r>
      <w:r w:rsidR="004213D4" w:rsidRPr="000443A0">
        <w:rPr>
          <w:rFonts w:ascii="Calibri" w:eastAsia="Aptos" w:hAnsi="Calibri" w:cs="Calibri"/>
          <w:b/>
          <w:bCs/>
          <w:sz w:val="22"/>
          <w:szCs w:val="22"/>
        </w:rPr>
        <w:t xml:space="preserve">. </w:t>
      </w:r>
      <w:r w:rsidR="31E9B6AB" w:rsidRPr="000443A0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="00C83324" w:rsidRPr="000443A0">
        <w:rPr>
          <w:rFonts w:ascii="Calibri" w:eastAsia="Aptos" w:hAnsi="Calibri" w:cs="Calibri"/>
          <w:b/>
          <w:bCs/>
          <w:sz w:val="22"/>
          <w:szCs w:val="22"/>
        </w:rPr>
        <w:t xml:space="preserve">Wydarzenie </w:t>
      </w:r>
      <w:r w:rsidR="0298C052" w:rsidRPr="000443A0">
        <w:rPr>
          <w:rFonts w:ascii="Calibri" w:eastAsia="Aptos" w:hAnsi="Calibri" w:cs="Calibri"/>
          <w:b/>
          <w:bCs/>
          <w:sz w:val="22"/>
          <w:szCs w:val="22"/>
        </w:rPr>
        <w:t>wpisuje si</w:t>
      </w:r>
      <w:r w:rsidRPr="000443A0">
        <w:rPr>
          <w:rFonts w:ascii="Calibri" w:eastAsia="Aptos" w:hAnsi="Calibri" w:cs="Calibri"/>
          <w:b/>
          <w:bCs/>
          <w:sz w:val="22"/>
          <w:szCs w:val="22"/>
        </w:rPr>
        <w:t>ę</w:t>
      </w:r>
      <w:r w:rsidR="7B24153D" w:rsidRPr="000443A0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Pr="000443A0">
        <w:rPr>
          <w:rFonts w:ascii="Calibri" w:eastAsia="Aptos" w:hAnsi="Calibri" w:cs="Calibri"/>
          <w:b/>
          <w:bCs/>
          <w:sz w:val="22"/>
          <w:szCs w:val="22"/>
        </w:rPr>
        <w:t>w</w:t>
      </w:r>
      <w:r w:rsidR="00284F23">
        <w:rPr>
          <w:rFonts w:ascii="Calibri" w:eastAsia="Aptos" w:hAnsi="Calibri" w:cs="Calibri"/>
          <w:b/>
          <w:bCs/>
          <w:sz w:val="22"/>
          <w:szCs w:val="22"/>
        </w:rPr>
        <w:t> </w:t>
      </w:r>
      <w:r w:rsidRPr="000443A0">
        <w:rPr>
          <w:rFonts w:ascii="Calibri" w:eastAsia="Aptos" w:hAnsi="Calibri" w:cs="Calibri"/>
          <w:b/>
          <w:bCs/>
          <w:sz w:val="22"/>
          <w:szCs w:val="22"/>
        </w:rPr>
        <w:t>jubileusz 25-lecia kierunków medycznych uczelni, podkreślając wagę wspólnego działania na rzecz pacjentów i ich opiekunów.</w:t>
      </w:r>
    </w:p>
    <w:p w14:paraId="7E88C2F7" w14:textId="497AE2C9" w:rsidR="787515F7" w:rsidRPr="00284F23" w:rsidRDefault="7A245708" w:rsidP="000443A0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0443A0">
        <w:rPr>
          <w:rFonts w:ascii="Calibri" w:eastAsia="Aptos" w:hAnsi="Calibri" w:cs="Calibri"/>
          <w:sz w:val="22"/>
          <w:szCs w:val="22"/>
        </w:rPr>
        <w:t xml:space="preserve">Uroczyste </w:t>
      </w:r>
      <w:r w:rsidR="1ECBE505" w:rsidRPr="000443A0">
        <w:rPr>
          <w:rFonts w:ascii="Calibri" w:eastAsia="Aptos" w:hAnsi="Calibri" w:cs="Calibri"/>
          <w:sz w:val="22"/>
          <w:szCs w:val="22"/>
        </w:rPr>
        <w:t>o</w:t>
      </w:r>
      <w:r w:rsidR="787515F7" w:rsidRPr="000443A0">
        <w:rPr>
          <w:rFonts w:ascii="Calibri" w:eastAsia="Aptos" w:hAnsi="Calibri" w:cs="Calibri"/>
          <w:sz w:val="22"/>
          <w:szCs w:val="22"/>
        </w:rPr>
        <w:t>twarcie wystawy odb</w:t>
      </w:r>
      <w:r w:rsidR="00284F23">
        <w:rPr>
          <w:rFonts w:ascii="Calibri" w:eastAsia="Aptos" w:hAnsi="Calibri" w:cs="Calibri"/>
          <w:sz w:val="22"/>
          <w:szCs w:val="22"/>
        </w:rPr>
        <w:t>yło</w:t>
      </w:r>
      <w:r w:rsidR="787515F7" w:rsidRPr="000443A0">
        <w:rPr>
          <w:rFonts w:ascii="Calibri" w:eastAsia="Aptos" w:hAnsi="Calibri" w:cs="Calibri"/>
          <w:sz w:val="22"/>
          <w:szCs w:val="22"/>
        </w:rPr>
        <w:t xml:space="preserve"> się 18 września </w:t>
      </w:r>
      <w:r w:rsidR="4E164B96" w:rsidRPr="000443A0">
        <w:rPr>
          <w:rFonts w:ascii="Calibri" w:hAnsi="Calibri" w:cs="Calibri"/>
          <w:sz w:val="22"/>
          <w:szCs w:val="22"/>
        </w:rPr>
        <w:t>na Uniwersytecie Rzeszowskim w budynku A1 przy al. Tadeusza Rejtana 16C na I piętrze.</w:t>
      </w:r>
      <w:r w:rsidR="4D033E07" w:rsidRPr="000443A0">
        <w:rPr>
          <w:rFonts w:ascii="Calibri" w:hAnsi="Calibri" w:cs="Calibri"/>
          <w:sz w:val="22"/>
          <w:szCs w:val="22"/>
        </w:rPr>
        <w:t xml:space="preserve"> W wydarzeniu w</w:t>
      </w:r>
      <w:r w:rsidR="00284F23">
        <w:rPr>
          <w:rFonts w:ascii="Calibri" w:hAnsi="Calibri" w:cs="Calibri"/>
          <w:sz w:val="22"/>
          <w:szCs w:val="22"/>
        </w:rPr>
        <w:t>zięli</w:t>
      </w:r>
      <w:r w:rsidR="4D033E07" w:rsidRPr="000443A0">
        <w:rPr>
          <w:rFonts w:ascii="Calibri" w:hAnsi="Calibri" w:cs="Calibri"/>
          <w:sz w:val="22"/>
          <w:szCs w:val="22"/>
        </w:rPr>
        <w:t xml:space="preserve"> udział: </w:t>
      </w:r>
      <w:r w:rsidR="5D7DC136" w:rsidRPr="000443A0">
        <w:rPr>
          <w:rFonts w:ascii="Calibri" w:hAnsi="Calibri" w:cs="Calibri"/>
          <w:b/>
          <w:bCs/>
          <w:sz w:val="22"/>
          <w:szCs w:val="22"/>
        </w:rPr>
        <w:t>prof. dr hab. Wojciech Załuska - Przewodniczący KRAUM, Adrian Witczak - Poseł na Sejm RP i przewodniczący Parlamentarnego Zespołu ds. Leczenia Żywieniowego</w:t>
      </w:r>
      <w:r w:rsidR="79563FE4" w:rsidRPr="000443A0">
        <w:rPr>
          <w:rFonts w:ascii="Calibri" w:hAnsi="Calibri" w:cs="Calibri"/>
          <w:b/>
          <w:bCs/>
          <w:sz w:val="22"/>
          <w:szCs w:val="22"/>
        </w:rPr>
        <w:t xml:space="preserve">, prof. </w:t>
      </w:r>
      <w:r w:rsidR="241D0936" w:rsidRPr="000443A0">
        <w:rPr>
          <w:rFonts w:ascii="Calibri" w:hAnsi="Calibri" w:cs="Calibri"/>
          <w:b/>
          <w:bCs/>
          <w:sz w:val="22"/>
          <w:szCs w:val="22"/>
        </w:rPr>
        <w:t>d</w:t>
      </w:r>
      <w:r w:rsidR="79563FE4" w:rsidRPr="000443A0">
        <w:rPr>
          <w:rFonts w:ascii="Calibri" w:hAnsi="Calibri" w:cs="Calibri"/>
          <w:b/>
          <w:bCs/>
          <w:sz w:val="22"/>
          <w:szCs w:val="22"/>
        </w:rPr>
        <w:t xml:space="preserve">r hab. Artur Mazur – Prorektor ds. Collegium Medicum Uniwersytetu Rzeszowskiego oraz Anna Cywińska </w:t>
      </w:r>
      <w:r w:rsidR="00F55E77" w:rsidRPr="000443A0">
        <w:rPr>
          <w:rFonts w:ascii="Calibri" w:hAnsi="Calibri" w:cs="Calibri"/>
          <w:b/>
          <w:bCs/>
          <w:sz w:val="22"/>
          <w:szCs w:val="22"/>
        </w:rPr>
        <w:t>–</w:t>
      </w:r>
      <w:r w:rsidR="79563FE4" w:rsidRPr="000443A0">
        <w:rPr>
          <w:rFonts w:ascii="Calibri" w:hAnsi="Calibri" w:cs="Calibri"/>
          <w:b/>
          <w:bCs/>
          <w:sz w:val="22"/>
          <w:szCs w:val="22"/>
        </w:rPr>
        <w:t xml:space="preserve"> Prezes Fundacji Nutricia. </w:t>
      </w:r>
    </w:p>
    <w:p w14:paraId="379E882D" w14:textId="76A51FC4" w:rsidR="002167F0" w:rsidRPr="000443A0" w:rsidRDefault="002167F0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43A0">
        <w:rPr>
          <w:rFonts w:ascii="Calibri" w:hAnsi="Calibri" w:cs="Calibri"/>
          <w:b/>
          <w:bCs/>
          <w:sz w:val="22"/>
          <w:szCs w:val="22"/>
        </w:rPr>
        <w:t>Oblicza wsparcia w chorobie</w:t>
      </w:r>
    </w:p>
    <w:p w14:paraId="18306420" w14:textId="18405FC9" w:rsidR="0005393D" w:rsidRPr="000443A0" w:rsidRDefault="008B1EFF" w:rsidP="000443A0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0443A0">
        <w:rPr>
          <w:rFonts w:ascii="Calibri" w:hAnsi="Calibri" w:cs="Calibri"/>
          <w:sz w:val="22"/>
          <w:szCs w:val="22"/>
        </w:rPr>
        <w:t>Wystawa „Oblicza wsparcia w chorobie”</w:t>
      </w:r>
      <w:r w:rsidR="43F56115" w:rsidRPr="000443A0">
        <w:rPr>
          <w:rFonts w:ascii="Calibri" w:hAnsi="Calibri" w:cs="Calibri"/>
          <w:sz w:val="22"/>
          <w:szCs w:val="22"/>
        </w:rPr>
        <w:t xml:space="preserve"> organizowana przez Parlamentarny Zespół ds. </w:t>
      </w:r>
      <w:r w:rsidR="06235FA0" w:rsidRPr="000443A0">
        <w:rPr>
          <w:rFonts w:ascii="Calibri" w:hAnsi="Calibri" w:cs="Calibri"/>
          <w:sz w:val="22"/>
          <w:szCs w:val="22"/>
        </w:rPr>
        <w:t xml:space="preserve">Leczenia </w:t>
      </w:r>
      <w:r w:rsidR="43F56115" w:rsidRPr="000443A0">
        <w:rPr>
          <w:rFonts w:ascii="Calibri" w:hAnsi="Calibri" w:cs="Calibri"/>
          <w:sz w:val="22"/>
          <w:szCs w:val="22"/>
        </w:rPr>
        <w:t>Żywieniowego i Fundację Nutricia,</w:t>
      </w:r>
      <w:r w:rsidRPr="000443A0">
        <w:rPr>
          <w:rFonts w:ascii="Calibri" w:hAnsi="Calibri" w:cs="Calibri"/>
          <w:sz w:val="22"/>
          <w:szCs w:val="22"/>
        </w:rPr>
        <w:t xml:space="preserve"> koncentruje się na codziennym życiu pacjentów i ich opiekunów, ukazując wyzwania związane z chorobą. Ekspozycja pozwala lepiej zrozumieć znaczenie odpowiedniego żywienia w procesie leczenia i rekonwalescencji. </w:t>
      </w:r>
      <w:r w:rsidR="00793A06" w:rsidRPr="000443A0">
        <w:rPr>
          <w:rFonts w:ascii="Calibri" w:hAnsi="Calibri" w:cs="Calibri"/>
          <w:sz w:val="22"/>
          <w:szCs w:val="22"/>
        </w:rPr>
        <w:t xml:space="preserve">Jej </w:t>
      </w:r>
      <w:r w:rsidR="00EB29AF" w:rsidRPr="000443A0">
        <w:rPr>
          <w:rFonts w:ascii="Calibri" w:hAnsi="Calibri" w:cs="Calibri"/>
          <w:sz w:val="22"/>
          <w:szCs w:val="22"/>
        </w:rPr>
        <w:t>celem jest nie tylko przybliżenie doświadczeń pacjentów, ale przede</w:t>
      </w:r>
      <w:r w:rsidR="002809B5" w:rsidRPr="000443A0">
        <w:rPr>
          <w:rFonts w:ascii="Calibri" w:hAnsi="Calibri" w:cs="Calibri"/>
          <w:sz w:val="22"/>
          <w:szCs w:val="22"/>
        </w:rPr>
        <w:t xml:space="preserve"> wszystkim zwiększenie świadomości społecznej na temat roli żywienia medycznego oraz znaczenia wsparcia pacjentów w ich codziennym </w:t>
      </w:r>
      <w:r w:rsidR="00C17E3C" w:rsidRPr="000443A0">
        <w:rPr>
          <w:rFonts w:ascii="Calibri" w:hAnsi="Calibri" w:cs="Calibri"/>
          <w:sz w:val="22"/>
          <w:szCs w:val="22"/>
        </w:rPr>
        <w:t>funkcjonowaniu</w:t>
      </w:r>
      <w:r w:rsidR="002809B5" w:rsidRPr="000443A0">
        <w:rPr>
          <w:rFonts w:ascii="Calibri" w:hAnsi="Calibri" w:cs="Calibri"/>
          <w:sz w:val="22"/>
          <w:szCs w:val="22"/>
        </w:rPr>
        <w:t>.</w:t>
      </w:r>
      <w:r w:rsidR="5A647B6C" w:rsidRPr="000443A0">
        <w:rPr>
          <w:rFonts w:ascii="Calibri" w:hAnsi="Calibri" w:cs="Calibri"/>
          <w:sz w:val="22"/>
          <w:szCs w:val="22"/>
        </w:rPr>
        <w:t xml:space="preserve"> Wystaw</w:t>
      </w:r>
      <w:r w:rsidR="003D3F9C" w:rsidRPr="000443A0">
        <w:rPr>
          <w:rFonts w:ascii="Calibri" w:hAnsi="Calibri" w:cs="Calibri"/>
          <w:sz w:val="22"/>
          <w:szCs w:val="22"/>
        </w:rPr>
        <w:t>a</w:t>
      </w:r>
      <w:r w:rsidR="59E88165" w:rsidRPr="000443A0">
        <w:rPr>
          <w:rFonts w:ascii="Calibri" w:hAnsi="Calibri" w:cs="Calibri"/>
          <w:sz w:val="22"/>
          <w:szCs w:val="22"/>
        </w:rPr>
        <w:t xml:space="preserve"> dostępna jest dla wszystkich zainteresowanych i</w:t>
      </w:r>
      <w:r w:rsidR="5A647B6C" w:rsidRPr="000443A0">
        <w:rPr>
          <w:rFonts w:ascii="Calibri" w:hAnsi="Calibri" w:cs="Calibri"/>
          <w:sz w:val="22"/>
          <w:szCs w:val="22"/>
        </w:rPr>
        <w:t xml:space="preserve"> będzie można</w:t>
      </w:r>
      <w:r w:rsidR="66B69F2A" w:rsidRPr="000443A0">
        <w:rPr>
          <w:rFonts w:ascii="Calibri" w:hAnsi="Calibri" w:cs="Calibri"/>
          <w:sz w:val="22"/>
          <w:szCs w:val="22"/>
        </w:rPr>
        <w:t xml:space="preserve"> </w:t>
      </w:r>
      <w:r w:rsidR="5A647B6C" w:rsidRPr="000443A0">
        <w:rPr>
          <w:rFonts w:ascii="Calibri" w:hAnsi="Calibri" w:cs="Calibri"/>
          <w:sz w:val="22"/>
          <w:szCs w:val="22"/>
        </w:rPr>
        <w:t xml:space="preserve">zobaczyć </w:t>
      </w:r>
      <w:r w:rsidR="74081C8C" w:rsidRPr="000443A0">
        <w:rPr>
          <w:rFonts w:ascii="Calibri" w:hAnsi="Calibri" w:cs="Calibri"/>
          <w:sz w:val="22"/>
          <w:szCs w:val="22"/>
        </w:rPr>
        <w:t xml:space="preserve">ją </w:t>
      </w:r>
      <w:r w:rsidR="5A647B6C" w:rsidRPr="000443A0">
        <w:rPr>
          <w:rFonts w:ascii="Calibri" w:hAnsi="Calibri" w:cs="Calibri"/>
          <w:sz w:val="22"/>
          <w:szCs w:val="22"/>
        </w:rPr>
        <w:t xml:space="preserve">do </w:t>
      </w:r>
      <w:r w:rsidR="220928C5" w:rsidRPr="000443A0">
        <w:rPr>
          <w:rFonts w:ascii="Calibri" w:hAnsi="Calibri" w:cs="Calibri"/>
          <w:sz w:val="22"/>
          <w:szCs w:val="22"/>
        </w:rPr>
        <w:t>22</w:t>
      </w:r>
      <w:r w:rsidR="5A647B6C" w:rsidRPr="000443A0">
        <w:rPr>
          <w:rFonts w:ascii="Calibri" w:hAnsi="Calibri" w:cs="Calibri"/>
          <w:sz w:val="22"/>
          <w:szCs w:val="22"/>
        </w:rPr>
        <w:t xml:space="preserve"> września</w:t>
      </w:r>
      <w:r w:rsidR="20F3B926" w:rsidRPr="000443A0">
        <w:rPr>
          <w:rFonts w:ascii="Calibri" w:hAnsi="Calibri" w:cs="Calibri"/>
          <w:sz w:val="22"/>
          <w:szCs w:val="22"/>
        </w:rPr>
        <w:t xml:space="preserve"> br.</w:t>
      </w:r>
    </w:p>
    <w:p w14:paraId="4DDE9301" w14:textId="0E87AA62" w:rsidR="00934AB7" w:rsidRPr="000443A0" w:rsidRDefault="2B2251DE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43A0">
        <w:rPr>
          <w:rFonts w:ascii="Calibri" w:hAnsi="Calibri" w:cs="Calibri"/>
          <w:i/>
          <w:iCs/>
          <w:sz w:val="22"/>
          <w:szCs w:val="22"/>
        </w:rPr>
        <w:t>-</w:t>
      </w:r>
      <w:r w:rsidR="7FCABF14" w:rsidRPr="000443A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247BB" w:rsidRPr="000443A0">
        <w:rPr>
          <w:rFonts w:ascii="Calibri" w:hAnsi="Calibri" w:cs="Calibri"/>
          <w:i/>
          <w:iCs/>
          <w:sz w:val="22"/>
          <w:szCs w:val="22"/>
        </w:rPr>
        <w:t>Żywienie medyczne odgrywa kluczową rolę w moim życiu. Od lat zmagam się z chorobą Leśni</w:t>
      </w:r>
      <w:r w:rsidR="003D6478" w:rsidRPr="000443A0">
        <w:rPr>
          <w:rFonts w:ascii="Calibri" w:hAnsi="Calibri" w:cs="Calibri"/>
          <w:i/>
          <w:iCs/>
          <w:sz w:val="22"/>
          <w:szCs w:val="22"/>
        </w:rPr>
        <w:t>o</w:t>
      </w:r>
      <w:r w:rsidR="00F247BB" w:rsidRPr="000443A0">
        <w:rPr>
          <w:rFonts w:ascii="Calibri" w:hAnsi="Calibri" w:cs="Calibri"/>
          <w:i/>
          <w:iCs/>
          <w:sz w:val="22"/>
          <w:szCs w:val="22"/>
        </w:rPr>
        <w:t>wskiego-Crohna i dzięki wsparciu żywieniowemu mogę normalnie funkcjonować.</w:t>
      </w:r>
      <w:r w:rsidR="4E8DE1E2" w:rsidRPr="000443A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247BB" w:rsidRPr="000443A0">
        <w:rPr>
          <w:rFonts w:ascii="Calibri" w:hAnsi="Calibri" w:cs="Calibri"/>
          <w:i/>
          <w:iCs/>
          <w:sz w:val="22"/>
          <w:szCs w:val="22"/>
        </w:rPr>
        <w:t xml:space="preserve">W ramach działań </w:t>
      </w:r>
      <w:r w:rsidR="003E7556" w:rsidRPr="000443A0">
        <w:rPr>
          <w:rFonts w:ascii="Calibri" w:hAnsi="Calibri" w:cs="Calibri"/>
          <w:i/>
          <w:iCs/>
          <w:sz w:val="22"/>
          <w:szCs w:val="22"/>
        </w:rPr>
        <w:t>Parlamentarnego</w:t>
      </w:r>
      <w:r w:rsidR="00F247BB" w:rsidRPr="000443A0">
        <w:rPr>
          <w:rFonts w:ascii="Calibri" w:hAnsi="Calibri" w:cs="Calibri"/>
          <w:i/>
          <w:iCs/>
          <w:sz w:val="22"/>
          <w:szCs w:val="22"/>
        </w:rPr>
        <w:t xml:space="preserve"> Zespołu ds. Leczenia Żywieniowego dążymy do </w:t>
      </w:r>
      <w:r w:rsidR="00277C46" w:rsidRPr="000443A0">
        <w:rPr>
          <w:rFonts w:ascii="Calibri" w:hAnsi="Calibri" w:cs="Calibri"/>
          <w:i/>
          <w:iCs/>
          <w:sz w:val="22"/>
          <w:szCs w:val="22"/>
        </w:rPr>
        <w:t>zwiększenia świadomości na</w:t>
      </w:r>
      <w:r w:rsidR="00284F23">
        <w:rPr>
          <w:rFonts w:ascii="Calibri" w:hAnsi="Calibri" w:cs="Calibri"/>
          <w:i/>
          <w:iCs/>
          <w:sz w:val="22"/>
          <w:szCs w:val="22"/>
        </w:rPr>
        <w:t> </w:t>
      </w:r>
      <w:r w:rsidR="00277C46" w:rsidRPr="000443A0">
        <w:rPr>
          <w:rFonts w:ascii="Calibri" w:hAnsi="Calibri" w:cs="Calibri"/>
          <w:i/>
          <w:iCs/>
          <w:sz w:val="22"/>
          <w:szCs w:val="22"/>
        </w:rPr>
        <w:t xml:space="preserve">temat znaczenia żywienia medycznego zarówno wśród przyszłych lekarzy, jak i całego społeczeństwa. </w:t>
      </w:r>
      <w:r w:rsidR="001977AE" w:rsidRPr="000443A0">
        <w:rPr>
          <w:rFonts w:ascii="Calibri" w:hAnsi="Calibri" w:cs="Calibri"/>
          <w:i/>
          <w:iCs/>
          <w:sz w:val="22"/>
          <w:szCs w:val="22"/>
        </w:rPr>
        <w:t>Każdy pacjent, który tego potrzebuje, powinien mieć zapewniony dostęp do odpowiedniej formy leczenia</w:t>
      </w:r>
      <w:r w:rsidR="00BE4742" w:rsidRPr="000443A0">
        <w:rPr>
          <w:rFonts w:ascii="Calibri" w:hAnsi="Calibri" w:cs="Calibri"/>
          <w:i/>
          <w:iCs/>
          <w:sz w:val="22"/>
          <w:szCs w:val="22"/>
        </w:rPr>
        <w:t>, także leczenia żywieniowego</w:t>
      </w:r>
      <w:r w:rsidR="00DE27C5" w:rsidRPr="000443A0">
        <w:rPr>
          <w:rFonts w:ascii="Calibri" w:hAnsi="Calibri" w:cs="Calibri"/>
          <w:i/>
          <w:iCs/>
          <w:sz w:val="22"/>
          <w:szCs w:val="22"/>
        </w:rPr>
        <w:t xml:space="preserve">. Wierzę, </w:t>
      </w:r>
      <w:r w:rsidR="003D3F9C" w:rsidRPr="000443A0">
        <w:rPr>
          <w:rFonts w:ascii="Calibri" w:hAnsi="Calibri" w:cs="Calibri"/>
          <w:i/>
          <w:iCs/>
          <w:sz w:val="22"/>
          <w:szCs w:val="22"/>
        </w:rPr>
        <w:t xml:space="preserve">że odpowiednia </w:t>
      </w:r>
      <w:r w:rsidR="00DE27C5" w:rsidRPr="000443A0">
        <w:rPr>
          <w:rFonts w:ascii="Calibri" w:hAnsi="Calibri" w:cs="Calibri"/>
          <w:i/>
          <w:iCs/>
          <w:sz w:val="22"/>
          <w:szCs w:val="22"/>
        </w:rPr>
        <w:t>edukacj</w:t>
      </w:r>
      <w:r w:rsidR="003D3F9C" w:rsidRPr="000443A0">
        <w:rPr>
          <w:rFonts w:ascii="Calibri" w:hAnsi="Calibri" w:cs="Calibri"/>
          <w:i/>
          <w:iCs/>
          <w:sz w:val="22"/>
          <w:szCs w:val="22"/>
        </w:rPr>
        <w:t>a przyszłych pracowników ochrony zdrowia</w:t>
      </w:r>
      <w:r w:rsidR="00DE27C5" w:rsidRPr="000443A0">
        <w:rPr>
          <w:rFonts w:ascii="Calibri" w:hAnsi="Calibri" w:cs="Calibri"/>
          <w:i/>
          <w:iCs/>
          <w:sz w:val="22"/>
          <w:szCs w:val="22"/>
        </w:rPr>
        <w:t xml:space="preserve"> może poprawić komfort życia pacjentów, a także realnie wpływać na skuteczność procesu leczenia</w:t>
      </w:r>
      <w:r w:rsidR="001977AE" w:rsidRPr="000443A0">
        <w:rPr>
          <w:rFonts w:ascii="Calibri" w:hAnsi="Calibri" w:cs="Calibri"/>
          <w:sz w:val="22"/>
          <w:szCs w:val="22"/>
        </w:rPr>
        <w:t xml:space="preserve"> – </w:t>
      </w:r>
      <w:r w:rsidR="00912932" w:rsidRPr="000443A0">
        <w:rPr>
          <w:rFonts w:ascii="Calibri" w:hAnsi="Calibri" w:cs="Calibri"/>
          <w:sz w:val="22"/>
          <w:szCs w:val="22"/>
        </w:rPr>
        <w:t xml:space="preserve">podkreśla </w:t>
      </w:r>
      <w:r w:rsidR="003E7556" w:rsidRPr="000443A0">
        <w:rPr>
          <w:rFonts w:ascii="Calibri" w:hAnsi="Calibri" w:cs="Calibri"/>
          <w:b/>
          <w:bCs/>
          <w:sz w:val="22"/>
          <w:szCs w:val="22"/>
        </w:rPr>
        <w:t>Adrian Witczak, Poseł na Sejm RP i</w:t>
      </w:r>
      <w:r w:rsidR="00284F23">
        <w:rPr>
          <w:rFonts w:ascii="Calibri" w:hAnsi="Calibri" w:cs="Calibri"/>
          <w:b/>
          <w:bCs/>
          <w:sz w:val="22"/>
          <w:szCs w:val="22"/>
        </w:rPr>
        <w:t> </w:t>
      </w:r>
      <w:r w:rsidR="003E7556" w:rsidRPr="000443A0">
        <w:rPr>
          <w:rFonts w:ascii="Calibri" w:hAnsi="Calibri" w:cs="Calibri"/>
          <w:b/>
          <w:bCs/>
          <w:sz w:val="22"/>
          <w:szCs w:val="22"/>
        </w:rPr>
        <w:t>przewodniczący Parlamentarnego Zespołu ds. Leczenia Żywieniowego</w:t>
      </w:r>
    </w:p>
    <w:p w14:paraId="1C93CC03" w14:textId="1B7E9DDF" w:rsidR="00AD1AB4" w:rsidRPr="000443A0" w:rsidRDefault="00AD1AB4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43A0">
        <w:rPr>
          <w:rFonts w:ascii="Calibri" w:hAnsi="Calibri" w:cs="Calibri"/>
          <w:b/>
          <w:bCs/>
          <w:sz w:val="22"/>
          <w:szCs w:val="22"/>
        </w:rPr>
        <w:t xml:space="preserve">Obchody 25-lecia kierunków medycznych Uniwersytetu Rzeszowskiego </w:t>
      </w:r>
    </w:p>
    <w:p w14:paraId="78B74A3F" w14:textId="05A03305" w:rsidR="00ED17AA" w:rsidRPr="000443A0" w:rsidRDefault="00E22287" w:rsidP="000443A0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0443A0">
        <w:rPr>
          <w:rFonts w:ascii="Calibri" w:hAnsi="Calibri" w:cs="Calibri"/>
          <w:sz w:val="22"/>
          <w:szCs w:val="22"/>
        </w:rPr>
        <w:t xml:space="preserve">Otwarcie wystawy </w:t>
      </w:r>
      <w:r w:rsidRPr="000443A0">
        <w:rPr>
          <w:rFonts w:ascii="Calibri" w:hAnsi="Calibri" w:cs="Calibri"/>
          <w:b/>
          <w:bCs/>
          <w:sz w:val="22"/>
          <w:szCs w:val="22"/>
        </w:rPr>
        <w:t>„Oblicza wsparcia w chorobie”</w:t>
      </w:r>
      <w:r w:rsidRPr="000443A0">
        <w:rPr>
          <w:rFonts w:ascii="Calibri" w:hAnsi="Calibri" w:cs="Calibri"/>
          <w:sz w:val="22"/>
          <w:szCs w:val="22"/>
        </w:rPr>
        <w:t xml:space="preserve"> oraz rozpoczęcie współpracy Fundacji Nutricia z</w:t>
      </w:r>
      <w:r w:rsidR="00284F23">
        <w:rPr>
          <w:rFonts w:ascii="Calibri" w:hAnsi="Calibri" w:cs="Calibri"/>
          <w:sz w:val="22"/>
          <w:szCs w:val="22"/>
        </w:rPr>
        <w:t> </w:t>
      </w:r>
      <w:r w:rsidRPr="000443A0">
        <w:rPr>
          <w:rFonts w:ascii="Calibri" w:hAnsi="Calibri" w:cs="Calibri"/>
          <w:sz w:val="22"/>
          <w:szCs w:val="22"/>
        </w:rPr>
        <w:t xml:space="preserve">Uniwersytetem Rzeszowskim towarzyszą </w:t>
      </w:r>
      <w:r w:rsidR="00D779FD" w:rsidRPr="000443A0">
        <w:rPr>
          <w:rFonts w:ascii="Calibri" w:hAnsi="Calibri" w:cs="Calibri"/>
          <w:sz w:val="22"/>
          <w:szCs w:val="22"/>
        </w:rPr>
        <w:t xml:space="preserve">obchodom 25-lecia </w:t>
      </w:r>
      <w:r w:rsidR="00E0742A" w:rsidRPr="000443A0">
        <w:rPr>
          <w:rFonts w:ascii="Calibri" w:hAnsi="Calibri" w:cs="Calibri"/>
          <w:sz w:val="22"/>
          <w:szCs w:val="22"/>
        </w:rPr>
        <w:t xml:space="preserve">kierunków medycznych </w:t>
      </w:r>
      <w:r w:rsidR="21F1ED21" w:rsidRPr="000443A0">
        <w:rPr>
          <w:rFonts w:ascii="Calibri" w:hAnsi="Calibri" w:cs="Calibri"/>
          <w:sz w:val="22"/>
          <w:szCs w:val="22"/>
        </w:rPr>
        <w:t>U</w:t>
      </w:r>
      <w:r w:rsidR="00E0742A" w:rsidRPr="000443A0">
        <w:rPr>
          <w:rFonts w:ascii="Calibri" w:hAnsi="Calibri" w:cs="Calibri"/>
          <w:sz w:val="22"/>
          <w:szCs w:val="22"/>
        </w:rPr>
        <w:t>czelni</w:t>
      </w:r>
      <w:r w:rsidR="00F03969" w:rsidRPr="000443A0">
        <w:rPr>
          <w:rFonts w:ascii="Calibri" w:hAnsi="Calibri" w:cs="Calibri"/>
          <w:sz w:val="22"/>
          <w:szCs w:val="22"/>
        </w:rPr>
        <w:t xml:space="preserve">. Podczas uroczystości zaprezentowana zostanie historia rozwoju kierunków medycznych oraz najważniejsze osiągnięcia dydaktyczne i naukowe Uniwersytetu. </w:t>
      </w:r>
    </w:p>
    <w:p w14:paraId="18245315" w14:textId="6DD1E9E1" w:rsidR="00284F23" w:rsidRPr="00284F23" w:rsidRDefault="3C5107EB" w:rsidP="003A2628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43A0">
        <w:rPr>
          <w:rFonts w:ascii="Calibri" w:hAnsi="Calibri" w:cs="Calibri"/>
          <w:i/>
          <w:iCs/>
          <w:sz w:val="22"/>
          <w:szCs w:val="22"/>
        </w:rPr>
        <w:t>-</w:t>
      </w:r>
      <w:r w:rsidR="008B4AE6" w:rsidRPr="000443A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D4238" w:rsidRPr="000443A0">
        <w:rPr>
          <w:rFonts w:ascii="Calibri" w:hAnsi="Calibri" w:cs="Calibri"/>
          <w:i/>
          <w:iCs/>
          <w:sz w:val="22"/>
          <w:szCs w:val="22"/>
        </w:rPr>
        <w:t xml:space="preserve">Collegium Medicum powstało jako efekt wieloletnich starań </w:t>
      </w:r>
      <w:r w:rsidR="00650CE5" w:rsidRPr="000443A0">
        <w:rPr>
          <w:rFonts w:ascii="Calibri" w:hAnsi="Calibri" w:cs="Calibri"/>
          <w:i/>
          <w:iCs/>
          <w:sz w:val="22"/>
          <w:szCs w:val="22"/>
        </w:rPr>
        <w:t xml:space="preserve">środowiska akademickiego i medycznego, a jego celem jest nie tylko kształcenie przyszłych lekarzy i specjalistów, lecz także prowadzenie intensywnej działalności naukowej oraz współpraca z ośrodkami badawczymi i jednostkami medycznymi w kraju i za granicą. </w:t>
      </w:r>
      <w:r w:rsidR="00C17575" w:rsidRPr="000443A0">
        <w:rPr>
          <w:rFonts w:ascii="Calibri" w:hAnsi="Calibri" w:cs="Calibri"/>
          <w:i/>
          <w:iCs/>
          <w:sz w:val="22"/>
          <w:szCs w:val="22"/>
        </w:rPr>
        <w:t xml:space="preserve">Jako </w:t>
      </w:r>
      <w:r w:rsidR="006E3C9E" w:rsidRPr="000443A0">
        <w:rPr>
          <w:rFonts w:ascii="Calibri" w:hAnsi="Calibri" w:cs="Calibri"/>
          <w:i/>
          <w:iCs/>
          <w:sz w:val="22"/>
          <w:szCs w:val="22"/>
        </w:rPr>
        <w:t xml:space="preserve">Uniwersytet Rzeszowski cały czas się rozwijamy </w:t>
      </w:r>
      <w:r w:rsidR="003D2A93" w:rsidRPr="000443A0">
        <w:rPr>
          <w:rFonts w:ascii="Calibri" w:hAnsi="Calibri" w:cs="Calibri"/>
          <w:i/>
          <w:iCs/>
          <w:sz w:val="22"/>
          <w:szCs w:val="22"/>
        </w:rPr>
        <w:t>i z chęcią podejmujemy działania, które poszerzają kompetencje naszych studentów</w:t>
      </w:r>
      <w:r w:rsidR="00D360F9" w:rsidRPr="000443A0">
        <w:rPr>
          <w:rFonts w:ascii="Calibri" w:hAnsi="Calibri" w:cs="Calibri"/>
          <w:i/>
          <w:iCs/>
          <w:sz w:val="22"/>
          <w:szCs w:val="22"/>
        </w:rPr>
        <w:t>. Dzięki współpracy z</w:t>
      </w:r>
      <w:r w:rsidR="00284F23">
        <w:rPr>
          <w:rFonts w:ascii="Calibri" w:hAnsi="Calibri" w:cs="Calibri"/>
          <w:i/>
          <w:iCs/>
          <w:sz w:val="22"/>
          <w:szCs w:val="22"/>
        </w:rPr>
        <w:t> </w:t>
      </w:r>
      <w:r w:rsidR="00D360F9" w:rsidRPr="000443A0">
        <w:rPr>
          <w:rFonts w:ascii="Calibri" w:hAnsi="Calibri" w:cs="Calibri"/>
          <w:i/>
          <w:iCs/>
          <w:sz w:val="22"/>
          <w:szCs w:val="22"/>
        </w:rPr>
        <w:t>Fundacją Nutricia</w:t>
      </w:r>
      <w:r w:rsidR="00432718" w:rsidRPr="000443A0">
        <w:rPr>
          <w:rFonts w:ascii="Calibri" w:hAnsi="Calibri" w:cs="Calibri"/>
          <w:i/>
          <w:iCs/>
          <w:sz w:val="22"/>
          <w:szCs w:val="22"/>
        </w:rPr>
        <w:t xml:space="preserve"> nasi studenci uczestniczyć będą w zajęciach obejmujących łącznie 19 godzin dydaktycznych, kompleksowo poznają zagadnienia </w:t>
      </w:r>
      <w:r w:rsidR="008F5C76" w:rsidRPr="000443A0">
        <w:rPr>
          <w:rFonts w:ascii="Calibri" w:hAnsi="Calibri" w:cs="Calibri"/>
          <w:i/>
          <w:iCs/>
          <w:sz w:val="22"/>
          <w:szCs w:val="22"/>
        </w:rPr>
        <w:t xml:space="preserve">związane z żywieniem medycznym, co więcej będą korzystać z nowych narzędzi edukacyjnych, takich jak np. fantomy </w:t>
      </w:r>
      <w:r w:rsidR="00AD2C86" w:rsidRPr="000443A0">
        <w:rPr>
          <w:rFonts w:ascii="Calibri" w:hAnsi="Calibri" w:cs="Calibri"/>
          <w:i/>
          <w:iCs/>
          <w:sz w:val="22"/>
          <w:szCs w:val="22"/>
        </w:rPr>
        <w:t>pacjentów do żywienia enteralnego</w:t>
      </w:r>
      <w:r w:rsidR="003D2A93" w:rsidRPr="000443A0">
        <w:rPr>
          <w:rFonts w:ascii="Calibri" w:hAnsi="Calibri" w:cs="Calibri"/>
          <w:sz w:val="22"/>
          <w:szCs w:val="22"/>
        </w:rPr>
        <w:t xml:space="preserve"> </w:t>
      </w:r>
      <w:r w:rsidR="00B84BBC" w:rsidRPr="000443A0">
        <w:rPr>
          <w:rFonts w:ascii="Calibri" w:hAnsi="Calibri" w:cs="Calibri"/>
          <w:sz w:val="22"/>
          <w:szCs w:val="22"/>
        </w:rPr>
        <w:t>–</w:t>
      </w:r>
      <w:r w:rsidR="003D2A93" w:rsidRPr="000443A0">
        <w:rPr>
          <w:rFonts w:ascii="Calibri" w:hAnsi="Calibri" w:cs="Calibri"/>
          <w:sz w:val="22"/>
          <w:szCs w:val="22"/>
        </w:rPr>
        <w:t xml:space="preserve"> </w:t>
      </w:r>
      <w:r w:rsidR="00B84BBC" w:rsidRPr="000443A0">
        <w:rPr>
          <w:rFonts w:ascii="Calibri" w:hAnsi="Calibri" w:cs="Calibri"/>
          <w:sz w:val="22"/>
          <w:szCs w:val="22"/>
        </w:rPr>
        <w:t xml:space="preserve">mówi </w:t>
      </w:r>
      <w:r w:rsidR="00284F23" w:rsidRPr="00284F23">
        <w:rPr>
          <w:rFonts w:ascii="Calibri" w:hAnsi="Calibri" w:cs="Calibri"/>
          <w:b/>
          <w:bCs/>
          <w:sz w:val="22"/>
          <w:szCs w:val="22"/>
        </w:rPr>
        <w:t>prof. dr hab. Artur Mazur, Prorektor ds. Collegium Medicum Uniwersytetu Rzeszowskiego</w:t>
      </w:r>
      <w:r w:rsidR="00284F23">
        <w:rPr>
          <w:rFonts w:ascii="Calibri" w:hAnsi="Calibri" w:cs="Calibri"/>
          <w:b/>
          <w:bCs/>
          <w:sz w:val="22"/>
          <w:szCs w:val="22"/>
        </w:rPr>
        <w:t>.</w:t>
      </w:r>
    </w:p>
    <w:p w14:paraId="6481E933" w14:textId="77777777" w:rsidR="003A2628" w:rsidRPr="00284F23" w:rsidRDefault="003A2628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909166" w14:textId="29065D3E" w:rsidR="00FE70A0" w:rsidRPr="000443A0" w:rsidRDefault="00FE70A0" w:rsidP="000443A0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0443A0">
        <w:rPr>
          <w:rFonts w:ascii="Calibri" w:hAnsi="Calibri" w:cs="Calibri"/>
          <w:sz w:val="22"/>
          <w:szCs w:val="22"/>
        </w:rPr>
        <w:lastRenderedPageBreak/>
        <w:t>Wydarzeniu towarzyszyć będzie również spotkanie Konferencji Rektorów Akademickich Uczelni Medycznych (KRAUM), którego celem jest wymiana doświadczeń, zacieśnianie wsp</w:t>
      </w:r>
      <w:r w:rsidR="00E95C7B" w:rsidRPr="000443A0">
        <w:rPr>
          <w:rFonts w:ascii="Calibri" w:hAnsi="Calibri" w:cs="Calibri"/>
          <w:sz w:val="22"/>
          <w:szCs w:val="22"/>
        </w:rPr>
        <w:t>ółpracy między uczelniami medycznymi oraz wyznaczanie wspólnych standardów w zakresie nauk medycznych w</w:t>
      </w:r>
      <w:r w:rsidR="00284F23">
        <w:rPr>
          <w:rFonts w:ascii="Calibri" w:hAnsi="Calibri" w:cs="Calibri"/>
          <w:sz w:val="22"/>
          <w:szCs w:val="22"/>
        </w:rPr>
        <w:t> </w:t>
      </w:r>
      <w:r w:rsidR="00E95C7B" w:rsidRPr="000443A0">
        <w:rPr>
          <w:rFonts w:ascii="Calibri" w:hAnsi="Calibri" w:cs="Calibri"/>
          <w:sz w:val="22"/>
          <w:szCs w:val="22"/>
        </w:rPr>
        <w:t xml:space="preserve">Polsce. </w:t>
      </w:r>
    </w:p>
    <w:p w14:paraId="16AAE98E" w14:textId="045CFA89" w:rsidR="00ED17AA" w:rsidRPr="000443A0" w:rsidRDefault="20F0163F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43A0">
        <w:rPr>
          <w:rFonts w:ascii="Calibri" w:hAnsi="Calibri" w:cs="Calibri"/>
          <w:i/>
          <w:iCs/>
          <w:sz w:val="22"/>
          <w:szCs w:val="22"/>
        </w:rPr>
        <w:t>-</w:t>
      </w:r>
      <w:r w:rsidR="00ED3203" w:rsidRPr="000443A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16DD8" w:rsidRPr="000443A0">
        <w:rPr>
          <w:rFonts w:ascii="Calibri" w:hAnsi="Calibri" w:cs="Calibri"/>
          <w:i/>
          <w:iCs/>
          <w:sz w:val="22"/>
          <w:szCs w:val="22"/>
        </w:rPr>
        <w:t xml:space="preserve">Konferencja Rektorów Akademickich Uczelni Medycznych zrzesza 15 uczelni </w:t>
      </w:r>
      <w:r w:rsidR="003D3F9C" w:rsidRPr="000443A0">
        <w:rPr>
          <w:rFonts w:ascii="Calibri" w:hAnsi="Calibri" w:cs="Calibri"/>
          <w:i/>
          <w:iCs/>
          <w:sz w:val="22"/>
          <w:szCs w:val="22"/>
        </w:rPr>
        <w:t>z</w:t>
      </w:r>
      <w:r w:rsidR="00216DD8" w:rsidRPr="000443A0">
        <w:rPr>
          <w:rFonts w:ascii="Calibri" w:hAnsi="Calibri" w:cs="Calibri"/>
          <w:i/>
          <w:iCs/>
          <w:sz w:val="22"/>
          <w:szCs w:val="22"/>
        </w:rPr>
        <w:t xml:space="preserve"> cał</w:t>
      </w:r>
      <w:r w:rsidR="003D3F9C" w:rsidRPr="000443A0">
        <w:rPr>
          <w:rFonts w:ascii="Calibri" w:hAnsi="Calibri" w:cs="Calibri"/>
          <w:i/>
          <w:iCs/>
          <w:sz w:val="22"/>
          <w:szCs w:val="22"/>
        </w:rPr>
        <w:t xml:space="preserve">ego </w:t>
      </w:r>
      <w:r w:rsidR="00216DD8" w:rsidRPr="000443A0">
        <w:rPr>
          <w:rFonts w:ascii="Calibri" w:hAnsi="Calibri" w:cs="Calibri"/>
          <w:i/>
          <w:iCs/>
          <w:sz w:val="22"/>
          <w:szCs w:val="22"/>
        </w:rPr>
        <w:t xml:space="preserve"> kraju</w:t>
      </w:r>
      <w:r w:rsidR="003D3F9C" w:rsidRPr="000443A0">
        <w:rPr>
          <w:rFonts w:ascii="Calibri" w:hAnsi="Calibri" w:cs="Calibri"/>
          <w:i/>
          <w:iCs/>
          <w:sz w:val="22"/>
          <w:szCs w:val="22"/>
        </w:rPr>
        <w:t>.</w:t>
      </w:r>
      <w:r w:rsidR="00216DD8" w:rsidRPr="000443A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D3F9C" w:rsidRPr="000443A0">
        <w:rPr>
          <w:rFonts w:ascii="Calibri" w:hAnsi="Calibri" w:cs="Calibri"/>
          <w:i/>
          <w:iCs/>
          <w:sz w:val="22"/>
          <w:szCs w:val="22"/>
        </w:rPr>
        <w:t>N</w:t>
      </w:r>
      <w:r w:rsidR="00216DD8" w:rsidRPr="000443A0">
        <w:rPr>
          <w:rFonts w:ascii="Calibri" w:hAnsi="Calibri" w:cs="Calibri"/>
          <w:i/>
          <w:iCs/>
          <w:sz w:val="22"/>
          <w:szCs w:val="22"/>
        </w:rPr>
        <w:t>aszym głównym celem jest umacnianie współpracy pomiędzy ośrodkami akademickimi oraz kształtowanie wspólnych standardów edukacji medycznej. Wierzymy, że tylko dzięki wymianie doświadczeń i</w:t>
      </w:r>
      <w:r w:rsidR="00284F23">
        <w:rPr>
          <w:rFonts w:ascii="Calibri" w:hAnsi="Calibri" w:cs="Calibri"/>
          <w:i/>
          <w:iCs/>
          <w:sz w:val="22"/>
          <w:szCs w:val="22"/>
        </w:rPr>
        <w:t> </w:t>
      </w:r>
      <w:r w:rsidR="00216DD8" w:rsidRPr="000443A0">
        <w:rPr>
          <w:rFonts w:ascii="Calibri" w:hAnsi="Calibri" w:cs="Calibri"/>
          <w:i/>
          <w:iCs/>
          <w:sz w:val="22"/>
          <w:szCs w:val="22"/>
        </w:rPr>
        <w:t xml:space="preserve">koordynacji działań możliwe jest skuteczne przygotowanie przyszłych lekarzy do wyzwań współczesnej medycyny. </w:t>
      </w:r>
      <w:r w:rsidR="00EA4098" w:rsidRPr="000443A0">
        <w:rPr>
          <w:rFonts w:ascii="Calibri" w:hAnsi="Calibri" w:cs="Calibri"/>
          <w:i/>
          <w:iCs/>
          <w:sz w:val="22"/>
          <w:szCs w:val="22"/>
        </w:rPr>
        <w:t>Bardzo ważny jest wzrost świadomości w zakresie leczenia żywieniowego, które w istotny sposób wpływa na efektywność terapii, skraca czas hospitalizacji i zmniejsza ryzyko powikłań. Wspieranie inicjatyw takich jak ta jest ważnym krokiem w kierunku podnoszenia jakości kształcenia i</w:t>
      </w:r>
      <w:r w:rsidR="00284F23">
        <w:rPr>
          <w:rFonts w:ascii="Calibri" w:hAnsi="Calibri" w:cs="Calibri"/>
          <w:i/>
          <w:iCs/>
          <w:sz w:val="22"/>
          <w:szCs w:val="22"/>
        </w:rPr>
        <w:t> </w:t>
      </w:r>
      <w:r w:rsidR="00EA4098" w:rsidRPr="000443A0">
        <w:rPr>
          <w:rFonts w:ascii="Calibri" w:hAnsi="Calibri" w:cs="Calibri"/>
          <w:i/>
          <w:iCs/>
          <w:sz w:val="22"/>
          <w:szCs w:val="22"/>
        </w:rPr>
        <w:t>opieki nad pacjentem w Polsce</w:t>
      </w:r>
      <w:r w:rsidR="00EA4098" w:rsidRPr="000443A0">
        <w:rPr>
          <w:rFonts w:ascii="Calibri" w:hAnsi="Calibri" w:cs="Calibri"/>
          <w:sz w:val="22"/>
          <w:szCs w:val="22"/>
        </w:rPr>
        <w:t xml:space="preserve"> – podsumowuje </w:t>
      </w:r>
      <w:r w:rsidR="00CD18E0" w:rsidRPr="000443A0">
        <w:rPr>
          <w:rFonts w:ascii="Calibri" w:hAnsi="Calibri" w:cs="Calibri"/>
          <w:b/>
          <w:bCs/>
          <w:sz w:val="22"/>
          <w:szCs w:val="22"/>
        </w:rPr>
        <w:t>prof. dr hab. Wojciech Załuska przewodniczący KRAUM</w:t>
      </w:r>
      <w:r w:rsidR="2863BE13" w:rsidRPr="000443A0">
        <w:rPr>
          <w:rFonts w:ascii="Calibri" w:hAnsi="Calibri" w:cs="Calibri"/>
          <w:b/>
          <w:bCs/>
          <w:sz w:val="22"/>
          <w:szCs w:val="22"/>
        </w:rPr>
        <w:t>.</w:t>
      </w:r>
    </w:p>
    <w:p w14:paraId="3DB55316" w14:textId="77777777" w:rsidR="00282DDC" w:rsidRPr="000443A0" w:rsidRDefault="00282DDC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43A0">
        <w:rPr>
          <w:rFonts w:ascii="Calibri" w:hAnsi="Calibri" w:cs="Calibri"/>
          <w:b/>
          <w:bCs/>
          <w:sz w:val="22"/>
          <w:szCs w:val="22"/>
        </w:rPr>
        <w:t>Program „Kierunek – Żywienie Medyczne”</w:t>
      </w:r>
    </w:p>
    <w:p w14:paraId="649EEC3F" w14:textId="7E03FF28" w:rsidR="00C21A8C" w:rsidRPr="000443A0" w:rsidRDefault="00282DDC" w:rsidP="000443A0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0443A0">
        <w:rPr>
          <w:rFonts w:ascii="Calibri" w:hAnsi="Calibri" w:cs="Calibri"/>
          <w:sz w:val="22"/>
          <w:szCs w:val="22"/>
        </w:rPr>
        <w:t>Z danych wynika, że problem niedożywienie dotyczy aż 1/3 pacjentów przyjmowanych do szpitali. Często pozostaje ono niezauważone lub wykrywane zbyt późno. Skutki wykraczają jednak daleko poza samą utratę masy ciała – osłabione zostaje funkcjonowanie całego organizmu, rośnie ryzyko infekcji i</w:t>
      </w:r>
      <w:r w:rsidR="00284F23">
        <w:rPr>
          <w:rFonts w:ascii="Calibri" w:hAnsi="Calibri" w:cs="Calibri"/>
          <w:sz w:val="22"/>
          <w:szCs w:val="22"/>
        </w:rPr>
        <w:t> </w:t>
      </w:r>
      <w:r w:rsidRPr="000443A0">
        <w:rPr>
          <w:rFonts w:ascii="Calibri" w:hAnsi="Calibri" w:cs="Calibri"/>
          <w:sz w:val="22"/>
          <w:szCs w:val="22"/>
        </w:rPr>
        <w:t xml:space="preserve">powikłań, a czas rekonwalescencji ulega wydłużeniu. Mimo, że żywienie ma fundamentalne znaczenie w procesie leczenia i rekonwalescencji temat ten był długo marginalizowany w programach kształcenia medycznego. </w:t>
      </w:r>
    </w:p>
    <w:p w14:paraId="7280A27A" w14:textId="6615B30B" w:rsidR="00090D3D" w:rsidRPr="000443A0" w:rsidRDefault="00282DDC" w:rsidP="000443A0">
      <w:p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0443A0">
        <w:rPr>
          <w:rFonts w:ascii="Calibri" w:hAnsi="Calibri" w:cs="Calibri"/>
          <w:sz w:val="22"/>
          <w:szCs w:val="22"/>
        </w:rPr>
        <w:t>Program „Kierunek – żywienie medyczne” Fundacji Nutricia powstał 5 lat temu, by odpowiedzieć na</w:t>
      </w:r>
      <w:r w:rsidR="00284F23">
        <w:rPr>
          <w:rFonts w:ascii="Calibri" w:hAnsi="Calibri" w:cs="Calibri"/>
          <w:sz w:val="22"/>
          <w:szCs w:val="22"/>
        </w:rPr>
        <w:t> </w:t>
      </w:r>
      <w:r w:rsidRPr="000443A0">
        <w:rPr>
          <w:rFonts w:ascii="Calibri" w:hAnsi="Calibri" w:cs="Calibri"/>
          <w:sz w:val="22"/>
          <w:szCs w:val="22"/>
        </w:rPr>
        <w:t>potrzebę kształcenia przyszłych lekarzy, pielęgniarek i innych profesjonalistów medycznych w</w:t>
      </w:r>
      <w:r w:rsidR="00284F23">
        <w:rPr>
          <w:rFonts w:ascii="Calibri" w:hAnsi="Calibri" w:cs="Calibri"/>
          <w:sz w:val="22"/>
          <w:szCs w:val="22"/>
        </w:rPr>
        <w:t> </w:t>
      </w:r>
      <w:r w:rsidRPr="000443A0">
        <w:rPr>
          <w:rFonts w:ascii="Calibri" w:hAnsi="Calibri" w:cs="Calibri"/>
          <w:sz w:val="22"/>
          <w:szCs w:val="22"/>
        </w:rPr>
        <w:t xml:space="preserve">zakresie terapii żywieniowej. </w:t>
      </w:r>
    </w:p>
    <w:p w14:paraId="70414603" w14:textId="69828F86" w:rsidR="00282DDC" w:rsidRPr="000443A0" w:rsidRDefault="00282DDC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43A0">
        <w:rPr>
          <w:rFonts w:ascii="Calibri" w:hAnsi="Calibri" w:cs="Calibri"/>
          <w:i/>
          <w:iCs/>
          <w:sz w:val="22"/>
          <w:szCs w:val="22"/>
        </w:rPr>
        <w:t>- W ramach programu „Kierunek – Żywienie Medyczne” współpracujemy obecnie z 11 uczelniami zrzeszonymi w ramach KRAUM, a zagadnienia związane z żywieniem klinicznym poznaje już prawie 13</w:t>
      </w:r>
      <w:r w:rsidR="00284F23">
        <w:rPr>
          <w:rFonts w:ascii="Calibri" w:hAnsi="Calibri" w:cs="Calibri"/>
          <w:i/>
          <w:iCs/>
          <w:sz w:val="22"/>
          <w:szCs w:val="22"/>
        </w:rPr>
        <w:t> </w:t>
      </w:r>
      <w:r w:rsidRPr="000443A0">
        <w:rPr>
          <w:rFonts w:ascii="Calibri" w:hAnsi="Calibri" w:cs="Calibri"/>
          <w:i/>
          <w:iCs/>
          <w:sz w:val="22"/>
          <w:szCs w:val="22"/>
        </w:rPr>
        <w:t>tysięcy studentów. Cieszymy się, że do programu dołączył Uniwersytet Rzeszowski. Jesteśmy dumni z tej współpracy i wierzymy, że przyszli lekarze kształcący się w Rzeszowie zdobędą niezbędną wiedzę na temat znaczenia właściwego żywienia w procesie leczenia</w:t>
      </w:r>
      <w:r w:rsidRPr="000443A0">
        <w:rPr>
          <w:rFonts w:ascii="Calibri" w:hAnsi="Calibri" w:cs="Calibri"/>
          <w:sz w:val="22"/>
          <w:szCs w:val="22"/>
        </w:rPr>
        <w:t xml:space="preserve"> – mówi </w:t>
      </w:r>
      <w:r w:rsidRPr="000443A0">
        <w:rPr>
          <w:rFonts w:ascii="Calibri" w:hAnsi="Calibri" w:cs="Calibri"/>
          <w:b/>
          <w:bCs/>
          <w:sz w:val="22"/>
          <w:szCs w:val="22"/>
        </w:rPr>
        <w:t>Anna Cywińska, Prezes Fundacji Nutricia.</w:t>
      </w:r>
    </w:p>
    <w:p w14:paraId="01D2755F" w14:textId="77777777" w:rsidR="00282DDC" w:rsidRPr="000443A0" w:rsidRDefault="00282DDC" w:rsidP="000443A0">
      <w:pPr>
        <w:spacing w:after="12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22FFF5F" w14:textId="77777777" w:rsidR="00ED17AA" w:rsidRPr="000443A0" w:rsidRDefault="00ED17AA" w:rsidP="000443A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61D3C45D" w14:textId="2F844AB2" w:rsidR="00906C31" w:rsidRPr="000443A0" w:rsidRDefault="00906C31" w:rsidP="000443A0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sectPr w:rsidR="00906C31" w:rsidRPr="000443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851F" w14:textId="77777777" w:rsidR="00284F23" w:rsidRDefault="00284F23" w:rsidP="00284F23">
      <w:pPr>
        <w:spacing w:after="0" w:line="240" w:lineRule="auto"/>
      </w:pPr>
      <w:r>
        <w:separator/>
      </w:r>
    </w:p>
  </w:endnote>
  <w:endnote w:type="continuationSeparator" w:id="0">
    <w:p w14:paraId="4569E1AD" w14:textId="77777777" w:rsidR="00284F23" w:rsidRDefault="00284F23" w:rsidP="0028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F5C1" w14:textId="77777777" w:rsidR="00284F23" w:rsidRDefault="00284F23" w:rsidP="00284F23">
      <w:pPr>
        <w:spacing w:after="0" w:line="240" w:lineRule="auto"/>
      </w:pPr>
      <w:r>
        <w:separator/>
      </w:r>
    </w:p>
  </w:footnote>
  <w:footnote w:type="continuationSeparator" w:id="0">
    <w:p w14:paraId="06D9D853" w14:textId="77777777" w:rsidR="00284F23" w:rsidRDefault="00284F23" w:rsidP="0028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01D6" w14:textId="0ACEC314" w:rsidR="00284F23" w:rsidRDefault="00284F23" w:rsidP="00284F23">
    <w:pPr>
      <w:pStyle w:val="Nagwek"/>
      <w:jc w:val="right"/>
    </w:pPr>
    <w:r>
      <w:rPr>
        <w:noProof/>
      </w:rPr>
      <w:drawing>
        <wp:inline distT="0" distB="0" distL="0" distR="0" wp14:anchorId="391E9EA6" wp14:editId="66B90B9C">
          <wp:extent cx="1780540" cy="459740"/>
          <wp:effectExtent l="0" t="0" r="0" b="0"/>
          <wp:docPr id="4" name="Obraz 4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A white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54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7C"/>
    <w:multiLevelType w:val="multilevel"/>
    <w:tmpl w:val="741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1A17E"/>
    <w:multiLevelType w:val="hybridMultilevel"/>
    <w:tmpl w:val="054C95F0"/>
    <w:lvl w:ilvl="0" w:tplc="B3288B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4C2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0C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7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A8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6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08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C7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CB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E5F13"/>
    <w:multiLevelType w:val="multilevel"/>
    <w:tmpl w:val="2D44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486131">
    <w:abstractNumId w:val="1"/>
  </w:num>
  <w:num w:numId="2" w16cid:durableId="1889023281">
    <w:abstractNumId w:val="0"/>
  </w:num>
  <w:num w:numId="3" w16cid:durableId="123458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EE"/>
    <w:rsid w:val="000126FE"/>
    <w:rsid w:val="0003675D"/>
    <w:rsid w:val="00040B2F"/>
    <w:rsid w:val="0004345B"/>
    <w:rsid w:val="000443A0"/>
    <w:rsid w:val="0005393D"/>
    <w:rsid w:val="000563C5"/>
    <w:rsid w:val="00056B80"/>
    <w:rsid w:val="00084421"/>
    <w:rsid w:val="00090D3D"/>
    <w:rsid w:val="00090E29"/>
    <w:rsid w:val="000A0FD1"/>
    <w:rsid w:val="000A29F6"/>
    <w:rsid w:val="000D3FBE"/>
    <w:rsid w:val="000D4238"/>
    <w:rsid w:val="001102AF"/>
    <w:rsid w:val="00126A5B"/>
    <w:rsid w:val="00180473"/>
    <w:rsid w:val="0018264C"/>
    <w:rsid w:val="00183922"/>
    <w:rsid w:val="001977AE"/>
    <w:rsid w:val="001F3034"/>
    <w:rsid w:val="001F5467"/>
    <w:rsid w:val="0020335D"/>
    <w:rsid w:val="0020713B"/>
    <w:rsid w:val="002167F0"/>
    <w:rsid w:val="00216DD8"/>
    <w:rsid w:val="002378AA"/>
    <w:rsid w:val="00245812"/>
    <w:rsid w:val="00247A16"/>
    <w:rsid w:val="00254107"/>
    <w:rsid w:val="00277C46"/>
    <w:rsid w:val="00280536"/>
    <w:rsid w:val="002809B5"/>
    <w:rsid w:val="00282DDC"/>
    <w:rsid w:val="00284F23"/>
    <w:rsid w:val="002911C1"/>
    <w:rsid w:val="00294E9A"/>
    <w:rsid w:val="002D3471"/>
    <w:rsid w:val="002D3786"/>
    <w:rsid w:val="002D79C5"/>
    <w:rsid w:val="0030464A"/>
    <w:rsid w:val="003074FD"/>
    <w:rsid w:val="0031312A"/>
    <w:rsid w:val="00316A48"/>
    <w:rsid w:val="00326B13"/>
    <w:rsid w:val="00327832"/>
    <w:rsid w:val="00337545"/>
    <w:rsid w:val="00340EBD"/>
    <w:rsid w:val="00342889"/>
    <w:rsid w:val="0037267E"/>
    <w:rsid w:val="003923FC"/>
    <w:rsid w:val="003A2628"/>
    <w:rsid w:val="003B395C"/>
    <w:rsid w:val="003D2A93"/>
    <w:rsid w:val="003D3B79"/>
    <w:rsid w:val="003D3F9C"/>
    <w:rsid w:val="003D6478"/>
    <w:rsid w:val="003E601A"/>
    <w:rsid w:val="003E7556"/>
    <w:rsid w:val="003F7AEE"/>
    <w:rsid w:val="00411797"/>
    <w:rsid w:val="00412FBF"/>
    <w:rsid w:val="004213D4"/>
    <w:rsid w:val="00425F16"/>
    <w:rsid w:val="00431AE1"/>
    <w:rsid w:val="00432718"/>
    <w:rsid w:val="00447227"/>
    <w:rsid w:val="00471C75"/>
    <w:rsid w:val="00471D63"/>
    <w:rsid w:val="00474FB8"/>
    <w:rsid w:val="004A2DD3"/>
    <w:rsid w:val="004E5F16"/>
    <w:rsid w:val="004F672F"/>
    <w:rsid w:val="00515EAB"/>
    <w:rsid w:val="005203FA"/>
    <w:rsid w:val="00524076"/>
    <w:rsid w:val="00534D7E"/>
    <w:rsid w:val="00537480"/>
    <w:rsid w:val="00544CF9"/>
    <w:rsid w:val="005502BA"/>
    <w:rsid w:val="00553691"/>
    <w:rsid w:val="005739C5"/>
    <w:rsid w:val="00587F02"/>
    <w:rsid w:val="005935BA"/>
    <w:rsid w:val="005A65CC"/>
    <w:rsid w:val="005B5DAD"/>
    <w:rsid w:val="006047A4"/>
    <w:rsid w:val="00616DE5"/>
    <w:rsid w:val="00620650"/>
    <w:rsid w:val="00630A4E"/>
    <w:rsid w:val="00636FA6"/>
    <w:rsid w:val="00650CE5"/>
    <w:rsid w:val="00651C51"/>
    <w:rsid w:val="006535E3"/>
    <w:rsid w:val="006566CD"/>
    <w:rsid w:val="006700A1"/>
    <w:rsid w:val="00676266"/>
    <w:rsid w:val="00680DD3"/>
    <w:rsid w:val="006A4B16"/>
    <w:rsid w:val="006E3C9E"/>
    <w:rsid w:val="00722016"/>
    <w:rsid w:val="0072572F"/>
    <w:rsid w:val="007353AE"/>
    <w:rsid w:val="00736620"/>
    <w:rsid w:val="007477D6"/>
    <w:rsid w:val="00763F0D"/>
    <w:rsid w:val="007755D0"/>
    <w:rsid w:val="00783C7C"/>
    <w:rsid w:val="00791E0C"/>
    <w:rsid w:val="00793A06"/>
    <w:rsid w:val="007A1304"/>
    <w:rsid w:val="007A6144"/>
    <w:rsid w:val="007C1930"/>
    <w:rsid w:val="007D298D"/>
    <w:rsid w:val="0081582C"/>
    <w:rsid w:val="0082446C"/>
    <w:rsid w:val="0082486F"/>
    <w:rsid w:val="00841696"/>
    <w:rsid w:val="00862CB3"/>
    <w:rsid w:val="0086450C"/>
    <w:rsid w:val="00890096"/>
    <w:rsid w:val="008A0A6A"/>
    <w:rsid w:val="008A1468"/>
    <w:rsid w:val="008A3561"/>
    <w:rsid w:val="008B1EFF"/>
    <w:rsid w:val="008B4AE6"/>
    <w:rsid w:val="008F377C"/>
    <w:rsid w:val="008F5C76"/>
    <w:rsid w:val="00906C31"/>
    <w:rsid w:val="0091023C"/>
    <w:rsid w:val="00912932"/>
    <w:rsid w:val="00920769"/>
    <w:rsid w:val="00921F6C"/>
    <w:rsid w:val="00934AB7"/>
    <w:rsid w:val="00936F0E"/>
    <w:rsid w:val="009474AE"/>
    <w:rsid w:val="0095303C"/>
    <w:rsid w:val="009572D7"/>
    <w:rsid w:val="0096117C"/>
    <w:rsid w:val="00972730"/>
    <w:rsid w:val="00982F98"/>
    <w:rsid w:val="009A4EED"/>
    <w:rsid w:val="009B3D71"/>
    <w:rsid w:val="009D0B02"/>
    <w:rsid w:val="009F5CBC"/>
    <w:rsid w:val="00A02C98"/>
    <w:rsid w:val="00A07A16"/>
    <w:rsid w:val="00A21FC0"/>
    <w:rsid w:val="00A3679F"/>
    <w:rsid w:val="00A41DE2"/>
    <w:rsid w:val="00A71C0F"/>
    <w:rsid w:val="00AA0EE5"/>
    <w:rsid w:val="00AD1AB4"/>
    <w:rsid w:val="00AD283A"/>
    <w:rsid w:val="00AD2C86"/>
    <w:rsid w:val="00AD689E"/>
    <w:rsid w:val="00AD6901"/>
    <w:rsid w:val="00AD7A42"/>
    <w:rsid w:val="00AE1D20"/>
    <w:rsid w:val="00AF245E"/>
    <w:rsid w:val="00AF4813"/>
    <w:rsid w:val="00B058AE"/>
    <w:rsid w:val="00B2161D"/>
    <w:rsid w:val="00B455B2"/>
    <w:rsid w:val="00B812AD"/>
    <w:rsid w:val="00B82108"/>
    <w:rsid w:val="00B84BBC"/>
    <w:rsid w:val="00B9021B"/>
    <w:rsid w:val="00BA08BB"/>
    <w:rsid w:val="00BA17EE"/>
    <w:rsid w:val="00BC65E9"/>
    <w:rsid w:val="00BD12A0"/>
    <w:rsid w:val="00BD7259"/>
    <w:rsid w:val="00BE1961"/>
    <w:rsid w:val="00BE4742"/>
    <w:rsid w:val="00BF66B4"/>
    <w:rsid w:val="00C17575"/>
    <w:rsid w:val="00C17E3C"/>
    <w:rsid w:val="00C204C0"/>
    <w:rsid w:val="00C21A8C"/>
    <w:rsid w:val="00C2230F"/>
    <w:rsid w:val="00C47F8F"/>
    <w:rsid w:val="00C528CF"/>
    <w:rsid w:val="00C6259A"/>
    <w:rsid w:val="00C83324"/>
    <w:rsid w:val="00C8437D"/>
    <w:rsid w:val="00CA5039"/>
    <w:rsid w:val="00CA638C"/>
    <w:rsid w:val="00CB3EA8"/>
    <w:rsid w:val="00CC676D"/>
    <w:rsid w:val="00CC78E4"/>
    <w:rsid w:val="00CD18E0"/>
    <w:rsid w:val="00CE5C45"/>
    <w:rsid w:val="00CF20DE"/>
    <w:rsid w:val="00D0467F"/>
    <w:rsid w:val="00D1103B"/>
    <w:rsid w:val="00D20A96"/>
    <w:rsid w:val="00D22DDB"/>
    <w:rsid w:val="00D360F9"/>
    <w:rsid w:val="00D42A75"/>
    <w:rsid w:val="00D44617"/>
    <w:rsid w:val="00D7646C"/>
    <w:rsid w:val="00D779FD"/>
    <w:rsid w:val="00D955E5"/>
    <w:rsid w:val="00DB3D80"/>
    <w:rsid w:val="00DE27C5"/>
    <w:rsid w:val="00DF6CAC"/>
    <w:rsid w:val="00E00965"/>
    <w:rsid w:val="00E00E3C"/>
    <w:rsid w:val="00E0742A"/>
    <w:rsid w:val="00E22287"/>
    <w:rsid w:val="00E276BD"/>
    <w:rsid w:val="00E278C7"/>
    <w:rsid w:val="00E52A12"/>
    <w:rsid w:val="00E56566"/>
    <w:rsid w:val="00E63489"/>
    <w:rsid w:val="00E71426"/>
    <w:rsid w:val="00E7506B"/>
    <w:rsid w:val="00E8621E"/>
    <w:rsid w:val="00E95C7B"/>
    <w:rsid w:val="00EA2E5F"/>
    <w:rsid w:val="00EA4098"/>
    <w:rsid w:val="00EB1485"/>
    <w:rsid w:val="00EB29AF"/>
    <w:rsid w:val="00ED17AA"/>
    <w:rsid w:val="00ED3203"/>
    <w:rsid w:val="00EF66F4"/>
    <w:rsid w:val="00F003AA"/>
    <w:rsid w:val="00F03969"/>
    <w:rsid w:val="00F05487"/>
    <w:rsid w:val="00F14992"/>
    <w:rsid w:val="00F163C3"/>
    <w:rsid w:val="00F247BB"/>
    <w:rsid w:val="00F27C21"/>
    <w:rsid w:val="00F3781A"/>
    <w:rsid w:val="00F53068"/>
    <w:rsid w:val="00F55E77"/>
    <w:rsid w:val="00F62309"/>
    <w:rsid w:val="00F63602"/>
    <w:rsid w:val="00F81969"/>
    <w:rsid w:val="00F81E63"/>
    <w:rsid w:val="00F82C42"/>
    <w:rsid w:val="00FC31AB"/>
    <w:rsid w:val="00FD62E3"/>
    <w:rsid w:val="00FE70A0"/>
    <w:rsid w:val="0298C052"/>
    <w:rsid w:val="02B3A632"/>
    <w:rsid w:val="0307AE0D"/>
    <w:rsid w:val="0437B1B9"/>
    <w:rsid w:val="06235FA0"/>
    <w:rsid w:val="08C583A9"/>
    <w:rsid w:val="091B381B"/>
    <w:rsid w:val="0A674DB2"/>
    <w:rsid w:val="0C035D7F"/>
    <w:rsid w:val="0DA7784D"/>
    <w:rsid w:val="1173F531"/>
    <w:rsid w:val="12313383"/>
    <w:rsid w:val="136F2CC6"/>
    <w:rsid w:val="14A69FA0"/>
    <w:rsid w:val="16E3250A"/>
    <w:rsid w:val="1746FFD2"/>
    <w:rsid w:val="1B91A9F3"/>
    <w:rsid w:val="1ECBE505"/>
    <w:rsid w:val="1F63370E"/>
    <w:rsid w:val="20AA4DDF"/>
    <w:rsid w:val="20B4CEE7"/>
    <w:rsid w:val="20F0163F"/>
    <w:rsid w:val="20F3B926"/>
    <w:rsid w:val="21F1ED21"/>
    <w:rsid w:val="220928C5"/>
    <w:rsid w:val="241D0936"/>
    <w:rsid w:val="26871A9A"/>
    <w:rsid w:val="2770AD71"/>
    <w:rsid w:val="2863BE13"/>
    <w:rsid w:val="289435F7"/>
    <w:rsid w:val="29B74180"/>
    <w:rsid w:val="2B2251DE"/>
    <w:rsid w:val="2D90C0F0"/>
    <w:rsid w:val="2F00CDB1"/>
    <w:rsid w:val="2FE76497"/>
    <w:rsid w:val="31D8D7DE"/>
    <w:rsid w:val="31E9B6AB"/>
    <w:rsid w:val="32AF6C90"/>
    <w:rsid w:val="334CC22E"/>
    <w:rsid w:val="339DCB64"/>
    <w:rsid w:val="340DCC59"/>
    <w:rsid w:val="3646FC8A"/>
    <w:rsid w:val="3694363B"/>
    <w:rsid w:val="383E4681"/>
    <w:rsid w:val="3A099BC5"/>
    <w:rsid w:val="3C5107EB"/>
    <w:rsid w:val="3E170734"/>
    <w:rsid w:val="3E947FAF"/>
    <w:rsid w:val="41ABA31C"/>
    <w:rsid w:val="43F56115"/>
    <w:rsid w:val="446FF274"/>
    <w:rsid w:val="473B3424"/>
    <w:rsid w:val="49012404"/>
    <w:rsid w:val="49BBA48D"/>
    <w:rsid w:val="49F5BE11"/>
    <w:rsid w:val="4BE20A6A"/>
    <w:rsid w:val="4C78688D"/>
    <w:rsid w:val="4C931796"/>
    <w:rsid w:val="4CA2B36E"/>
    <w:rsid w:val="4D033E07"/>
    <w:rsid w:val="4E164B96"/>
    <w:rsid w:val="4E8DE1E2"/>
    <w:rsid w:val="5245D320"/>
    <w:rsid w:val="52C64B02"/>
    <w:rsid w:val="534034FC"/>
    <w:rsid w:val="53943A46"/>
    <w:rsid w:val="573EEF1D"/>
    <w:rsid w:val="574EA109"/>
    <w:rsid w:val="5930FD57"/>
    <w:rsid w:val="59E88165"/>
    <w:rsid w:val="5A077DD8"/>
    <w:rsid w:val="5A647B6C"/>
    <w:rsid w:val="5A9713F5"/>
    <w:rsid w:val="5D7DC136"/>
    <w:rsid w:val="5E1574AB"/>
    <w:rsid w:val="5E6E4DEB"/>
    <w:rsid w:val="5FB5375C"/>
    <w:rsid w:val="652FB14D"/>
    <w:rsid w:val="66347700"/>
    <w:rsid w:val="66AC2838"/>
    <w:rsid w:val="66B69F2A"/>
    <w:rsid w:val="673A1126"/>
    <w:rsid w:val="675A8704"/>
    <w:rsid w:val="67A7EEED"/>
    <w:rsid w:val="697060DB"/>
    <w:rsid w:val="697612C1"/>
    <w:rsid w:val="6A762996"/>
    <w:rsid w:val="6B6397F0"/>
    <w:rsid w:val="6D6AE011"/>
    <w:rsid w:val="6E54E155"/>
    <w:rsid w:val="6E79F56A"/>
    <w:rsid w:val="6F230316"/>
    <w:rsid w:val="6FDA66B2"/>
    <w:rsid w:val="7170B8C6"/>
    <w:rsid w:val="71C23033"/>
    <w:rsid w:val="73F4E761"/>
    <w:rsid w:val="74081C8C"/>
    <w:rsid w:val="75A7E084"/>
    <w:rsid w:val="78299A3E"/>
    <w:rsid w:val="787515F7"/>
    <w:rsid w:val="79563FE4"/>
    <w:rsid w:val="79BECFE6"/>
    <w:rsid w:val="7A245708"/>
    <w:rsid w:val="7B24153D"/>
    <w:rsid w:val="7CCD7232"/>
    <w:rsid w:val="7DBDCC05"/>
    <w:rsid w:val="7FC94DD3"/>
    <w:rsid w:val="7FCAB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57B18"/>
  <w15:chartTrackingRefBased/>
  <w15:docId w15:val="{386E0B08-EC18-4D9D-A227-98E67F91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7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7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7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7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7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5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5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3561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B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B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B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5C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84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F23"/>
  </w:style>
  <w:style w:type="paragraph" w:styleId="Stopka">
    <w:name w:val="footer"/>
    <w:basedOn w:val="Normalny"/>
    <w:link w:val="StopkaZnak"/>
    <w:uiPriority w:val="99"/>
    <w:unhideWhenUsed/>
    <w:rsid w:val="00284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5310</Characters>
  <Application>Microsoft Office Word</Application>
  <DocSecurity>0</DocSecurity>
  <Lines>78</Lines>
  <Paragraphs>17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Wiza</dc:creator>
  <cp:keywords/>
  <dc:description/>
  <cp:lastModifiedBy>Król, Julia</cp:lastModifiedBy>
  <cp:revision>2</cp:revision>
  <dcterms:created xsi:type="dcterms:W3CDTF">2025-09-18T09:32:00Z</dcterms:created>
  <dcterms:modified xsi:type="dcterms:W3CDTF">2025-09-18T09:32:00Z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833bb008-c632-49d8-88f6-861476cf8241</vt:lpwstr>
  </property>
</Properties>
</file>