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CC43" w14:textId="77777777" w:rsidR="00065AD0" w:rsidRDefault="00065AD0" w:rsidP="00065AD0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020293" w14:textId="77777777" w:rsidR="00065AD0" w:rsidRDefault="00065AD0" w:rsidP="00065AD0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8940AA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AD8E5C" wp14:editId="303B2BC7">
            <wp:simplePos x="0" y="0"/>
            <wp:positionH relativeFrom="column">
              <wp:posOffset>2599055</wp:posOffset>
            </wp:positionH>
            <wp:positionV relativeFrom="paragraph">
              <wp:posOffset>-658495</wp:posOffset>
            </wp:positionV>
            <wp:extent cx="3206750" cy="1114930"/>
            <wp:effectExtent l="0" t="0" r="0" b="9525"/>
            <wp:wrapNone/>
            <wp:docPr id="961967562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67562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9B23E" w14:textId="77777777" w:rsidR="00065AD0" w:rsidRDefault="00065AD0" w:rsidP="00065AD0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A7E37D" w14:textId="77777777" w:rsidR="00065AD0" w:rsidRDefault="00065AD0" w:rsidP="00065AD0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DCF3310" w14:textId="77777777" w:rsidR="00065AD0" w:rsidRPr="0058546A" w:rsidRDefault="00065AD0" w:rsidP="00065AD0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00E6C203" w14:textId="48F5BE09" w:rsidR="00065AD0" w:rsidRPr="0058546A" w:rsidRDefault="00065AD0" w:rsidP="00065AD0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17</w:t>
      </w:r>
      <w:r w:rsidRPr="4A6D7030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9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065AD0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534A1321" w14:textId="77777777" w:rsidR="00D547E1" w:rsidRDefault="00D547E1" w:rsidP="00065AD0">
      <w:pPr>
        <w:pStyle w:val="Nagwek1"/>
        <w:spacing w:before="120" w:beforeAutospacing="0" w:after="120" w:afterAutospacing="0" w:line="276" w:lineRule="auto"/>
      </w:pPr>
      <w:r w:rsidRPr="00D547E1">
        <w:t>Między tajemnicą płac a harcerskim duchem innowacji. Wnioski z najnowszego raportu</w:t>
      </w:r>
    </w:p>
    <w:p w14:paraId="776E2FD1" w14:textId="2C22475C" w:rsidR="00D547E1" w:rsidRPr="00D547E1" w:rsidRDefault="00D547E1" w:rsidP="00065AD0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D547E1">
        <w:rPr>
          <w:rFonts w:cstheme="minorHAnsi"/>
          <w:b/>
          <w:bCs/>
          <w:sz w:val="24"/>
          <w:szCs w:val="24"/>
        </w:rPr>
        <w:t xml:space="preserve">Od (nie)jawności płac, przez rolę harcerstwa w kształtowaniu kompetencji miękkich, po wyzwania osób </w:t>
      </w:r>
      <w:proofErr w:type="spellStart"/>
      <w:r w:rsidRPr="00D547E1">
        <w:rPr>
          <w:rFonts w:cstheme="minorHAnsi"/>
          <w:b/>
          <w:bCs/>
          <w:sz w:val="24"/>
          <w:szCs w:val="24"/>
        </w:rPr>
        <w:t>neuroatypowych</w:t>
      </w:r>
      <w:proofErr w:type="spellEnd"/>
      <w:r w:rsidRPr="00D547E1">
        <w:rPr>
          <w:rFonts w:cstheme="minorHAnsi"/>
          <w:b/>
          <w:bCs/>
          <w:sz w:val="24"/>
          <w:szCs w:val="24"/>
        </w:rPr>
        <w:t xml:space="preserve"> i zaskakujący spokój Polaków wobec gospodarczej niepewności. Polska Agencja Rozwoju Przedsiębiorczości podsumowuje ob</w:t>
      </w:r>
      <w:r w:rsidR="00577B41">
        <w:rPr>
          <w:rFonts w:cstheme="minorHAnsi"/>
          <w:b/>
          <w:bCs/>
          <w:sz w:val="24"/>
          <w:szCs w:val="24"/>
        </w:rPr>
        <w:t>ecną sytuację w najnowszym raporcie „</w:t>
      </w:r>
      <w:r w:rsidR="00577B41" w:rsidRPr="00577B41">
        <w:rPr>
          <w:rFonts w:cstheme="minorHAnsi"/>
          <w:b/>
          <w:bCs/>
          <w:sz w:val="24"/>
          <w:szCs w:val="24"/>
        </w:rPr>
        <w:t>Rynek pracy, edukacja, kompetencje. Aktualne trendy i wyniki badań</w:t>
      </w:r>
      <w:r w:rsidR="00577B41">
        <w:rPr>
          <w:rFonts w:cstheme="minorHAnsi"/>
          <w:b/>
          <w:bCs/>
          <w:sz w:val="24"/>
          <w:szCs w:val="24"/>
        </w:rPr>
        <w:t>”. Zapraszamy do lektury!</w:t>
      </w:r>
    </w:p>
    <w:p w14:paraId="592D64C1" w14:textId="77777777" w:rsidR="00D547E1" w:rsidRPr="00065AD0" w:rsidRDefault="00D547E1" w:rsidP="00065AD0">
      <w:pPr>
        <w:pStyle w:val="Nagwek2"/>
        <w:spacing w:before="120" w:after="120" w:line="276" w:lineRule="auto"/>
      </w:pPr>
      <w:r w:rsidRPr="00065AD0">
        <w:t>Niewidoczny problem ogłoszeń o pracę</w:t>
      </w:r>
    </w:p>
    <w:p w14:paraId="4F613F54" w14:textId="23E96DCB" w:rsidR="00D547E1" w:rsidRPr="00D547E1" w:rsidRDefault="00D547E1" w:rsidP="00065AD0">
      <w:pPr>
        <w:spacing w:before="120" w:after="120" w:line="276" w:lineRule="auto"/>
        <w:rPr>
          <w:rFonts w:cstheme="minorHAnsi"/>
          <w:sz w:val="24"/>
          <w:szCs w:val="24"/>
        </w:rPr>
      </w:pPr>
      <w:r w:rsidRPr="00D547E1">
        <w:rPr>
          <w:rFonts w:cstheme="minorHAnsi"/>
          <w:sz w:val="24"/>
          <w:szCs w:val="24"/>
        </w:rPr>
        <w:t>W Polsce tylko 21%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 w:rsidRPr="00D547E1">
        <w:rPr>
          <w:rFonts w:cstheme="minorHAnsi"/>
          <w:sz w:val="24"/>
          <w:szCs w:val="24"/>
        </w:rPr>
        <w:t xml:space="preserve"> ofert pracy zawiera informację o widełkach wynagrodzenia. To oznacza, że w niemal ośmiu na dziesięć przypadkach kandydat nie ma żadnej wiedzy o warunkach finansowych, zanim zdecyduje się aplikować. Jeszcze rzadziej pracodawcy podają konkretną kwotę – zaledwie w mniej niż 4% ofert. </w:t>
      </w:r>
    </w:p>
    <w:p w14:paraId="5D8FF0CB" w14:textId="2C8F5762" w:rsidR="00D547E1" w:rsidRPr="00D547E1" w:rsidRDefault="00D547E1" w:rsidP="00065AD0">
      <w:pPr>
        <w:spacing w:before="120" w:after="120" w:line="276" w:lineRule="auto"/>
        <w:rPr>
          <w:rFonts w:cstheme="minorHAnsi"/>
          <w:sz w:val="24"/>
          <w:szCs w:val="24"/>
        </w:rPr>
      </w:pPr>
      <w:r w:rsidRPr="00D547E1">
        <w:rPr>
          <w:rFonts w:cstheme="minorHAnsi"/>
          <w:sz w:val="24"/>
          <w:szCs w:val="24"/>
        </w:rPr>
        <w:t>Co ciekawe, jawność wynagrodzeń nie rozkłada się równomiernie. Największe szanse na poznanie płacy mają osoby ubiegające się o stanowiska fizyczne oraz asystenckie – tam w około jednej trzeciej ogłoszeń pojawia się informacja o zarobkach. Z kolei na szczycie drabiny zawodowej sytuacja wygląda odwrotnie. Tylko 11% ofert dla prezesów i 15% dla dyrektorów zawierało dane o płacach. To wyraźnie pokazuje, że im wyżej w hierarchii, tym trudniej o przejrzystość.</w:t>
      </w:r>
    </w:p>
    <w:p w14:paraId="76158205" w14:textId="77777777" w:rsidR="00D547E1" w:rsidRPr="00D547E1" w:rsidRDefault="00D547E1" w:rsidP="00065AD0">
      <w:pPr>
        <w:pStyle w:val="Nagwek2"/>
        <w:spacing w:before="120" w:after="120" w:line="276" w:lineRule="auto"/>
      </w:pPr>
      <w:r w:rsidRPr="00D547E1">
        <w:t>Harcerstwo jako kuźnia kompetencji przyszłości</w:t>
      </w:r>
    </w:p>
    <w:p w14:paraId="0F104780" w14:textId="09249ADF" w:rsidR="00D547E1" w:rsidRPr="00D547E1" w:rsidRDefault="00D547E1" w:rsidP="00065AD0">
      <w:pPr>
        <w:spacing w:before="120" w:after="120" w:line="276" w:lineRule="auto"/>
        <w:rPr>
          <w:rFonts w:cstheme="minorHAnsi"/>
          <w:sz w:val="24"/>
          <w:szCs w:val="24"/>
        </w:rPr>
      </w:pPr>
      <w:r w:rsidRPr="00D547E1">
        <w:rPr>
          <w:rFonts w:cstheme="minorHAnsi"/>
          <w:sz w:val="24"/>
          <w:szCs w:val="24"/>
        </w:rPr>
        <w:t>Czy mundur harcerski może być przepustką do kariery? Raport</w:t>
      </w:r>
      <w:r>
        <w:rPr>
          <w:rStyle w:val="Odwoanieprzypisudolnego"/>
          <w:rFonts w:cstheme="minorHAnsi"/>
          <w:sz w:val="24"/>
          <w:szCs w:val="24"/>
        </w:rPr>
        <w:footnoteReference w:id="2"/>
      </w:r>
      <w:r w:rsidRPr="00D547E1">
        <w:rPr>
          <w:rFonts w:cstheme="minorHAnsi"/>
          <w:sz w:val="24"/>
          <w:szCs w:val="24"/>
        </w:rPr>
        <w:t xml:space="preserve"> pokazuje ciekawy związek między aktywnością w drużynach a rozwojem kompetencji zawodowych. W Polsce działa około 170 tysięcy harcerzy, a ZHP – największa organizacja – systematycznie powiększa swoje szeregi. To oznacza, że tysiące młodych ludzi regularnie trenuje umiejętności, które później procentują na rynku pracy.</w:t>
      </w:r>
    </w:p>
    <w:p w14:paraId="04344F6B" w14:textId="4382DB56" w:rsidR="00D547E1" w:rsidRPr="00D547E1" w:rsidRDefault="00D547E1" w:rsidP="00065AD0">
      <w:pPr>
        <w:spacing w:before="120" w:after="120" w:line="276" w:lineRule="auto"/>
        <w:rPr>
          <w:rFonts w:cstheme="minorHAnsi"/>
          <w:sz w:val="24"/>
          <w:szCs w:val="24"/>
        </w:rPr>
      </w:pPr>
      <w:r w:rsidRPr="00D547E1">
        <w:rPr>
          <w:rFonts w:cstheme="minorHAnsi"/>
          <w:sz w:val="24"/>
          <w:szCs w:val="24"/>
        </w:rPr>
        <w:lastRenderedPageBreak/>
        <w:t xml:space="preserve">Kluczowe jest to, że harcerstwo uczy tzw. hot </w:t>
      </w:r>
      <w:proofErr w:type="spellStart"/>
      <w:r w:rsidRPr="00D547E1">
        <w:rPr>
          <w:rFonts w:cstheme="minorHAnsi"/>
          <w:sz w:val="24"/>
          <w:szCs w:val="24"/>
        </w:rPr>
        <w:t>skills</w:t>
      </w:r>
      <w:proofErr w:type="spellEnd"/>
      <w:r w:rsidRPr="00D547E1">
        <w:rPr>
          <w:rFonts w:cstheme="minorHAnsi"/>
          <w:sz w:val="24"/>
          <w:szCs w:val="24"/>
        </w:rPr>
        <w:t xml:space="preserve"> – kompetencji, na które zapotrzebowanie rośnie najszybciej. Należą do nich elastyczność, skuteczna komunikacja, zdolność do adaptacji czy rozwiązywani</w:t>
      </w:r>
      <w:r w:rsidR="00577B41">
        <w:rPr>
          <w:rFonts w:cstheme="minorHAnsi"/>
          <w:sz w:val="24"/>
          <w:szCs w:val="24"/>
        </w:rPr>
        <w:t>e</w:t>
      </w:r>
      <w:r w:rsidRPr="00D547E1">
        <w:rPr>
          <w:rFonts w:cstheme="minorHAnsi"/>
          <w:sz w:val="24"/>
          <w:szCs w:val="24"/>
        </w:rPr>
        <w:t xml:space="preserve"> problemów w nieprzewidywalnych sytuacjach. Harcerskie podchody czy praca w zastępie okazują się więc cennym treningiem do późniejszych ról menedżerskich czy projektowych.</w:t>
      </w:r>
    </w:p>
    <w:p w14:paraId="65D75B6A" w14:textId="77777777" w:rsidR="00D547E1" w:rsidRPr="00D547E1" w:rsidRDefault="00D547E1" w:rsidP="00065AD0">
      <w:pPr>
        <w:pStyle w:val="Nagwek2"/>
        <w:spacing w:before="120" w:after="120" w:line="276" w:lineRule="auto"/>
      </w:pPr>
      <w:proofErr w:type="spellStart"/>
      <w:r w:rsidRPr="00D547E1">
        <w:t>Neuroróżnorodność</w:t>
      </w:r>
      <w:proofErr w:type="spellEnd"/>
      <w:r w:rsidRPr="00D547E1">
        <w:t xml:space="preserve"> – potencjał wciąż niewykorzystany</w:t>
      </w:r>
    </w:p>
    <w:p w14:paraId="146CA7D7" w14:textId="263A61F4" w:rsidR="00D547E1" w:rsidRPr="00D547E1" w:rsidRDefault="00D547E1" w:rsidP="00065AD0">
      <w:pPr>
        <w:spacing w:before="120" w:after="120" w:line="276" w:lineRule="auto"/>
        <w:rPr>
          <w:rFonts w:cstheme="minorHAnsi"/>
          <w:sz w:val="24"/>
          <w:szCs w:val="24"/>
        </w:rPr>
      </w:pPr>
      <w:r w:rsidRPr="00D547E1">
        <w:rPr>
          <w:rFonts w:cstheme="minorHAnsi"/>
          <w:sz w:val="24"/>
          <w:szCs w:val="24"/>
        </w:rPr>
        <w:t>W raporcie</w:t>
      </w:r>
      <w:r>
        <w:rPr>
          <w:rStyle w:val="Odwoanieprzypisudolnego"/>
          <w:rFonts w:cstheme="minorHAnsi"/>
          <w:sz w:val="24"/>
          <w:szCs w:val="24"/>
        </w:rPr>
        <w:footnoteReference w:id="3"/>
      </w:r>
      <w:r w:rsidRPr="00D547E1">
        <w:rPr>
          <w:rFonts w:cstheme="minorHAnsi"/>
          <w:sz w:val="24"/>
          <w:szCs w:val="24"/>
        </w:rPr>
        <w:t xml:space="preserve"> wybrzmiewa temat sytuacji osób </w:t>
      </w:r>
      <w:proofErr w:type="spellStart"/>
      <w:r w:rsidRPr="00D547E1">
        <w:rPr>
          <w:rFonts w:cstheme="minorHAnsi"/>
          <w:sz w:val="24"/>
          <w:szCs w:val="24"/>
        </w:rPr>
        <w:t>neuroatypowych</w:t>
      </w:r>
      <w:proofErr w:type="spellEnd"/>
      <w:r w:rsidRPr="00D547E1">
        <w:rPr>
          <w:rFonts w:cstheme="minorHAnsi"/>
          <w:sz w:val="24"/>
          <w:szCs w:val="24"/>
        </w:rPr>
        <w:t xml:space="preserve"> na rynku pracy. Dane są jednoznaczne: aż 65% badanych ocenia poziom wiedzy o </w:t>
      </w:r>
      <w:proofErr w:type="spellStart"/>
      <w:r w:rsidRPr="00D547E1">
        <w:rPr>
          <w:rFonts w:cstheme="minorHAnsi"/>
          <w:sz w:val="24"/>
          <w:szCs w:val="24"/>
        </w:rPr>
        <w:t>neuroróżnorodności</w:t>
      </w:r>
      <w:proofErr w:type="spellEnd"/>
      <w:r w:rsidRPr="00D547E1">
        <w:rPr>
          <w:rFonts w:cstheme="minorHAnsi"/>
          <w:sz w:val="24"/>
          <w:szCs w:val="24"/>
        </w:rPr>
        <w:t xml:space="preserve"> w firmach jako niski lub zerowy. Brak świadomości dotyczy zarówno działów HR, jak i kadry menedżerskiej. W praktyce przekłada się to na brak dostosowań środowiskowych – tylko 12,3% respondentów deklaruje, że w ich miejscu pracy wdrożono jakiekolwiek rozwiązania wspierające.</w:t>
      </w:r>
    </w:p>
    <w:p w14:paraId="7F833D34" w14:textId="3DD54DDE" w:rsidR="00D547E1" w:rsidRPr="00D547E1" w:rsidRDefault="00D547E1" w:rsidP="00065AD0">
      <w:pPr>
        <w:spacing w:before="120" w:after="120" w:line="276" w:lineRule="auto"/>
        <w:rPr>
          <w:rFonts w:cstheme="minorHAnsi"/>
          <w:sz w:val="24"/>
          <w:szCs w:val="24"/>
        </w:rPr>
      </w:pPr>
      <w:r w:rsidRPr="00D547E1">
        <w:rPr>
          <w:rFonts w:cstheme="minorHAnsi"/>
          <w:sz w:val="24"/>
          <w:szCs w:val="24"/>
        </w:rPr>
        <w:t>Efekt? Prawie połowa doświadczyła dyskryminacji, a trzy czwarte poczucia wykluczenia. Bariery pojawiają się już na etapie rekrutacji – 98% zetknęło się z niejasnymi ogłoszeniami, a tradycyjne rozmowy kwalifikacyjne dla wielu są po prostu wykluczające. To nie brak kompetencji, lecz procedury są przeszkodą. </w:t>
      </w:r>
    </w:p>
    <w:p w14:paraId="68CFE149" w14:textId="0E2555FA" w:rsidR="00D547E1" w:rsidRPr="00D547E1" w:rsidRDefault="00D547E1" w:rsidP="00065AD0">
      <w:pPr>
        <w:pStyle w:val="Nagwek2"/>
        <w:spacing w:before="120" w:after="120" w:line="276" w:lineRule="auto"/>
      </w:pPr>
      <w:r w:rsidRPr="00D547E1">
        <w:t xml:space="preserve">Spokój </w:t>
      </w:r>
      <w:r w:rsidR="008604AF">
        <w:t>podczas</w:t>
      </w:r>
      <w:r w:rsidR="008604AF" w:rsidRPr="00D547E1">
        <w:t xml:space="preserve"> </w:t>
      </w:r>
      <w:r w:rsidRPr="00D547E1">
        <w:t>burzy</w:t>
      </w:r>
    </w:p>
    <w:p w14:paraId="1F2F192A" w14:textId="4960023B" w:rsidR="00D547E1" w:rsidRPr="00D547E1" w:rsidRDefault="00D547E1" w:rsidP="00065AD0">
      <w:pPr>
        <w:spacing w:before="120" w:after="120" w:line="276" w:lineRule="auto"/>
        <w:rPr>
          <w:rFonts w:cstheme="minorHAnsi"/>
          <w:sz w:val="24"/>
          <w:szCs w:val="24"/>
        </w:rPr>
      </w:pPr>
      <w:r w:rsidRPr="00D547E1">
        <w:rPr>
          <w:rFonts w:cstheme="minorHAnsi"/>
          <w:sz w:val="24"/>
          <w:szCs w:val="24"/>
        </w:rPr>
        <w:t>Polscy pracownicy pozostają optymistyczni. Aż 59%</w:t>
      </w:r>
      <w:r>
        <w:rPr>
          <w:rStyle w:val="Odwoanieprzypisudolnego"/>
          <w:rFonts w:cstheme="minorHAnsi"/>
          <w:sz w:val="24"/>
          <w:szCs w:val="24"/>
        </w:rPr>
        <w:footnoteReference w:id="4"/>
      </w:r>
      <w:r w:rsidRPr="00D547E1">
        <w:rPr>
          <w:rFonts w:cstheme="minorHAnsi"/>
          <w:sz w:val="24"/>
          <w:szCs w:val="24"/>
        </w:rPr>
        <w:t xml:space="preserve"> deklaruje, że nie obawia się utraty pracy, a 44% ocenia swoją sytuację zawodową pozytywnie. Te stabilne nastroje, które utrzymują się od miesięcy, sugerują pewną odporność psychiczną na zawodowe wyzwania.</w:t>
      </w:r>
    </w:p>
    <w:p w14:paraId="4170BE4F" w14:textId="034263EF" w:rsidR="00D547E1" w:rsidRDefault="00D547E1" w:rsidP="00065AD0">
      <w:pPr>
        <w:spacing w:before="120" w:after="120" w:line="276" w:lineRule="auto"/>
        <w:rPr>
          <w:rFonts w:cstheme="minorHAnsi"/>
          <w:sz w:val="24"/>
          <w:szCs w:val="24"/>
        </w:rPr>
      </w:pPr>
      <w:r w:rsidRPr="00D547E1">
        <w:rPr>
          <w:rFonts w:cstheme="minorHAnsi"/>
          <w:sz w:val="24"/>
          <w:szCs w:val="24"/>
        </w:rPr>
        <w:t>Największą pewność siebie wykazują doświadczeni pracownicy 55+ – ponad 70% czuje się bezpiecznie na rynku pracy. Z kolei młodzi w wieku 18</w:t>
      </w:r>
      <w:r w:rsidR="008604AF">
        <w:rPr>
          <w:rFonts w:cstheme="minorHAnsi"/>
          <w:sz w:val="24"/>
          <w:szCs w:val="24"/>
        </w:rPr>
        <w:t>–</w:t>
      </w:r>
      <w:r w:rsidRPr="00D547E1">
        <w:rPr>
          <w:rFonts w:cstheme="minorHAnsi"/>
          <w:sz w:val="24"/>
          <w:szCs w:val="24"/>
        </w:rPr>
        <w:t>24 lata patrzą w przyszłość z większym niepokojem – 40% obawia się utraty zatrudnienia. Doświadczenie okazuje się najlepszym antidotum na zawodowy stres.</w:t>
      </w:r>
    </w:p>
    <w:p w14:paraId="6CE51D2C" w14:textId="5F6504A9" w:rsidR="00D547E1" w:rsidRDefault="00D547E1" w:rsidP="00065AD0">
      <w:pPr>
        <w:spacing w:before="120" w:after="120" w:line="276" w:lineRule="auto"/>
        <w:rPr>
          <w:rFonts w:cstheme="minorHAnsi"/>
          <w:sz w:val="24"/>
          <w:szCs w:val="24"/>
        </w:rPr>
      </w:pPr>
      <w:r w:rsidRPr="00D547E1">
        <w:rPr>
          <w:rFonts w:cstheme="minorHAnsi"/>
          <w:sz w:val="24"/>
          <w:szCs w:val="24"/>
        </w:rPr>
        <w:t xml:space="preserve">Zestawienie tych wątków układa się w obraz rynku pracy, który nie mieści się w prostych kategoriach „dobrze” czy „źle”. Z jednej strony mamy brak przejrzystości w ogłoszeniach czy bariery dla osób </w:t>
      </w:r>
      <w:proofErr w:type="spellStart"/>
      <w:r w:rsidRPr="00D547E1">
        <w:rPr>
          <w:rFonts w:cstheme="minorHAnsi"/>
          <w:sz w:val="24"/>
          <w:szCs w:val="24"/>
        </w:rPr>
        <w:t>neuroatypowych</w:t>
      </w:r>
      <w:proofErr w:type="spellEnd"/>
      <w:r w:rsidRPr="00D547E1">
        <w:rPr>
          <w:rFonts w:cstheme="minorHAnsi"/>
          <w:sz w:val="24"/>
          <w:szCs w:val="24"/>
        </w:rPr>
        <w:t>, z drugiej – nieoczywiste źródła kompetencji i stabilne nastroje wśród pracowników. To właśnie te kontrasty tworzą codzienność pracy w Polsce w 2025 roku. I być może właśnie w nich kryje się najważniejsza lekcja: przyszłość rynku nie zależy wyłącznie od wskaźników makroekonomicznych, ale od tego, czy nauczymy się dostrzegać i wykorzystywać te mniej widoczne, a często najistotniejsze elementy.</w:t>
      </w:r>
    </w:p>
    <w:p w14:paraId="21056625" w14:textId="1A48A07E" w:rsidR="00065AD0" w:rsidRPr="00D547E1" w:rsidRDefault="00065AD0" w:rsidP="00065AD0">
      <w:pPr>
        <w:spacing w:before="120" w:after="120" w:line="276" w:lineRule="auto"/>
        <w:rPr>
          <w:rFonts w:cstheme="minorHAnsi"/>
          <w:sz w:val="24"/>
          <w:szCs w:val="24"/>
        </w:rPr>
      </w:pPr>
      <w:r w:rsidRPr="00065AD0">
        <w:rPr>
          <w:rFonts w:cstheme="minorHAnsi"/>
          <w:sz w:val="24"/>
          <w:szCs w:val="24"/>
        </w:rPr>
        <w:t>Raport przygotowany w ramach projektu pozakonkursowego FERS</w:t>
      </w:r>
      <w:r>
        <w:rPr>
          <w:rFonts w:cstheme="minorHAnsi"/>
          <w:sz w:val="24"/>
          <w:szCs w:val="24"/>
        </w:rPr>
        <w:t xml:space="preserve"> </w:t>
      </w:r>
      <w:r w:rsidRPr="00065AD0">
        <w:rPr>
          <w:rFonts w:cstheme="minorHAnsi"/>
          <w:sz w:val="24"/>
          <w:szCs w:val="24"/>
        </w:rPr>
        <w:t>pn. „Rozwój i doskonalenie systemu sektorowych rad ds. kompetencji”</w:t>
      </w:r>
      <w:r>
        <w:rPr>
          <w:rFonts w:cstheme="minorHAnsi"/>
          <w:sz w:val="24"/>
          <w:szCs w:val="24"/>
        </w:rPr>
        <w:t>.</w:t>
      </w:r>
    </w:p>
    <w:p w14:paraId="4FA91CD7" w14:textId="75B6E17D" w:rsidR="00577B41" w:rsidRDefault="00577B41" w:rsidP="00065AD0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Pełna treść raportu dostępna </w:t>
      </w:r>
      <w:hyperlink r:id="rId10" w:history="1">
        <w:r w:rsidRPr="00D74474">
          <w:rPr>
            <w:rStyle w:val="Hipercze"/>
            <w:rFonts w:cstheme="minorHAnsi"/>
            <w:b/>
            <w:bCs/>
            <w:sz w:val="24"/>
            <w:szCs w:val="24"/>
          </w:rPr>
          <w:t xml:space="preserve">jest na stronie </w:t>
        </w:r>
        <w:r w:rsidRPr="00D74474">
          <w:rPr>
            <w:rStyle w:val="Hipercze"/>
            <w:rFonts w:cstheme="minorHAnsi"/>
            <w:b/>
            <w:bCs/>
            <w:sz w:val="24"/>
            <w:szCs w:val="24"/>
          </w:rPr>
          <w:t>PARP</w:t>
        </w:r>
      </w:hyperlink>
      <w:r>
        <w:rPr>
          <w:rFonts w:cstheme="minorHAnsi"/>
          <w:b/>
          <w:bCs/>
          <w:sz w:val="24"/>
          <w:szCs w:val="24"/>
        </w:rPr>
        <w:t>.</w:t>
      </w:r>
    </w:p>
    <w:p w14:paraId="485A1855" w14:textId="149657B5" w:rsidR="00065AD0" w:rsidRDefault="00065AD0" w:rsidP="00D547E1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</w:p>
    <w:p w14:paraId="7C60212A" w14:textId="66AF7F63" w:rsidR="00065AD0" w:rsidRPr="00D547E1" w:rsidRDefault="00065AD0" w:rsidP="00D547E1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065AD0">
        <w:rPr>
          <w:rFonts w:cstheme="minorHAnsi"/>
          <w:b/>
          <w:bCs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9D45FFE" wp14:editId="403718F7">
            <wp:simplePos x="0" y="0"/>
            <wp:positionH relativeFrom="margin">
              <wp:posOffset>-6350</wp:posOffset>
            </wp:positionH>
            <wp:positionV relativeFrom="paragraph">
              <wp:posOffset>35560</wp:posOffset>
            </wp:positionV>
            <wp:extent cx="1054100" cy="289507"/>
            <wp:effectExtent l="0" t="0" r="0" b="0"/>
            <wp:wrapNone/>
            <wp:docPr id="13636450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4504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89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5EBF5" w14:textId="77777777" w:rsidR="007B36BF" w:rsidRDefault="007B36BF" w:rsidP="007B36BF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</w:p>
    <w:p w14:paraId="3E754D4D" w14:textId="7ECA882A" w:rsidR="00065AD0" w:rsidRPr="007B36BF" w:rsidRDefault="00065AD0" w:rsidP="007B36BF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3AD6AAFE" wp14:editId="1ED082D0">
            <wp:extent cx="5760720" cy="421005"/>
            <wp:effectExtent l="0" t="0" r="0" b="0"/>
            <wp:docPr id="1754446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46695" name="Obraz 175444669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34A1" w14:textId="77777777" w:rsidR="00BD4392" w:rsidRPr="00BD4392" w:rsidRDefault="00BD4392" w:rsidP="00BD4392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</w:p>
    <w:p w14:paraId="69C263F2" w14:textId="5C0CE0C6" w:rsidR="00DD142F" w:rsidRPr="00DD142F" w:rsidRDefault="00DD142F" w:rsidP="00DD142F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087EB925" w14:textId="1F150F86" w:rsidR="006501D5" w:rsidRPr="00851A5D" w:rsidRDefault="006501D5" w:rsidP="00DD142F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</w:p>
    <w:sectPr w:rsidR="006501D5" w:rsidRPr="0085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164B2" w14:textId="77777777" w:rsidR="003A4BAB" w:rsidRDefault="003A4BAB" w:rsidP="001305C5">
      <w:pPr>
        <w:spacing w:after="0" w:line="240" w:lineRule="auto"/>
      </w:pPr>
      <w:r>
        <w:separator/>
      </w:r>
    </w:p>
  </w:endnote>
  <w:endnote w:type="continuationSeparator" w:id="0">
    <w:p w14:paraId="2E83B7D5" w14:textId="77777777" w:rsidR="003A4BAB" w:rsidRDefault="003A4BAB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378CF" w14:textId="77777777" w:rsidR="003A4BAB" w:rsidRDefault="003A4BAB" w:rsidP="001305C5">
      <w:pPr>
        <w:spacing w:after="0" w:line="240" w:lineRule="auto"/>
      </w:pPr>
      <w:r>
        <w:separator/>
      </w:r>
    </w:p>
  </w:footnote>
  <w:footnote w:type="continuationSeparator" w:id="0">
    <w:p w14:paraId="19968714" w14:textId="77777777" w:rsidR="003A4BAB" w:rsidRDefault="003A4BAB" w:rsidP="001305C5">
      <w:pPr>
        <w:spacing w:after="0" w:line="240" w:lineRule="auto"/>
      </w:pPr>
      <w:r>
        <w:continuationSeparator/>
      </w:r>
    </w:p>
  </w:footnote>
  <w:footnote w:id="1">
    <w:p w14:paraId="4D25DD16" w14:textId="3EF2F16C" w:rsidR="00D547E1" w:rsidRDefault="00D547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  <w:rFonts w:ascii="Arial" w:hAnsi="Arial" w:cs="Arial"/>
            <w:color w:val="1155CC"/>
          </w:rPr>
          <w:t>https://grantthornton.pl/wp-content/uploads/2025/07/Raport-o-jawnosci-wynagrodzen-w-ofertach-pracy-Grant-Thornton.pdf</w:t>
        </w:r>
      </w:hyperlink>
      <w:r>
        <w:t xml:space="preserve"> </w:t>
      </w:r>
    </w:p>
  </w:footnote>
  <w:footnote w:id="2">
    <w:p w14:paraId="5C56204C" w14:textId="36B04758" w:rsidR="00D547E1" w:rsidRDefault="00D547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>
          <w:rPr>
            <w:rStyle w:val="Hipercze"/>
            <w:rFonts w:ascii="Arial" w:hAnsi="Arial" w:cs="Arial"/>
            <w:color w:val="1155CC"/>
          </w:rPr>
          <w:t>https://pie.net.pl/wp-content/uploads/2025/08/Tygodnik-PIE_32-2025.pdf</w:t>
        </w:r>
      </w:hyperlink>
    </w:p>
  </w:footnote>
  <w:footnote w:id="3">
    <w:p w14:paraId="28CC81DE" w14:textId="7E032D13" w:rsidR="00D547E1" w:rsidRDefault="00D547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  <w:rFonts w:ascii="Arial" w:hAnsi="Arial" w:cs="Arial"/>
            <w:color w:val="1155CC"/>
          </w:rPr>
          <w:t>https://www.cedefop.europa.eu/files/8149_en.pdf</w:t>
        </w:r>
      </w:hyperlink>
    </w:p>
  </w:footnote>
  <w:footnote w:id="4">
    <w:p w14:paraId="56F484C8" w14:textId="66B5A5FA" w:rsidR="00D547E1" w:rsidRDefault="00D547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>
          <w:rPr>
            <w:rStyle w:val="Hipercze"/>
            <w:rFonts w:ascii="Arial" w:hAnsi="Arial" w:cs="Arial"/>
            <w:color w:val="1155CC"/>
          </w:rPr>
          <w:t>https://personnelservice.pl/bezrobocie-rosnie-liczba-ofert-pracy-spada-ale-polacy-sa-spokojni/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1EB"/>
    <w:multiLevelType w:val="multilevel"/>
    <w:tmpl w:val="12A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F0E4A"/>
    <w:multiLevelType w:val="hybridMultilevel"/>
    <w:tmpl w:val="DDF0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B1FB0"/>
    <w:multiLevelType w:val="multilevel"/>
    <w:tmpl w:val="D6AC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63CC4"/>
    <w:multiLevelType w:val="hybridMultilevel"/>
    <w:tmpl w:val="BE568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27CAE"/>
    <w:multiLevelType w:val="multilevel"/>
    <w:tmpl w:val="E70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7A12000"/>
    <w:multiLevelType w:val="multilevel"/>
    <w:tmpl w:val="D35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5015">
    <w:abstractNumId w:val="7"/>
  </w:num>
  <w:num w:numId="2" w16cid:durableId="786629129">
    <w:abstractNumId w:val="21"/>
  </w:num>
  <w:num w:numId="3" w16cid:durableId="607390910">
    <w:abstractNumId w:val="3"/>
  </w:num>
  <w:num w:numId="4" w16cid:durableId="509375921">
    <w:abstractNumId w:val="17"/>
  </w:num>
  <w:num w:numId="5" w16cid:durableId="1624732920">
    <w:abstractNumId w:val="0"/>
  </w:num>
  <w:num w:numId="6" w16cid:durableId="1552302551">
    <w:abstractNumId w:val="8"/>
  </w:num>
  <w:num w:numId="7" w16cid:durableId="291055369">
    <w:abstractNumId w:val="13"/>
  </w:num>
  <w:num w:numId="8" w16cid:durableId="56824066">
    <w:abstractNumId w:val="16"/>
  </w:num>
  <w:num w:numId="9" w16cid:durableId="1969512268">
    <w:abstractNumId w:val="9"/>
  </w:num>
  <w:num w:numId="10" w16cid:durableId="193272289">
    <w:abstractNumId w:val="19"/>
  </w:num>
  <w:num w:numId="11" w16cid:durableId="1457021209">
    <w:abstractNumId w:val="5"/>
  </w:num>
  <w:num w:numId="12" w16cid:durableId="387847210">
    <w:abstractNumId w:val="4"/>
  </w:num>
  <w:num w:numId="13" w16cid:durableId="917598740">
    <w:abstractNumId w:val="18"/>
  </w:num>
  <w:num w:numId="14" w16cid:durableId="1750155627">
    <w:abstractNumId w:val="10"/>
  </w:num>
  <w:num w:numId="15" w16cid:durableId="952245320">
    <w:abstractNumId w:val="15"/>
  </w:num>
  <w:num w:numId="16" w16cid:durableId="1061054788">
    <w:abstractNumId w:val="14"/>
  </w:num>
  <w:num w:numId="17" w16cid:durableId="382028450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12"/>
  </w:num>
  <w:num w:numId="21" w16cid:durableId="1810897547">
    <w:abstractNumId w:val="2"/>
  </w:num>
  <w:num w:numId="22" w16cid:durableId="1101686045">
    <w:abstractNumId w:val="11"/>
  </w:num>
  <w:num w:numId="23" w16cid:durableId="965234309">
    <w:abstractNumId w:val="20"/>
  </w:num>
  <w:num w:numId="24" w16cid:durableId="624773475">
    <w:abstractNumId w:val="22"/>
  </w:num>
  <w:num w:numId="25" w16cid:durableId="1240402988">
    <w:abstractNumId w:val="1"/>
  </w:num>
  <w:num w:numId="26" w16cid:durableId="1990203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32B85"/>
    <w:rsid w:val="00043AC4"/>
    <w:rsid w:val="0006084F"/>
    <w:rsid w:val="0006592A"/>
    <w:rsid w:val="00065AD0"/>
    <w:rsid w:val="00075049"/>
    <w:rsid w:val="000A2B7E"/>
    <w:rsid w:val="000A3E78"/>
    <w:rsid w:val="000B393A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26AF"/>
    <w:rsid w:val="00164C92"/>
    <w:rsid w:val="0017444D"/>
    <w:rsid w:val="00185EAB"/>
    <w:rsid w:val="00193244"/>
    <w:rsid w:val="001D5A9F"/>
    <w:rsid w:val="001E3E93"/>
    <w:rsid w:val="002027A3"/>
    <w:rsid w:val="00221B3A"/>
    <w:rsid w:val="00230CA5"/>
    <w:rsid w:val="00233A04"/>
    <w:rsid w:val="0024444F"/>
    <w:rsid w:val="0024707B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713BF"/>
    <w:rsid w:val="003779A6"/>
    <w:rsid w:val="003948D1"/>
    <w:rsid w:val="003960E9"/>
    <w:rsid w:val="003A3E64"/>
    <w:rsid w:val="003A4BAB"/>
    <w:rsid w:val="003B2E21"/>
    <w:rsid w:val="003B4862"/>
    <w:rsid w:val="003C3DD8"/>
    <w:rsid w:val="003D43B4"/>
    <w:rsid w:val="003D6A9B"/>
    <w:rsid w:val="00400B6A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72863"/>
    <w:rsid w:val="004A456C"/>
    <w:rsid w:val="004B0DA6"/>
    <w:rsid w:val="004C701E"/>
    <w:rsid w:val="004D405A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77B41"/>
    <w:rsid w:val="00582E88"/>
    <w:rsid w:val="00591EFB"/>
    <w:rsid w:val="005B257F"/>
    <w:rsid w:val="005B5B1C"/>
    <w:rsid w:val="005C4354"/>
    <w:rsid w:val="005C7B4D"/>
    <w:rsid w:val="005D093F"/>
    <w:rsid w:val="005F2BF3"/>
    <w:rsid w:val="00603FDF"/>
    <w:rsid w:val="0061250F"/>
    <w:rsid w:val="00617099"/>
    <w:rsid w:val="0062154C"/>
    <w:rsid w:val="00630CE4"/>
    <w:rsid w:val="00641D0C"/>
    <w:rsid w:val="006429C6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B36BF"/>
    <w:rsid w:val="007C4BBD"/>
    <w:rsid w:val="007C5273"/>
    <w:rsid w:val="007C6F72"/>
    <w:rsid w:val="007C7668"/>
    <w:rsid w:val="007D44D2"/>
    <w:rsid w:val="007E2C59"/>
    <w:rsid w:val="00814BD5"/>
    <w:rsid w:val="00814C5D"/>
    <w:rsid w:val="008362B3"/>
    <w:rsid w:val="00837FF6"/>
    <w:rsid w:val="00840D54"/>
    <w:rsid w:val="00851A5D"/>
    <w:rsid w:val="008529C6"/>
    <w:rsid w:val="008604AF"/>
    <w:rsid w:val="0088151A"/>
    <w:rsid w:val="008858B6"/>
    <w:rsid w:val="00886C62"/>
    <w:rsid w:val="008A4555"/>
    <w:rsid w:val="008A60E6"/>
    <w:rsid w:val="008B01DF"/>
    <w:rsid w:val="008C1879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32A3F"/>
    <w:rsid w:val="00A53625"/>
    <w:rsid w:val="00A63E09"/>
    <w:rsid w:val="00A66263"/>
    <w:rsid w:val="00A666A5"/>
    <w:rsid w:val="00A67D69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1E6E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4392"/>
    <w:rsid w:val="00BD5968"/>
    <w:rsid w:val="00BD755D"/>
    <w:rsid w:val="00BE6B6A"/>
    <w:rsid w:val="00BE6F78"/>
    <w:rsid w:val="00BF2007"/>
    <w:rsid w:val="00C010C6"/>
    <w:rsid w:val="00C0245D"/>
    <w:rsid w:val="00C206F0"/>
    <w:rsid w:val="00C24268"/>
    <w:rsid w:val="00C35FB6"/>
    <w:rsid w:val="00C40617"/>
    <w:rsid w:val="00C47D76"/>
    <w:rsid w:val="00C5332E"/>
    <w:rsid w:val="00C710AB"/>
    <w:rsid w:val="00C774B3"/>
    <w:rsid w:val="00C97F91"/>
    <w:rsid w:val="00CA082C"/>
    <w:rsid w:val="00CB1A06"/>
    <w:rsid w:val="00CC1FD8"/>
    <w:rsid w:val="00CF5FD4"/>
    <w:rsid w:val="00CF7C95"/>
    <w:rsid w:val="00D151EC"/>
    <w:rsid w:val="00D15557"/>
    <w:rsid w:val="00D15DAC"/>
    <w:rsid w:val="00D30B96"/>
    <w:rsid w:val="00D46D5B"/>
    <w:rsid w:val="00D547E1"/>
    <w:rsid w:val="00D554E0"/>
    <w:rsid w:val="00D61203"/>
    <w:rsid w:val="00D74474"/>
    <w:rsid w:val="00D81782"/>
    <w:rsid w:val="00D83905"/>
    <w:rsid w:val="00D85639"/>
    <w:rsid w:val="00D912DC"/>
    <w:rsid w:val="00DA21E7"/>
    <w:rsid w:val="00DA227E"/>
    <w:rsid w:val="00DA73CC"/>
    <w:rsid w:val="00DC55F1"/>
    <w:rsid w:val="00DC6327"/>
    <w:rsid w:val="00DD142F"/>
    <w:rsid w:val="00DF6BE0"/>
    <w:rsid w:val="00E03AF6"/>
    <w:rsid w:val="00E07DA5"/>
    <w:rsid w:val="00E12A5A"/>
    <w:rsid w:val="00E143F2"/>
    <w:rsid w:val="00E1605E"/>
    <w:rsid w:val="00E23972"/>
    <w:rsid w:val="00E5410D"/>
    <w:rsid w:val="00E56EEB"/>
    <w:rsid w:val="00E57A60"/>
    <w:rsid w:val="00E63CFD"/>
    <w:rsid w:val="00E673CE"/>
    <w:rsid w:val="00E7556E"/>
    <w:rsid w:val="00E8193A"/>
    <w:rsid w:val="00E8655D"/>
    <w:rsid w:val="00EA508C"/>
    <w:rsid w:val="00EC6482"/>
    <w:rsid w:val="00ED63AB"/>
    <w:rsid w:val="00EF79C7"/>
    <w:rsid w:val="00F0101D"/>
    <w:rsid w:val="00F01AF8"/>
    <w:rsid w:val="00F020AD"/>
    <w:rsid w:val="00F12AF7"/>
    <w:rsid w:val="00F16179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6124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component/publications/publication/rynek-pracy-edukacja-kompetencje-aktualne-trendy-i-wyniki-badan-sierpien-20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edefop.europa.eu/files/8149_en.pdf" TargetMode="External"/><Relationship Id="rId2" Type="http://schemas.openxmlformats.org/officeDocument/2006/relationships/hyperlink" Target="https://pie.net.pl/wp-content/uploads/2025/08/Tygodnik-PIE_32-2025.pdf" TargetMode="External"/><Relationship Id="rId1" Type="http://schemas.openxmlformats.org/officeDocument/2006/relationships/hyperlink" Target="https://grantthornton.pl/wp-content/uploads/2025/07/Raport-o-jawnosci-wynagrodzen-w-ofertach-pracy-Grant-Thornton.pdf" TargetMode="External"/><Relationship Id="rId4" Type="http://schemas.openxmlformats.org/officeDocument/2006/relationships/hyperlink" Target="https://personnelservice.pl/bezrobocie-rosnie-liczba-ofert-pracy-spada-ale-polacy-sa-spokojn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2025-09-17T08:13:00Z</dcterms:created>
  <dcterms:modified xsi:type="dcterms:W3CDTF">2025-09-17T08:13:00Z</dcterms:modified>
</cp:coreProperties>
</file>