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3BF09" w14:textId="77777777" w:rsidR="00BE7816" w:rsidRDefault="00000000" w:rsidP="00BE7816">
      <w:pPr>
        <w:jc w:val="center"/>
        <w:rPr>
          <w:rFonts w:ascii="Inter" w:eastAsia="Inter" w:hAnsi="Inter" w:cs="Inter"/>
          <w:b/>
          <w:color w:val="000000"/>
          <w:sz w:val="28"/>
          <w:szCs w:val="28"/>
        </w:rPr>
      </w:pPr>
      <w:proofErr w:type="spellStart"/>
      <w:r>
        <w:rPr>
          <w:rFonts w:ascii="Inter" w:eastAsia="Inter" w:hAnsi="Inter" w:cs="Inter"/>
          <w:b/>
          <w:color w:val="000000"/>
          <w:sz w:val="28"/>
          <w:szCs w:val="28"/>
        </w:rPr>
        <w:t>Adyen</w:t>
      </w:r>
      <w:proofErr w:type="spellEnd"/>
      <w:r>
        <w:rPr>
          <w:rFonts w:ascii="Inter" w:eastAsia="Inter" w:hAnsi="Inter" w:cs="Inter"/>
          <w:b/>
          <w:color w:val="000000"/>
          <w:sz w:val="28"/>
          <w:szCs w:val="28"/>
        </w:rPr>
        <w:t xml:space="preserve">, partner di LVMH, ridefinisce i pagamenti </w:t>
      </w:r>
    </w:p>
    <w:p w14:paraId="679753D3" w14:textId="3BACDFD5" w:rsidR="002B68C7" w:rsidRDefault="00000000" w:rsidP="00BE7816">
      <w:pPr>
        <w:jc w:val="center"/>
        <w:rPr>
          <w:rFonts w:ascii="Inter" w:eastAsia="Inter" w:hAnsi="Inter" w:cs="Inter"/>
          <w:b/>
          <w:color w:val="000000"/>
          <w:sz w:val="28"/>
          <w:szCs w:val="28"/>
        </w:rPr>
      </w:pPr>
      <w:r>
        <w:rPr>
          <w:rFonts w:ascii="Inter" w:eastAsia="Inter" w:hAnsi="Inter" w:cs="Inter"/>
          <w:b/>
          <w:color w:val="000000"/>
          <w:sz w:val="28"/>
          <w:szCs w:val="28"/>
        </w:rPr>
        <w:t>nel settore globale del lusso</w:t>
      </w:r>
    </w:p>
    <w:p w14:paraId="3377AC9B" w14:textId="77777777" w:rsidR="002B68C7" w:rsidRDefault="002B68C7">
      <w:pPr>
        <w:pBdr>
          <w:top w:val="nil"/>
          <w:left w:val="nil"/>
          <w:bottom w:val="nil"/>
          <w:right w:val="nil"/>
          <w:between w:val="nil"/>
        </w:pBdr>
        <w:rPr>
          <w:rFonts w:ascii="Inter" w:eastAsia="Inter" w:hAnsi="Inter" w:cs="Inter"/>
          <w:b/>
          <w:color w:val="0070C0"/>
          <w:sz w:val="28"/>
          <w:szCs w:val="28"/>
        </w:rPr>
      </w:pPr>
    </w:p>
    <w:p w14:paraId="11257FD1" w14:textId="77777777" w:rsidR="002B68C7" w:rsidRDefault="002B68C7">
      <w:pPr>
        <w:pBdr>
          <w:top w:val="nil"/>
          <w:left w:val="nil"/>
          <w:bottom w:val="nil"/>
          <w:right w:val="nil"/>
          <w:between w:val="nil"/>
        </w:pBdr>
        <w:jc w:val="both"/>
        <w:rPr>
          <w:rFonts w:ascii="Inter" w:eastAsia="Inter" w:hAnsi="Inter" w:cs="Inter"/>
          <w:b/>
          <w:color w:val="0070C0"/>
          <w:sz w:val="28"/>
          <w:szCs w:val="28"/>
        </w:rPr>
      </w:pPr>
    </w:p>
    <w:p w14:paraId="66A52FAB" w14:textId="77777777" w:rsidR="002B68C7" w:rsidRDefault="00000000">
      <w:pPr>
        <w:pBdr>
          <w:top w:val="nil"/>
          <w:left w:val="nil"/>
          <w:bottom w:val="nil"/>
          <w:right w:val="nil"/>
          <w:between w:val="nil"/>
        </w:pBdr>
        <w:jc w:val="both"/>
        <w:rPr>
          <w:rFonts w:ascii="Inter" w:eastAsia="Inter" w:hAnsi="Inter" w:cs="Inter"/>
          <w:color w:val="000000"/>
          <w:sz w:val="22"/>
          <w:szCs w:val="22"/>
          <w:highlight w:val="white"/>
        </w:rPr>
      </w:pPr>
      <w:r>
        <w:rPr>
          <w:rFonts w:ascii="Inter" w:eastAsia="Inter" w:hAnsi="Inter" w:cs="Inter"/>
          <w:b/>
          <w:color w:val="000000"/>
          <w:sz w:val="22"/>
          <w:szCs w:val="22"/>
          <w:highlight w:val="white"/>
        </w:rPr>
        <w:t>Milano, 17 settembre 2025</w:t>
      </w:r>
      <w:r>
        <w:rPr>
          <w:rFonts w:ascii="Inter" w:eastAsia="Inter" w:hAnsi="Inter" w:cs="Inter"/>
          <w:color w:val="000000"/>
          <w:sz w:val="22"/>
          <w:szCs w:val="22"/>
          <w:highlight w:val="white"/>
        </w:rPr>
        <w:t xml:space="preserve"> – </w:t>
      </w:r>
      <w:hyperlink r:id="rId8">
        <w:proofErr w:type="spellStart"/>
        <w:r w:rsidR="002B68C7">
          <w:rPr>
            <w:rFonts w:ascii="Inter" w:eastAsia="Inter" w:hAnsi="Inter" w:cs="Inter"/>
            <w:color w:val="467886"/>
            <w:sz w:val="22"/>
            <w:szCs w:val="22"/>
            <w:highlight w:val="white"/>
            <w:u w:val="single"/>
          </w:rPr>
          <w:t>Adyen</w:t>
        </w:r>
        <w:proofErr w:type="spellEnd"/>
      </w:hyperlink>
      <w:r>
        <w:rPr>
          <w:rFonts w:ascii="Inter" w:eastAsia="Inter" w:hAnsi="Inter" w:cs="Inter"/>
          <w:color w:val="000000"/>
          <w:sz w:val="22"/>
          <w:szCs w:val="22"/>
          <w:highlight w:val="white"/>
        </w:rPr>
        <w:t>, piattaforma tecnologico finanziaria scelta da molte aziende leader a livello globale, sostiene LVMH, leader mondiale nel settore dei beni di lusso, in un’importante iniziativa internazionale: l’unificazione dei sistemi di pagamento in tutte le sue Maison.</w:t>
      </w:r>
    </w:p>
    <w:p w14:paraId="6A229C8B" w14:textId="77777777" w:rsidR="002B68C7" w:rsidRDefault="002B68C7">
      <w:pPr>
        <w:pBdr>
          <w:top w:val="nil"/>
          <w:left w:val="nil"/>
          <w:bottom w:val="nil"/>
          <w:right w:val="nil"/>
          <w:between w:val="nil"/>
        </w:pBdr>
        <w:jc w:val="both"/>
        <w:rPr>
          <w:rFonts w:ascii="Inter" w:eastAsia="Inter" w:hAnsi="Inter" w:cs="Inter"/>
          <w:color w:val="0070C0"/>
          <w:sz w:val="22"/>
          <w:szCs w:val="22"/>
        </w:rPr>
      </w:pPr>
    </w:p>
    <w:p w14:paraId="4CDC7024" w14:textId="77777777" w:rsidR="002B68C7" w:rsidRDefault="00000000">
      <w:pPr>
        <w:jc w:val="both"/>
        <w:rPr>
          <w:rFonts w:ascii="Inter" w:eastAsia="Inter" w:hAnsi="Inter" w:cs="Inter"/>
          <w:color w:val="000000"/>
          <w:sz w:val="22"/>
          <w:szCs w:val="22"/>
        </w:rPr>
      </w:pPr>
      <w:r>
        <w:rPr>
          <w:rFonts w:ascii="Inter" w:eastAsia="Inter" w:hAnsi="Inter" w:cs="Inter"/>
          <w:color w:val="000000"/>
          <w:sz w:val="22"/>
          <w:szCs w:val="22"/>
        </w:rPr>
        <w:t xml:space="preserve">Le soluzioni </w:t>
      </w:r>
      <w:proofErr w:type="spellStart"/>
      <w:r>
        <w:rPr>
          <w:rFonts w:ascii="Inter" w:eastAsia="Inter" w:hAnsi="Inter" w:cs="Inter"/>
          <w:color w:val="000000"/>
          <w:sz w:val="22"/>
          <w:szCs w:val="22"/>
        </w:rPr>
        <w:t>Adyen</w:t>
      </w:r>
      <w:proofErr w:type="spellEnd"/>
      <w:r>
        <w:rPr>
          <w:rFonts w:ascii="Inter" w:eastAsia="Inter" w:hAnsi="Inter" w:cs="Inter"/>
          <w:color w:val="000000"/>
          <w:sz w:val="22"/>
          <w:szCs w:val="22"/>
        </w:rPr>
        <w:t xml:space="preserve"> sono attive in quasi 50 Maison</w:t>
      </w:r>
      <w:r>
        <w:rPr>
          <w:rFonts w:ascii="Inter" w:eastAsia="Inter" w:hAnsi="Inter" w:cs="Inter"/>
          <w:color w:val="000000"/>
          <w:sz w:val="22"/>
          <w:szCs w:val="22"/>
          <w:vertAlign w:val="superscript"/>
        </w:rPr>
        <w:footnoteReference w:id="1"/>
      </w:r>
      <w:r>
        <w:rPr>
          <w:rFonts w:ascii="Inter" w:eastAsia="Inter" w:hAnsi="Inter" w:cs="Inter"/>
          <w:color w:val="000000"/>
          <w:sz w:val="22"/>
          <w:szCs w:val="22"/>
        </w:rPr>
        <w:t xml:space="preserve"> del gruppo in tutto il mondo, coprendo settori come moda e pelletteria, </w:t>
      </w:r>
      <w:proofErr w:type="spellStart"/>
      <w:r>
        <w:rPr>
          <w:rFonts w:ascii="Inter" w:eastAsia="Inter" w:hAnsi="Inter" w:cs="Inter"/>
          <w:color w:val="000000"/>
          <w:sz w:val="22"/>
          <w:szCs w:val="22"/>
        </w:rPr>
        <w:t>hospitality</w:t>
      </w:r>
      <w:proofErr w:type="spellEnd"/>
      <w:r>
        <w:rPr>
          <w:rFonts w:ascii="Inter" w:eastAsia="Inter" w:hAnsi="Inter" w:cs="Inter"/>
          <w:color w:val="000000"/>
          <w:sz w:val="22"/>
          <w:szCs w:val="22"/>
        </w:rPr>
        <w:t xml:space="preserve"> d’eccellenza, orologeria e gioielleria, beauty e grandi magazzini.</w:t>
      </w:r>
    </w:p>
    <w:p w14:paraId="3FC6E148" w14:textId="77777777" w:rsidR="002B68C7" w:rsidRDefault="002B68C7">
      <w:pPr>
        <w:pBdr>
          <w:top w:val="nil"/>
          <w:left w:val="nil"/>
          <w:bottom w:val="nil"/>
          <w:right w:val="nil"/>
          <w:between w:val="nil"/>
        </w:pBdr>
        <w:jc w:val="both"/>
        <w:rPr>
          <w:rFonts w:ascii="Inter" w:eastAsia="Inter" w:hAnsi="Inter" w:cs="Inter"/>
          <w:color w:val="0070C0"/>
          <w:sz w:val="22"/>
          <w:szCs w:val="22"/>
        </w:rPr>
      </w:pPr>
    </w:p>
    <w:p w14:paraId="4BBD5694" w14:textId="77777777" w:rsidR="002B68C7" w:rsidRDefault="00000000">
      <w:pPr>
        <w:jc w:val="both"/>
        <w:rPr>
          <w:rFonts w:ascii="Inter" w:eastAsia="Inter" w:hAnsi="Inter" w:cs="Inter"/>
          <w:color w:val="000000"/>
          <w:sz w:val="22"/>
          <w:szCs w:val="22"/>
        </w:rPr>
      </w:pPr>
      <w:r>
        <w:rPr>
          <w:rFonts w:ascii="Inter" w:eastAsia="Inter" w:hAnsi="Inter" w:cs="Inter"/>
          <w:color w:val="000000"/>
          <w:sz w:val="22"/>
          <w:szCs w:val="22"/>
        </w:rPr>
        <w:t>Nell’ambito di una strategia volta a rafforzare le sinergie, LVMH promuove l’adozione delle best practice tra le sue Maison. L’obiettivo è valorizzare le iniziative più efficaci del gruppo e ampliarne la portata, preservando al contempo l’identità unica e gli standard di eccellenza di ciascuna Maison.</w:t>
      </w:r>
    </w:p>
    <w:p w14:paraId="39AF5A49" w14:textId="77777777" w:rsidR="002B68C7" w:rsidRDefault="00000000">
      <w:pPr>
        <w:jc w:val="both"/>
        <w:rPr>
          <w:rFonts w:ascii="Inter" w:eastAsia="Inter" w:hAnsi="Inter" w:cs="Inter"/>
          <w:color w:val="000000"/>
          <w:sz w:val="22"/>
          <w:szCs w:val="22"/>
        </w:rPr>
      </w:pPr>
      <w:r>
        <w:rPr>
          <w:rFonts w:ascii="Inter" w:eastAsia="Inter" w:hAnsi="Inter" w:cs="Inter"/>
          <w:color w:val="000000"/>
          <w:sz w:val="22"/>
          <w:szCs w:val="22"/>
        </w:rPr>
        <w:t xml:space="preserve">È con questo spirito che LVMH ha scelto </w:t>
      </w:r>
      <w:proofErr w:type="spellStart"/>
      <w:r>
        <w:rPr>
          <w:rFonts w:ascii="Inter" w:eastAsia="Inter" w:hAnsi="Inter" w:cs="Inter"/>
          <w:color w:val="000000"/>
          <w:sz w:val="22"/>
          <w:szCs w:val="22"/>
        </w:rPr>
        <w:t>Adyen</w:t>
      </w:r>
      <w:proofErr w:type="spellEnd"/>
      <w:r>
        <w:rPr>
          <w:rFonts w:ascii="Inter" w:eastAsia="Inter" w:hAnsi="Inter" w:cs="Inter"/>
          <w:color w:val="000000"/>
          <w:sz w:val="22"/>
          <w:szCs w:val="22"/>
        </w:rPr>
        <w:t xml:space="preserve"> come partner globale per i pagamenti nel 2020, con l’obiettivo di unificare le infrastrutture di pagamento in-store e online e offrire un’esperienza cliente fluida e di alto livello.</w:t>
      </w:r>
    </w:p>
    <w:p w14:paraId="1727794A" w14:textId="77777777" w:rsidR="002B68C7" w:rsidRDefault="002B68C7">
      <w:pPr>
        <w:pBdr>
          <w:top w:val="nil"/>
          <w:left w:val="nil"/>
          <w:bottom w:val="nil"/>
          <w:right w:val="nil"/>
          <w:between w:val="nil"/>
        </w:pBdr>
        <w:jc w:val="both"/>
        <w:rPr>
          <w:rFonts w:ascii="Inter" w:eastAsia="Inter" w:hAnsi="Inter" w:cs="Inter"/>
          <w:color w:val="0070C0"/>
          <w:sz w:val="22"/>
          <w:szCs w:val="22"/>
        </w:rPr>
      </w:pPr>
    </w:p>
    <w:p w14:paraId="16022798" w14:textId="67BCB92C" w:rsidR="002B68C7" w:rsidRDefault="00000000">
      <w:pPr>
        <w:pBdr>
          <w:top w:val="nil"/>
          <w:left w:val="nil"/>
          <w:bottom w:val="nil"/>
          <w:right w:val="nil"/>
          <w:between w:val="nil"/>
        </w:pBdr>
        <w:jc w:val="both"/>
        <w:rPr>
          <w:rFonts w:ascii="Inter" w:eastAsia="Inter" w:hAnsi="Inter" w:cs="Inter"/>
          <w:b/>
          <w:color w:val="000000"/>
          <w:sz w:val="22"/>
          <w:szCs w:val="22"/>
        </w:rPr>
      </w:pPr>
      <w:r>
        <w:rPr>
          <w:rFonts w:ascii="Inter" w:eastAsia="Inter" w:hAnsi="Inter" w:cs="Inter"/>
          <w:b/>
          <w:color w:val="000000"/>
          <w:sz w:val="22"/>
          <w:szCs w:val="22"/>
        </w:rPr>
        <w:t xml:space="preserve">L’implementazione delle soluzioni </w:t>
      </w:r>
      <w:proofErr w:type="spellStart"/>
      <w:r>
        <w:rPr>
          <w:rFonts w:ascii="Inter" w:eastAsia="Inter" w:hAnsi="Inter" w:cs="Inter"/>
          <w:b/>
          <w:color w:val="000000"/>
          <w:sz w:val="22"/>
          <w:szCs w:val="22"/>
        </w:rPr>
        <w:t>Adyen</w:t>
      </w:r>
      <w:proofErr w:type="spellEnd"/>
      <w:r>
        <w:rPr>
          <w:rFonts w:ascii="Inter" w:eastAsia="Inter" w:hAnsi="Inter" w:cs="Inter"/>
          <w:b/>
          <w:color w:val="000000"/>
          <w:sz w:val="22"/>
          <w:szCs w:val="22"/>
        </w:rPr>
        <w:t xml:space="preserve"> ha portato benefici concreti fin dalle prime fasi di adozione, tra cui:</w:t>
      </w:r>
    </w:p>
    <w:p w14:paraId="6BB5B115" w14:textId="77777777" w:rsidR="002B68C7" w:rsidRDefault="002B68C7">
      <w:pPr>
        <w:pBdr>
          <w:top w:val="nil"/>
          <w:left w:val="nil"/>
          <w:bottom w:val="nil"/>
          <w:right w:val="nil"/>
          <w:between w:val="nil"/>
        </w:pBdr>
        <w:jc w:val="both"/>
        <w:rPr>
          <w:rFonts w:ascii="Inter" w:eastAsia="Inter" w:hAnsi="Inter" w:cs="Inter"/>
          <w:b/>
          <w:color w:val="000000"/>
          <w:sz w:val="22"/>
          <w:szCs w:val="22"/>
        </w:rPr>
      </w:pPr>
    </w:p>
    <w:p w14:paraId="34575BAE" w14:textId="77777777" w:rsidR="002B68C7" w:rsidRDefault="00000000">
      <w:pPr>
        <w:numPr>
          <w:ilvl w:val="0"/>
          <w:numId w:val="1"/>
        </w:numPr>
        <w:pBdr>
          <w:top w:val="nil"/>
          <w:left w:val="nil"/>
          <w:bottom w:val="nil"/>
          <w:right w:val="nil"/>
          <w:between w:val="nil"/>
        </w:pBdr>
        <w:jc w:val="both"/>
        <w:rPr>
          <w:rFonts w:ascii="Inter" w:eastAsia="Inter" w:hAnsi="Inter" w:cs="Inter"/>
          <w:color w:val="000000"/>
          <w:sz w:val="22"/>
          <w:szCs w:val="22"/>
        </w:rPr>
      </w:pPr>
      <w:r>
        <w:rPr>
          <w:rFonts w:ascii="Inter" w:eastAsia="Inter" w:hAnsi="Inter" w:cs="Inter"/>
          <w:color w:val="000000"/>
          <w:sz w:val="22"/>
          <w:szCs w:val="22"/>
        </w:rPr>
        <w:t xml:space="preserve">Un’esperienza in-store premium e fluida, grazie all’impiego di terminali mobili e della tecnologia Tap to </w:t>
      </w:r>
      <w:proofErr w:type="spellStart"/>
      <w:r>
        <w:rPr>
          <w:rFonts w:ascii="Inter" w:eastAsia="Inter" w:hAnsi="Inter" w:cs="Inter"/>
          <w:color w:val="000000"/>
          <w:sz w:val="22"/>
          <w:szCs w:val="22"/>
        </w:rPr>
        <w:t>Pay</w:t>
      </w:r>
      <w:proofErr w:type="spellEnd"/>
      <w:r>
        <w:rPr>
          <w:rFonts w:ascii="Inter" w:eastAsia="Inter" w:hAnsi="Inter" w:cs="Inter"/>
          <w:color w:val="000000"/>
          <w:sz w:val="22"/>
          <w:szCs w:val="22"/>
        </w:rPr>
        <w:t>;</w:t>
      </w:r>
    </w:p>
    <w:p w14:paraId="1664EF04" w14:textId="77777777" w:rsidR="002B68C7" w:rsidRDefault="00000000">
      <w:pPr>
        <w:numPr>
          <w:ilvl w:val="0"/>
          <w:numId w:val="1"/>
        </w:numPr>
        <w:pBdr>
          <w:top w:val="nil"/>
          <w:left w:val="nil"/>
          <w:bottom w:val="nil"/>
          <w:right w:val="nil"/>
          <w:between w:val="nil"/>
        </w:pBdr>
        <w:jc w:val="both"/>
        <w:rPr>
          <w:rFonts w:ascii="Inter" w:eastAsia="Inter" w:hAnsi="Inter" w:cs="Inter"/>
          <w:color w:val="000000"/>
          <w:sz w:val="22"/>
          <w:szCs w:val="22"/>
        </w:rPr>
      </w:pPr>
      <w:r>
        <w:rPr>
          <w:rFonts w:ascii="Inter" w:eastAsia="Inter" w:hAnsi="Inter" w:cs="Inter"/>
          <w:color w:val="000000"/>
          <w:sz w:val="22"/>
          <w:szCs w:val="22"/>
        </w:rPr>
        <w:t>Una notevole riduzione</w:t>
      </w:r>
      <w:r>
        <w:rPr>
          <w:rFonts w:ascii="Inter" w:eastAsia="Inter" w:hAnsi="Inter" w:cs="Inter"/>
          <w:color w:val="000000"/>
          <w:sz w:val="22"/>
          <w:szCs w:val="22"/>
          <w:highlight w:val="white"/>
        </w:rPr>
        <w:t xml:space="preserve"> dell'inserimento manuale dei dati, con </w:t>
      </w:r>
      <w:r>
        <w:rPr>
          <w:rFonts w:ascii="Inter" w:eastAsia="Inter" w:hAnsi="Inter" w:cs="Inter"/>
          <w:color w:val="000000"/>
          <w:sz w:val="22"/>
          <w:szCs w:val="22"/>
        </w:rPr>
        <w:t>conseguente risparmio di tempo e diminuzione degli errori;</w:t>
      </w:r>
    </w:p>
    <w:p w14:paraId="393226E6" w14:textId="77777777" w:rsidR="002B68C7" w:rsidRDefault="00000000">
      <w:pPr>
        <w:numPr>
          <w:ilvl w:val="0"/>
          <w:numId w:val="1"/>
        </w:numPr>
        <w:pBdr>
          <w:top w:val="nil"/>
          <w:left w:val="nil"/>
          <w:bottom w:val="nil"/>
          <w:right w:val="nil"/>
          <w:between w:val="nil"/>
        </w:pBdr>
        <w:jc w:val="both"/>
        <w:rPr>
          <w:rFonts w:ascii="Inter" w:eastAsia="Inter" w:hAnsi="Inter" w:cs="Inter"/>
          <w:color w:val="000000"/>
          <w:sz w:val="22"/>
          <w:szCs w:val="22"/>
        </w:rPr>
      </w:pPr>
      <w:r>
        <w:rPr>
          <w:rFonts w:ascii="Inter" w:eastAsia="Inter" w:hAnsi="Inter" w:cs="Inter"/>
          <w:color w:val="000000"/>
          <w:sz w:val="22"/>
          <w:szCs w:val="22"/>
        </w:rPr>
        <w:t>L’automazione dei processi di riconciliazione e delle procedure di chiusura giornaliera;</w:t>
      </w:r>
    </w:p>
    <w:p w14:paraId="540B131B" w14:textId="77777777" w:rsidR="002B68C7" w:rsidRDefault="00000000">
      <w:pPr>
        <w:numPr>
          <w:ilvl w:val="0"/>
          <w:numId w:val="1"/>
        </w:numPr>
        <w:pBdr>
          <w:top w:val="nil"/>
          <w:left w:val="nil"/>
          <w:bottom w:val="nil"/>
          <w:right w:val="nil"/>
          <w:between w:val="nil"/>
        </w:pBdr>
        <w:jc w:val="both"/>
        <w:rPr>
          <w:rFonts w:ascii="Inter" w:eastAsia="Inter" w:hAnsi="Inter" w:cs="Inter"/>
          <w:color w:val="000000"/>
          <w:sz w:val="22"/>
          <w:szCs w:val="22"/>
        </w:rPr>
      </w:pPr>
      <w:r>
        <w:rPr>
          <w:rFonts w:ascii="Inter" w:eastAsia="Inter" w:hAnsi="Inter" w:cs="Inter"/>
          <w:color w:val="000000"/>
          <w:sz w:val="22"/>
          <w:szCs w:val="22"/>
        </w:rPr>
        <w:t>Un approccio unificato alla gestione dei pagamenti, con un unico partner in grado di coprire tutti i canali, le aree geografiche e i metodi, attraverso un’integrazione armonizzata.</w:t>
      </w:r>
    </w:p>
    <w:p w14:paraId="47E8CC93" w14:textId="77777777" w:rsidR="002B68C7" w:rsidRDefault="002B68C7">
      <w:pPr>
        <w:pBdr>
          <w:top w:val="nil"/>
          <w:left w:val="nil"/>
          <w:bottom w:val="nil"/>
          <w:right w:val="nil"/>
          <w:between w:val="nil"/>
        </w:pBdr>
        <w:jc w:val="both"/>
        <w:rPr>
          <w:rFonts w:ascii="Inter" w:eastAsia="Inter" w:hAnsi="Inter" w:cs="Inter"/>
          <w:color w:val="0070C0"/>
          <w:sz w:val="22"/>
          <w:szCs w:val="22"/>
        </w:rPr>
      </w:pPr>
    </w:p>
    <w:p w14:paraId="48FCEE1B" w14:textId="77777777" w:rsidR="002B68C7" w:rsidRDefault="00000000">
      <w:pPr>
        <w:pBdr>
          <w:top w:val="nil"/>
          <w:left w:val="nil"/>
          <w:bottom w:val="nil"/>
          <w:right w:val="nil"/>
          <w:between w:val="nil"/>
        </w:pBdr>
        <w:jc w:val="both"/>
        <w:rPr>
          <w:rFonts w:ascii="Inter" w:eastAsia="Inter" w:hAnsi="Inter" w:cs="Inter"/>
          <w:color w:val="000000"/>
          <w:sz w:val="22"/>
          <w:szCs w:val="22"/>
        </w:rPr>
      </w:pPr>
      <w:r>
        <w:rPr>
          <w:rFonts w:ascii="Inter" w:eastAsia="Inter" w:hAnsi="Inter" w:cs="Inter"/>
          <w:color w:val="000000"/>
          <w:sz w:val="22"/>
          <w:szCs w:val="22"/>
        </w:rPr>
        <w:t>Con oltre 1.000 negozi già attivi in tutto il mondo, tra Europa, APAC, Americhe e altre regioni, il successo del progetto si fonda anche su un supporto personalizzato, adattato alle esigenze di ciascuna boutique.</w:t>
      </w:r>
    </w:p>
    <w:p w14:paraId="2A475F52" w14:textId="77777777" w:rsidR="002B68C7" w:rsidRDefault="002B68C7">
      <w:pPr>
        <w:pBdr>
          <w:top w:val="nil"/>
          <w:left w:val="nil"/>
          <w:bottom w:val="nil"/>
          <w:right w:val="nil"/>
          <w:between w:val="nil"/>
        </w:pBdr>
        <w:jc w:val="both"/>
        <w:rPr>
          <w:rFonts w:ascii="Inter" w:eastAsia="Inter" w:hAnsi="Inter" w:cs="Inter"/>
          <w:color w:val="0070C0"/>
          <w:sz w:val="22"/>
          <w:szCs w:val="22"/>
        </w:rPr>
      </w:pPr>
    </w:p>
    <w:p w14:paraId="0F209AA5" w14:textId="77777777" w:rsidR="002B68C7" w:rsidRDefault="00000000">
      <w:pPr>
        <w:pBdr>
          <w:top w:val="nil"/>
          <w:left w:val="nil"/>
          <w:bottom w:val="nil"/>
          <w:right w:val="nil"/>
          <w:between w:val="nil"/>
        </w:pBdr>
        <w:jc w:val="both"/>
        <w:rPr>
          <w:rFonts w:ascii="Inter" w:eastAsia="Inter" w:hAnsi="Inter" w:cs="Inter"/>
          <w:color w:val="000000"/>
          <w:sz w:val="22"/>
          <w:szCs w:val="22"/>
        </w:rPr>
      </w:pPr>
      <w:r>
        <w:rPr>
          <w:rFonts w:ascii="Inter" w:eastAsia="Inter" w:hAnsi="Inter" w:cs="Inter"/>
          <w:color w:val="000000"/>
          <w:sz w:val="22"/>
          <w:szCs w:val="22"/>
        </w:rPr>
        <w:t>“</w:t>
      </w:r>
      <w:r>
        <w:rPr>
          <w:rFonts w:ascii="Inter" w:eastAsia="Inter" w:hAnsi="Inter" w:cs="Inter"/>
          <w:i/>
          <w:color w:val="000000"/>
          <w:sz w:val="22"/>
          <w:szCs w:val="22"/>
        </w:rPr>
        <w:t>Questo progetto si inserisce nella nostra più ampia ambizione di offrire un’esperienza cliente impeccabile, in linea con la qualità dei nostri prodotti e l’artigianalità delle nostre Maison</w:t>
      </w:r>
      <w:r>
        <w:rPr>
          <w:rFonts w:ascii="Inter" w:eastAsia="Inter" w:hAnsi="Inter" w:cs="Inter"/>
          <w:color w:val="000000"/>
          <w:sz w:val="22"/>
          <w:szCs w:val="22"/>
        </w:rPr>
        <w:t xml:space="preserve">”, afferma </w:t>
      </w:r>
      <w:r>
        <w:rPr>
          <w:rFonts w:ascii="Inter" w:eastAsia="Inter" w:hAnsi="Inter" w:cs="Inter"/>
          <w:b/>
          <w:color w:val="000000"/>
          <w:sz w:val="22"/>
          <w:szCs w:val="22"/>
        </w:rPr>
        <w:t xml:space="preserve">Arnaud </w:t>
      </w:r>
      <w:proofErr w:type="spellStart"/>
      <w:r>
        <w:rPr>
          <w:rFonts w:ascii="Inter" w:eastAsia="Inter" w:hAnsi="Inter" w:cs="Inter"/>
          <w:b/>
          <w:color w:val="000000"/>
          <w:sz w:val="22"/>
          <w:szCs w:val="22"/>
        </w:rPr>
        <w:t>Bodzon</w:t>
      </w:r>
      <w:proofErr w:type="spellEnd"/>
      <w:r>
        <w:rPr>
          <w:rFonts w:ascii="Inter" w:eastAsia="Inter" w:hAnsi="Inter" w:cs="Inter"/>
          <w:b/>
          <w:color w:val="000000"/>
          <w:sz w:val="22"/>
          <w:szCs w:val="22"/>
        </w:rPr>
        <w:t>, Group Payment Director di LVMH</w:t>
      </w:r>
      <w:r>
        <w:rPr>
          <w:rFonts w:ascii="Inter" w:eastAsia="Inter" w:hAnsi="Inter" w:cs="Inter"/>
          <w:color w:val="000000"/>
          <w:sz w:val="22"/>
          <w:szCs w:val="22"/>
        </w:rPr>
        <w:t>. “</w:t>
      </w:r>
      <w:r>
        <w:rPr>
          <w:rFonts w:ascii="Inter" w:eastAsia="Inter" w:hAnsi="Inter" w:cs="Inter"/>
          <w:i/>
          <w:color w:val="000000"/>
          <w:sz w:val="22"/>
          <w:szCs w:val="22"/>
        </w:rPr>
        <w:t>Questo vale non solo per i clienti finali, ma anche per i nostri sales advisor che utilizzano le soluzioni. Ora possono concentrarsi pienamente sul loro ruolo principale – consigliare e assistere i nostri clienti – senza doversi preoccupare della gestione dei pagamenti</w:t>
      </w:r>
      <w:r>
        <w:rPr>
          <w:rFonts w:ascii="Inter" w:eastAsia="Inter" w:hAnsi="Inter" w:cs="Inter"/>
          <w:color w:val="000000"/>
          <w:sz w:val="22"/>
          <w:szCs w:val="22"/>
        </w:rPr>
        <w:t>”.</w:t>
      </w:r>
    </w:p>
    <w:p w14:paraId="70D954D9" w14:textId="77777777" w:rsidR="002B68C7" w:rsidRDefault="002B68C7">
      <w:pPr>
        <w:pBdr>
          <w:top w:val="nil"/>
          <w:left w:val="nil"/>
          <w:bottom w:val="nil"/>
          <w:right w:val="nil"/>
          <w:between w:val="nil"/>
        </w:pBdr>
        <w:jc w:val="both"/>
        <w:rPr>
          <w:rFonts w:ascii="Inter" w:eastAsia="Inter" w:hAnsi="Inter" w:cs="Inter"/>
          <w:i/>
          <w:color w:val="0070C0"/>
          <w:sz w:val="22"/>
          <w:szCs w:val="22"/>
        </w:rPr>
      </w:pPr>
    </w:p>
    <w:p w14:paraId="5C990FC7" w14:textId="709BE2B3" w:rsidR="002B68C7" w:rsidRDefault="00000000">
      <w:pPr>
        <w:pBdr>
          <w:top w:val="nil"/>
          <w:left w:val="nil"/>
          <w:bottom w:val="nil"/>
          <w:right w:val="nil"/>
          <w:between w:val="nil"/>
        </w:pBdr>
        <w:jc w:val="both"/>
        <w:rPr>
          <w:rFonts w:ascii="Inter" w:eastAsia="Inter" w:hAnsi="Inter" w:cs="Inter"/>
          <w:i/>
          <w:color w:val="0070C0"/>
          <w:sz w:val="22"/>
          <w:szCs w:val="22"/>
        </w:rPr>
      </w:pPr>
      <w:r>
        <w:rPr>
          <w:rFonts w:ascii="Inter" w:eastAsia="Inter" w:hAnsi="Inter" w:cs="Inter"/>
          <w:i/>
          <w:color w:val="000000"/>
          <w:sz w:val="22"/>
          <w:szCs w:val="22"/>
        </w:rPr>
        <w:lastRenderedPageBreak/>
        <w:t xml:space="preserve">“La nostra partnership con LVMH riflette una visione condivisa: creare esperienze significative e agevoli per i clienti nel mondo del retail di alta gamma”, </w:t>
      </w:r>
      <w:r>
        <w:rPr>
          <w:rFonts w:ascii="Inter" w:eastAsia="Inter" w:hAnsi="Inter" w:cs="Inter"/>
          <w:color w:val="000000"/>
          <w:sz w:val="22"/>
          <w:szCs w:val="22"/>
        </w:rPr>
        <w:t xml:space="preserve">commenta </w:t>
      </w:r>
      <w:r>
        <w:rPr>
          <w:rFonts w:ascii="Inter" w:eastAsia="Inter" w:hAnsi="Inter" w:cs="Inter"/>
          <w:b/>
          <w:color w:val="000000"/>
          <w:sz w:val="22"/>
          <w:szCs w:val="22"/>
        </w:rPr>
        <w:t xml:space="preserve">Ethan </w:t>
      </w:r>
      <w:proofErr w:type="spellStart"/>
      <w:r>
        <w:rPr>
          <w:rFonts w:ascii="Inter" w:eastAsia="Inter" w:hAnsi="Inter" w:cs="Inter"/>
          <w:b/>
          <w:color w:val="000000"/>
          <w:sz w:val="22"/>
          <w:szCs w:val="22"/>
        </w:rPr>
        <w:t>Tandowsky</w:t>
      </w:r>
      <w:proofErr w:type="spellEnd"/>
      <w:r>
        <w:rPr>
          <w:rFonts w:ascii="Inter" w:eastAsia="Inter" w:hAnsi="Inter" w:cs="Inter"/>
          <w:b/>
          <w:color w:val="000000"/>
          <w:sz w:val="22"/>
          <w:szCs w:val="22"/>
        </w:rPr>
        <w:t xml:space="preserve">, CFO di </w:t>
      </w:r>
      <w:proofErr w:type="spellStart"/>
      <w:r>
        <w:rPr>
          <w:rFonts w:ascii="Inter" w:eastAsia="Inter" w:hAnsi="Inter" w:cs="Inter"/>
          <w:b/>
          <w:color w:val="000000"/>
          <w:sz w:val="22"/>
          <w:szCs w:val="22"/>
        </w:rPr>
        <w:t>Adyen</w:t>
      </w:r>
      <w:proofErr w:type="spellEnd"/>
      <w:r>
        <w:rPr>
          <w:rFonts w:ascii="Inter" w:eastAsia="Inter" w:hAnsi="Inter" w:cs="Inter"/>
          <w:b/>
          <w:i/>
          <w:color w:val="000000"/>
          <w:sz w:val="22"/>
          <w:szCs w:val="22"/>
        </w:rPr>
        <w:t>. “</w:t>
      </w:r>
      <w:r>
        <w:rPr>
          <w:rFonts w:ascii="Inter" w:eastAsia="Inter" w:hAnsi="Inter" w:cs="Inter"/>
          <w:i/>
          <w:color w:val="000000"/>
          <w:sz w:val="22"/>
          <w:szCs w:val="22"/>
        </w:rPr>
        <w:t xml:space="preserve">Oltre a facilitare i </w:t>
      </w:r>
      <w:r w:rsidR="00EE07EA">
        <w:rPr>
          <w:rFonts w:ascii="Inter" w:eastAsia="Inter" w:hAnsi="Inter" w:cs="Inter"/>
          <w:i/>
          <w:color w:val="000000"/>
          <w:sz w:val="22"/>
          <w:szCs w:val="22"/>
        </w:rPr>
        <w:t>pagamenti</w:t>
      </w:r>
      <w:r>
        <w:rPr>
          <w:rFonts w:ascii="Inter" w:eastAsia="Inter" w:hAnsi="Inter" w:cs="Inter"/>
          <w:i/>
          <w:color w:val="000000"/>
          <w:sz w:val="22"/>
          <w:szCs w:val="22"/>
        </w:rPr>
        <w:t>, stiamo lavorando insieme per valorizzare ogni punto di contatto all’interno delle Maison di LVMH, assicurandoci che l’esperienza dei clienti sia all’altezza dei prodotti di lusso che acquistano. Non vedo l’ora di scoprire cosa potremo realizzare insieme a LVMH in questo nuovo capitolo”.</w:t>
      </w:r>
    </w:p>
    <w:p w14:paraId="76FF2460" w14:textId="77777777" w:rsidR="002B68C7" w:rsidRDefault="002B68C7">
      <w:pPr>
        <w:pBdr>
          <w:top w:val="nil"/>
          <w:left w:val="nil"/>
          <w:bottom w:val="nil"/>
          <w:right w:val="nil"/>
          <w:between w:val="nil"/>
        </w:pBdr>
        <w:jc w:val="both"/>
        <w:rPr>
          <w:rFonts w:ascii="Inter" w:eastAsia="Inter" w:hAnsi="Inter" w:cs="Inter"/>
          <w:i/>
          <w:color w:val="0070C0"/>
          <w:sz w:val="22"/>
          <w:szCs w:val="22"/>
        </w:rPr>
      </w:pPr>
    </w:p>
    <w:p w14:paraId="352363F9" w14:textId="77777777" w:rsidR="002B68C7" w:rsidRDefault="00000000">
      <w:pPr>
        <w:pBdr>
          <w:top w:val="nil"/>
          <w:left w:val="nil"/>
          <w:bottom w:val="nil"/>
          <w:right w:val="nil"/>
          <w:between w:val="nil"/>
        </w:pBdr>
        <w:jc w:val="both"/>
        <w:rPr>
          <w:rFonts w:ascii="Inter" w:eastAsia="Inter" w:hAnsi="Inter" w:cs="Inter"/>
          <w:color w:val="000000"/>
          <w:sz w:val="22"/>
          <w:szCs w:val="22"/>
        </w:rPr>
      </w:pPr>
      <w:r>
        <w:rPr>
          <w:rFonts w:ascii="Inter" w:eastAsia="Inter" w:hAnsi="Inter" w:cs="Inter"/>
          <w:color w:val="000000"/>
          <w:sz w:val="22"/>
          <w:szCs w:val="22"/>
        </w:rPr>
        <w:t>“</w:t>
      </w:r>
      <w:r>
        <w:rPr>
          <w:rFonts w:ascii="Inter" w:eastAsia="Inter" w:hAnsi="Inter" w:cs="Inter"/>
          <w:i/>
          <w:color w:val="000000"/>
          <w:sz w:val="22"/>
          <w:szCs w:val="22"/>
        </w:rPr>
        <w:t xml:space="preserve">Un supporto operativo e diretto è un fattore chiave di successo nella gestione di progetti di integrazione in un gruppo come LVMH. L’expertise di </w:t>
      </w:r>
      <w:proofErr w:type="spellStart"/>
      <w:r>
        <w:rPr>
          <w:rFonts w:ascii="Inter" w:eastAsia="Inter" w:hAnsi="Inter" w:cs="Inter"/>
          <w:i/>
          <w:color w:val="000000"/>
          <w:sz w:val="22"/>
          <w:szCs w:val="22"/>
        </w:rPr>
        <w:t>Adyen</w:t>
      </w:r>
      <w:proofErr w:type="spellEnd"/>
      <w:r>
        <w:rPr>
          <w:rFonts w:ascii="Inter" w:eastAsia="Inter" w:hAnsi="Inter" w:cs="Inter"/>
          <w:i/>
          <w:color w:val="000000"/>
          <w:sz w:val="22"/>
          <w:szCs w:val="22"/>
        </w:rPr>
        <w:t xml:space="preserve"> gli ha permesso di rispondere e adattarsi alle nostre esigenze specifiche”</w:t>
      </w:r>
      <w:r>
        <w:rPr>
          <w:rFonts w:ascii="Inter" w:eastAsia="Inter" w:hAnsi="Inter" w:cs="Inter"/>
          <w:color w:val="000000"/>
          <w:sz w:val="22"/>
          <w:szCs w:val="22"/>
        </w:rPr>
        <w:t xml:space="preserve">, aggiunge </w:t>
      </w:r>
      <w:r>
        <w:rPr>
          <w:rFonts w:ascii="Inter" w:eastAsia="Inter" w:hAnsi="Inter" w:cs="Inter"/>
          <w:b/>
          <w:color w:val="000000"/>
          <w:sz w:val="22"/>
          <w:szCs w:val="22"/>
        </w:rPr>
        <w:t xml:space="preserve">Arnaud </w:t>
      </w:r>
      <w:proofErr w:type="spellStart"/>
      <w:r>
        <w:rPr>
          <w:rFonts w:ascii="Inter" w:eastAsia="Inter" w:hAnsi="Inter" w:cs="Inter"/>
          <w:b/>
          <w:color w:val="000000"/>
          <w:sz w:val="22"/>
          <w:szCs w:val="22"/>
        </w:rPr>
        <w:t>Bodzon</w:t>
      </w:r>
      <w:proofErr w:type="spellEnd"/>
      <w:r>
        <w:rPr>
          <w:rFonts w:ascii="Inter" w:eastAsia="Inter" w:hAnsi="Inter" w:cs="Inter"/>
          <w:color w:val="000000"/>
          <w:sz w:val="22"/>
          <w:szCs w:val="22"/>
        </w:rPr>
        <w:t>.</w:t>
      </w:r>
    </w:p>
    <w:p w14:paraId="29BF0CEB" w14:textId="77777777" w:rsidR="002B68C7" w:rsidRDefault="002B68C7">
      <w:pPr>
        <w:pBdr>
          <w:top w:val="nil"/>
          <w:left w:val="nil"/>
          <w:bottom w:val="nil"/>
          <w:right w:val="nil"/>
          <w:between w:val="nil"/>
        </w:pBdr>
        <w:jc w:val="both"/>
        <w:rPr>
          <w:rFonts w:ascii="Inter" w:eastAsia="Inter" w:hAnsi="Inter" w:cs="Inter"/>
          <w:b/>
          <w:color w:val="0070C0"/>
          <w:sz w:val="22"/>
          <w:szCs w:val="22"/>
        </w:rPr>
      </w:pPr>
    </w:p>
    <w:p w14:paraId="215F5576" w14:textId="77777777" w:rsidR="002B68C7" w:rsidRDefault="00000000">
      <w:pPr>
        <w:jc w:val="both"/>
        <w:rPr>
          <w:rFonts w:ascii="Inter" w:eastAsia="Inter" w:hAnsi="Inter" w:cs="Inter"/>
          <w:color w:val="000000"/>
          <w:sz w:val="22"/>
          <w:szCs w:val="22"/>
        </w:rPr>
      </w:pPr>
      <w:r>
        <w:rPr>
          <w:rFonts w:ascii="Inter" w:eastAsia="Inter" w:hAnsi="Inter" w:cs="Inter"/>
          <w:color w:val="000000"/>
          <w:sz w:val="22"/>
          <w:szCs w:val="22"/>
        </w:rPr>
        <w:t>L’unificazion</w:t>
      </w:r>
      <w:r>
        <w:rPr>
          <w:rFonts w:ascii="Inter" w:eastAsia="Inter" w:hAnsi="Inter" w:cs="Inter"/>
          <w:color w:val="000000"/>
          <w:sz w:val="22"/>
          <w:szCs w:val="22"/>
          <w:highlight w:val="white"/>
        </w:rPr>
        <w:t>e dei sistemi di pagamento contin</w:t>
      </w:r>
      <w:r>
        <w:rPr>
          <w:rFonts w:ascii="Inter" w:eastAsia="Inter" w:hAnsi="Inter" w:cs="Inter"/>
          <w:color w:val="000000"/>
          <w:sz w:val="22"/>
          <w:szCs w:val="22"/>
        </w:rPr>
        <w:t>ua ad espandersi in sempre più Maison, rafforzando un’ambizione condivisa: offrire un’esperienza di pagamento elegante, efficiente e realmente globale.</w:t>
      </w:r>
    </w:p>
    <w:p w14:paraId="615E4B49" w14:textId="77777777" w:rsidR="002B68C7" w:rsidRDefault="002B68C7">
      <w:pPr>
        <w:pBdr>
          <w:top w:val="nil"/>
          <w:left w:val="nil"/>
          <w:bottom w:val="nil"/>
          <w:right w:val="nil"/>
          <w:between w:val="nil"/>
        </w:pBdr>
        <w:jc w:val="both"/>
        <w:rPr>
          <w:rFonts w:ascii="Inter" w:eastAsia="Inter" w:hAnsi="Inter" w:cs="Inter"/>
          <w:color w:val="0070C0"/>
          <w:sz w:val="22"/>
          <w:szCs w:val="22"/>
        </w:rPr>
      </w:pPr>
    </w:p>
    <w:p w14:paraId="797B0AEE" w14:textId="77777777" w:rsidR="002B68C7" w:rsidRDefault="002B68C7">
      <w:pPr>
        <w:jc w:val="both"/>
        <w:rPr>
          <w:rFonts w:ascii="Inter" w:eastAsia="Inter" w:hAnsi="Inter" w:cs="Inter"/>
          <w:b/>
          <w:color w:val="0070C0"/>
          <w:sz w:val="22"/>
          <w:szCs w:val="22"/>
        </w:rPr>
      </w:pPr>
    </w:p>
    <w:p w14:paraId="005F3D62" w14:textId="77777777" w:rsidR="002B68C7" w:rsidRDefault="00000000">
      <w:pPr>
        <w:pBdr>
          <w:top w:val="nil"/>
          <w:left w:val="nil"/>
          <w:bottom w:val="nil"/>
          <w:right w:val="nil"/>
          <w:between w:val="nil"/>
        </w:pBdr>
        <w:rPr>
          <w:rFonts w:ascii="Inter" w:eastAsia="Inter" w:hAnsi="Inter" w:cs="Inter"/>
          <w:color w:val="000000"/>
          <w:sz w:val="18"/>
          <w:szCs w:val="18"/>
        </w:rPr>
      </w:pPr>
      <w:r>
        <w:rPr>
          <w:rFonts w:ascii="Inter" w:eastAsia="Inter" w:hAnsi="Inter" w:cs="Inter"/>
          <w:b/>
          <w:i/>
          <w:color w:val="00112C"/>
          <w:sz w:val="20"/>
          <w:szCs w:val="20"/>
        </w:rPr>
        <w:t xml:space="preserve">A proposito di </w:t>
      </w:r>
      <w:proofErr w:type="spellStart"/>
      <w:r>
        <w:rPr>
          <w:rFonts w:ascii="Inter" w:eastAsia="Inter" w:hAnsi="Inter" w:cs="Inter"/>
          <w:b/>
          <w:i/>
          <w:color w:val="00112C"/>
          <w:sz w:val="20"/>
          <w:szCs w:val="20"/>
        </w:rPr>
        <w:t>Adyen</w:t>
      </w:r>
      <w:proofErr w:type="spellEnd"/>
      <w:r>
        <w:rPr>
          <w:rFonts w:ascii="Inter" w:eastAsia="Inter" w:hAnsi="Inter" w:cs="Inter"/>
          <w:color w:val="00112C"/>
          <w:sz w:val="20"/>
          <w:szCs w:val="20"/>
        </w:rPr>
        <w:t>  </w:t>
      </w:r>
    </w:p>
    <w:p w14:paraId="60C281E3" w14:textId="77777777" w:rsidR="002B68C7" w:rsidRDefault="00000000">
      <w:pPr>
        <w:pBdr>
          <w:top w:val="nil"/>
          <w:left w:val="nil"/>
          <w:bottom w:val="nil"/>
          <w:right w:val="nil"/>
          <w:between w:val="nil"/>
        </w:pBdr>
        <w:shd w:val="clear" w:color="auto" w:fill="FFFFFF"/>
        <w:jc w:val="both"/>
        <w:rPr>
          <w:rFonts w:ascii="Inter" w:eastAsia="Inter" w:hAnsi="Inter" w:cs="Inter"/>
          <w:color w:val="000000"/>
          <w:sz w:val="18"/>
          <w:szCs w:val="18"/>
        </w:rPr>
      </w:pPr>
      <w:proofErr w:type="spellStart"/>
      <w:r>
        <w:rPr>
          <w:rFonts w:ascii="Inter" w:eastAsia="Inter" w:hAnsi="Inter" w:cs="Inter"/>
          <w:color w:val="00112C"/>
          <w:sz w:val="20"/>
          <w:szCs w:val="20"/>
        </w:rPr>
        <w:t>Adyen</w:t>
      </w:r>
      <w:proofErr w:type="spellEnd"/>
      <w:r>
        <w:rPr>
          <w:rFonts w:ascii="Inter" w:eastAsia="Inter" w:hAnsi="Inter" w:cs="Inter"/>
          <w:color w:val="00112C"/>
          <w:sz w:val="20"/>
          <w:szCs w:val="20"/>
        </w:rPr>
        <w:t xml:space="preserve"> (AMS: ADYEN) è la piattaforma tecnologico finanziaria scelta da molte delle aziende leader a livello mondiale che fornisce una moderna infrastruttura di pagamento end-to-end, approfondimenti data-</w:t>
      </w:r>
      <w:proofErr w:type="spellStart"/>
      <w:r>
        <w:rPr>
          <w:rFonts w:ascii="Inter" w:eastAsia="Inter" w:hAnsi="Inter" w:cs="Inter"/>
          <w:color w:val="00112C"/>
          <w:sz w:val="20"/>
          <w:szCs w:val="20"/>
        </w:rPr>
        <w:t>driven</w:t>
      </w:r>
      <w:proofErr w:type="spellEnd"/>
      <w:r>
        <w:rPr>
          <w:rFonts w:ascii="Inter" w:eastAsia="Inter" w:hAnsi="Inter" w:cs="Inter"/>
          <w:color w:val="00112C"/>
          <w:sz w:val="20"/>
          <w:szCs w:val="20"/>
        </w:rPr>
        <w:t xml:space="preserve"> e prodotti finanziari in un'unica soluzione integrata per aiutare le aziende a raggiungere le loro ambizioni, più velocemente. Con uffici in tutto il mondo, </w:t>
      </w:r>
      <w:proofErr w:type="spellStart"/>
      <w:r>
        <w:rPr>
          <w:rFonts w:ascii="Inter" w:eastAsia="Inter" w:hAnsi="Inter" w:cs="Inter"/>
          <w:color w:val="00112C"/>
          <w:sz w:val="20"/>
          <w:szCs w:val="20"/>
        </w:rPr>
        <w:t>Adyen</w:t>
      </w:r>
      <w:proofErr w:type="spellEnd"/>
      <w:r>
        <w:rPr>
          <w:rFonts w:ascii="Inter" w:eastAsia="Inter" w:hAnsi="Inter" w:cs="Inter"/>
          <w:color w:val="00112C"/>
          <w:sz w:val="20"/>
          <w:szCs w:val="20"/>
        </w:rPr>
        <w:t xml:space="preserve"> collabora con marchi del calibro di Meta, Uber, H&amp;M, eBay e Microsoft.  </w:t>
      </w:r>
    </w:p>
    <w:p w14:paraId="20FDBE88" w14:textId="77777777" w:rsidR="002B68C7" w:rsidRDefault="00000000">
      <w:pPr>
        <w:pBdr>
          <w:top w:val="nil"/>
          <w:left w:val="nil"/>
          <w:bottom w:val="nil"/>
          <w:right w:val="nil"/>
          <w:between w:val="nil"/>
        </w:pBdr>
        <w:shd w:val="clear" w:color="auto" w:fill="FFFFFF"/>
        <w:jc w:val="both"/>
        <w:rPr>
          <w:rFonts w:ascii="Inter" w:eastAsia="Inter" w:hAnsi="Inter" w:cs="Inter"/>
          <w:color w:val="000000"/>
          <w:sz w:val="18"/>
          <w:szCs w:val="18"/>
        </w:rPr>
      </w:pPr>
      <w:r>
        <w:rPr>
          <w:rFonts w:ascii="Inter" w:eastAsia="Inter" w:hAnsi="Inter" w:cs="Inter"/>
          <w:color w:val="000000"/>
          <w:sz w:val="18"/>
          <w:szCs w:val="18"/>
        </w:rPr>
        <w:t> </w:t>
      </w:r>
    </w:p>
    <w:p w14:paraId="418319D5" w14:textId="77777777" w:rsidR="002B68C7" w:rsidRDefault="00000000">
      <w:pPr>
        <w:pBdr>
          <w:top w:val="nil"/>
          <w:left w:val="nil"/>
          <w:bottom w:val="nil"/>
          <w:right w:val="nil"/>
          <w:between w:val="nil"/>
        </w:pBdr>
        <w:jc w:val="both"/>
        <w:rPr>
          <w:rFonts w:ascii="Inter" w:eastAsia="Inter" w:hAnsi="Inter" w:cs="Inter"/>
          <w:color w:val="000000"/>
          <w:sz w:val="18"/>
          <w:szCs w:val="18"/>
        </w:rPr>
      </w:pPr>
      <w:r>
        <w:rPr>
          <w:rFonts w:ascii="Inter" w:eastAsia="Inter" w:hAnsi="Inter" w:cs="Inter"/>
          <w:color w:val="00112C"/>
          <w:sz w:val="20"/>
          <w:szCs w:val="20"/>
        </w:rPr>
        <w:t> </w:t>
      </w:r>
    </w:p>
    <w:p w14:paraId="5D82E395" w14:textId="77777777" w:rsidR="002B68C7" w:rsidRDefault="00000000">
      <w:pPr>
        <w:pBdr>
          <w:top w:val="nil"/>
          <w:left w:val="nil"/>
          <w:bottom w:val="nil"/>
          <w:right w:val="nil"/>
          <w:between w:val="nil"/>
        </w:pBdr>
        <w:jc w:val="both"/>
        <w:rPr>
          <w:rFonts w:ascii="Inter" w:eastAsia="Inter" w:hAnsi="Inter" w:cs="Inter"/>
          <w:color w:val="000000"/>
          <w:sz w:val="18"/>
          <w:szCs w:val="18"/>
        </w:rPr>
      </w:pPr>
      <w:r>
        <w:rPr>
          <w:rFonts w:ascii="Inter" w:eastAsia="Inter" w:hAnsi="Inter" w:cs="Inter"/>
          <w:b/>
          <w:color w:val="00112C"/>
          <w:sz w:val="20"/>
          <w:szCs w:val="20"/>
        </w:rPr>
        <w:t xml:space="preserve">Contatti </w:t>
      </w:r>
      <w:proofErr w:type="spellStart"/>
      <w:r>
        <w:rPr>
          <w:rFonts w:ascii="Inter" w:eastAsia="Inter" w:hAnsi="Inter" w:cs="Inter"/>
          <w:b/>
          <w:color w:val="00112C"/>
          <w:sz w:val="20"/>
          <w:szCs w:val="20"/>
        </w:rPr>
        <w:t>Adyen</w:t>
      </w:r>
      <w:proofErr w:type="spellEnd"/>
      <w:r>
        <w:rPr>
          <w:rFonts w:ascii="Inter" w:eastAsia="Inter" w:hAnsi="Inter" w:cs="Inter"/>
          <w:color w:val="00112C"/>
          <w:sz w:val="20"/>
          <w:szCs w:val="20"/>
        </w:rPr>
        <w:t>  </w:t>
      </w:r>
    </w:p>
    <w:p w14:paraId="0161B7DB" w14:textId="77777777" w:rsidR="002B68C7" w:rsidRDefault="00000000">
      <w:pPr>
        <w:pBdr>
          <w:top w:val="nil"/>
          <w:left w:val="nil"/>
          <w:bottom w:val="nil"/>
          <w:right w:val="nil"/>
          <w:between w:val="nil"/>
        </w:pBdr>
        <w:jc w:val="both"/>
        <w:rPr>
          <w:rFonts w:ascii="Inter" w:eastAsia="Inter" w:hAnsi="Inter" w:cs="Inter"/>
          <w:color w:val="000000"/>
          <w:sz w:val="18"/>
          <w:szCs w:val="18"/>
        </w:rPr>
      </w:pPr>
      <w:r>
        <w:rPr>
          <w:rFonts w:ascii="Inter" w:eastAsia="Inter" w:hAnsi="Inter" w:cs="Inter"/>
          <w:color w:val="00112C"/>
          <w:sz w:val="20"/>
          <w:szCs w:val="20"/>
        </w:rPr>
        <w:t>Ufficio stampa TEAM LEWIS  </w:t>
      </w:r>
    </w:p>
    <w:p w14:paraId="1CD6EF2E" w14:textId="77777777" w:rsidR="002B68C7" w:rsidRDefault="00000000">
      <w:pPr>
        <w:pBdr>
          <w:top w:val="nil"/>
          <w:left w:val="nil"/>
          <w:bottom w:val="nil"/>
          <w:right w:val="nil"/>
          <w:between w:val="nil"/>
        </w:pBdr>
        <w:jc w:val="both"/>
        <w:rPr>
          <w:rFonts w:ascii="Inter" w:eastAsia="Inter" w:hAnsi="Inter" w:cs="Inter"/>
          <w:color w:val="000000"/>
          <w:sz w:val="18"/>
          <w:szCs w:val="18"/>
        </w:rPr>
      </w:pPr>
      <w:r>
        <w:rPr>
          <w:rFonts w:ascii="Inter" w:eastAsia="Inter" w:hAnsi="Inter" w:cs="Inter"/>
          <w:color w:val="00112C"/>
          <w:sz w:val="20"/>
          <w:szCs w:val="20"/>
        </w:rPr>
        <w:t>Alessandro Zambetti, Deborah Amato </w:t>
      </w:r>
    </w:p>
    <w:p w14:paraId="7CA2680A" w14:textId="77777777" w:rsidR="002B68C7" w:rsidRDefault="002B68C7">
      <w:pPr>
        <w:pBdr>
          <w:top w:val="nil"/>
          <w:left w:val="nil"/>
          <w:bottom w:val="nil"/>
          <w:right w:val="nil"/>
          <w:between w:val="nil"/>
        </w:pBdr>
        <w:jc w:val="both"/>
        <w:rPr>
          <w:rFonts w:ascii="Inter" w:eastAsia="Inter" w:hAnsi="Inter" w:cs="Inter"/>
          <w:color w:val="000000"/>
          <w:sz w:val="18"/>
          <w:szCs w:val="18"/>
        </w:rPr>
      </w:pPr>
      <w:hyperlink r:id="rId9">
        <w:r>
          <w:rPr>
            <w:rFonts w:ascii="Inter" w:eastAsia="Inter" w:hAnsi="Inter" w:cs="Inter"/>
            <w:color w:val="467886"/>
            <w:sz w:val="20"/>
            <w:szCs w:val="20"/>
            <w:u w:val="single"/>
          </w:rPr>
          <w:t>AdyenItaly@teamlewis.com</w:t>
        </w:r>
      </w:hyperlink>
      <w:r>
        <w:rPr>
          <w:rFonts w:ascii="Inter" w:eastAsia="Inter" w:hAnsi="Inter" w:cs="Inter"/>
          <w:color w:val="00112C"/>
          <w:sz w:val="20"/>
          <w:szCs w:val="20"/>
        </w:rPr>
        <w:t>  </w:t>
      </w:r>
    </w:p>
    <w:p w14:paraId="7D7E330A" w14:textId="77777777" w:rsidR="002B68C7" w:rsidRDefault="00000000">
      <w:pPr>
        <w:pBdr>
          <w:top w:val="nil"/>
          <w:left w:val="nil"/>
          <w:bottom w:val="nil"/>
          <w:right w:val="nil"/>
          <w:between w:val="nil"/>
        </w:pBdr>
        <w:jc w:val="both"/>
        <w:rPr>
          <w:rFonts w:ascii="Inter" w:eastAsia="Inter" w:hAnsi="Inter" w:cs="Inter"/>
          <w:color w:val="000000"/>
          <w:sz w:val="18"/>
          <w:szCs w:val="18"/>
        </w:rPr>
      </w:pPr>
      <w:r>
        <w:rPr>
          <w:rFonts w:ascii="Inter" w:eastAsia="Inter" w:hAnsi="Inter" w:cs="Inter"/>
          <w:color w:val="00112C"/>
          <w:sz w:val="20"/>
          <w:szCs w:val="20"/>
        </w:rPr>
        <w:t>Tel. 02 36531375  </w:t>
      </w:r>
    </w:p>
    <w:p w14:paraId="6D790256" w14:textId="77777777" w:rsidR="002B68C7" w:rsidRDefault="00000000">
      <w:pPr>
        <w:pBdr>
          <w:top w:val="nil"/>
          <w:left w:val="nil"/>
          <w:bottom w:val="nil"/>
          <w:right w:val="nil"/>
          <w:between w:val="nil"/>
        </w:pBdr>
        <w:jc w:val="both"/>
        <w:rPr>
          <w:rFonts w:ascii="Inter" w:eastAsia="Inter" w:hAnsi="Inter" w:cs="Inter"/>
          <w:color w:val="000000"/>
          <w:sz w:val="18"/>
          <w:szCs w:val="18"/>
        </w:rPr>
      </w:pPr>
      <w:r>
        <w:rPr>
          <w:rFonts w:ascii="Inter" w:eastAsia="Inter" w:hAnsi="Inter" w:cs="Inter"/>
          <w:color w:val="00112C"/>
          <w:sz w:val="20"/>
          <w:szCs w:val="20"/>
        </w:rPr>
        <w:t>Cel. +39 3389241387 </w:t>
      </w:r>
    </w:p>
    <w:p w14:paraId="565B993F" w14:textId="77777777" w:rsidR="002B68C7" w:rsidRDefault="002B68C7">
      <w:pPr>
        <w:pBdr>
          <w:top w:val="nil"/>
          <w:left w:val="nil"/>
          <w:bottom w:val="nil"/>
          <w:right w:val="nil"/>
          <w:between w:val="nil"/>
        </w:pBdr>
        <w:jc w:val="both"/>
        <w:rPr>
          <w:rFonts w:ascii="Inter" w:eastAsia="Inter" w:hAnsi="Inter" w:cs="Inter"/>
          <w:color w:val="000000"/>
          <w:sz w:val="22"/>
          <w:szCs w:val="22"/>
        </w:rPr>
      </w:pPr>
    </w:p>
    <w:p w14:paraId="1312F768" w14:textId="77777777" w:rsidR="002B68C7" w:rsidRDefault="002B68C7">
      <w:pPr>
        <w:jc w:val="both"/>
        <w:rPr>
          <w:rFonts w:ascii="Arial" w:eastAsia="Arial" w:hAnsi="Arial" w:cs="Arial"/>
          <w:sz w:val="22"/>
          <w:szCs w:val="22"/>
        </w:rPr>
      </w:pPr>
    </w:p>
    <w:p w14:paraId="59AA0B60" w14:textId="77777777" w:rsidR="002B68C7" w:rsidRDefault="002B68C7">
      <w:pPr>
        <w:jc w:val="both"/>
        <w:rPr>
          <w:rFonts w:ascii="Arial" w:eastAsia="Arial" w:hAnsi="Arial" w:cs="Arial"/>
          <w:sz w:val="22"/>
          <w:szCs w:val="22"/>
        </w:rPr>
      </w:pPr>
    </w:p>
    <w:p w14:paraId="6B833D5C" w14:textId="77777777" w:rsidR="002B68C7" w:rsidRDefault="002B68C7">
      <w:pPr>
        <w:jc w:val="both"/>
        <w:rPr>
          <w:rFonts w:ascii="Arial" w:eastAsia="Arial" w:hAnsi="Arial" w:cs="Arial"/>
          <w:sz w:val="22"/>
          <w:szCs w:val="22"/>
        </w:rPr>
      </w:pPr>
    </w:p>
    <w:sectPr w:rsidR="002B68C7">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9909B" w14:textId="77777777" w:rsidR="00855AF7" w:rsidRDefault="00855AF7">
      <w:r>
        <w:separator/>
      </w:r>
    </w:p>
  </w:endnote>
  <w:endnote w:type="continuationSeparator" w:id="0">
    <w:p w14:paraId="62687F5D" w14:textId="77777777" w:rsidR="00855AF7" w:rsidRDefault="00855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2" w:fontKey="{4695AF7E-57FE-404C-A9C5-722FE2EC4223}"/>
    <w:embedBold r:id="rId3" w:fontKey="{F70A3600-49A0-E541-A388-9571F612E4FE}"/>
    <w:embedItalic r:id="rId4" w:fontKey="{80FB1A79-9259-2A4B-9E2C-5D0A09F72132}"/>
  </w:font>
  <w:font w:name="Play">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CF7BDA18-A022-6645-858E-581303F20751}"/>
    <w:embedBold r:id="rId7" w:fontKey="{7AA3BBBA-24AA-D248-8354-6EE3EE148109}"/>
    <w:embedItalic r:id="rId8" w:fontKey="{CBFE59BB-DBAE-A842-B28D-831A798025DC}"/>
  </w:font>
  <w:font w:name="Aptos Display">
    <w:panose1 w:val="020B0004020202020204"/>
    <w:charset w:val="00"/>
    <w:family w:val="swiss"/>
    <w:pitch w:val="variable"/>
    <w:sig w:usb0="20000287" w:usb1="00000003" w:usb2="00000000" w:usb3="00000000" w:csb0="0000019F" w:csb1="00000000"/>
    <w:embedRegular r:id="rId9" w:fontKey="{71E3AB3C-2743-6E44-AE08-85652C87DF08}"/>
  </w:font>
  <w:font w:name="Inter">
    <w:panose1 w:val="020B0604020202020204"/>
    <w:charset w:val="00"/>
    <w:family w:val="auto"/>
    <w:pitch w:val="default"/>
    <w:embedBold r:id="rId11" w:fontKey="{B0578BCE-1D1B-194D-ACAA-B184F738D531}"/>
    <w:embedItalic r:id="rId12" w:fontKey="{4E871159-24E6-314A-B652-532EFD569D3B}"/>
    <w:embedBoldItalic r:id="rId13" w:fontKey="{374D1EDC-F9CB-A444-926B-1C9A229CAD70}"/>
  </w:font>
  <w:font w:name="Arial">
    <w:panose1 w:val="020B0604020202020204"/>
    <w:charset w:val="00"/>
    <w:family w:val="swiss"/>
    <w:pitch w:val="variable"/>
    <w:sig w:usb0="E0002EFF" w:usb1="C000785B" w:usb2="00000009" w:usb3="00000000" w:csb0="000001FF" w:csb1="00000000"/>
    <w:embedRegular r:id="rId14" w:fontKey="{F705CF23-2E89-3347-AA4C-8B89ACCF06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36DBA" w14:textId="77777777" w:rsidR="002B68C7" w:rsidRDefault="002B68C7">
    <w:pPr>
      <w:widowControl w:val="0"/>
      <w:pBdr>
        <w:top w:val="nil"/>
        <w:left w:val="nil"/>
        <w:bottom w:val="nil"/>
        <w:right w:val="nil"/>
        <w:between w:val="nil"/>
      </w:pBdr>
      <w:spacing w:line="276" w:lineRule="auto"/>
      <w:rPr>
        <w:color w:val="000000"/>
      </w:rPr>
    </w:pPr>
  </w:p>
  <w:tbl>
    <w:tblPr>
      <w:tblStyle w:val="a0"/>
      <w:tblW w:w="9015" w:type="dxa"/>
      <w:tblInd w:w="0" w:type="dxa"/>
      <w:tblLayout w:type="fixed"/>
      <w:tblLook w:val="0600" w:firstRow="0" w:lastRow="0" w:firstColumn="0" w:lastColumn="0" w:noHBand="1" w:noVBand="1"/>
    </w:tblPr>
    <w:tblGrid>
      <w:gridCol w:w="3005"/>
      <w:gridCol w:w="3005"/>
      <w:gridCol w:w="3005"/>
    </w:tblGrid>
    <w:tr w:rsidR="002B68C7" w14:paraId="0CFBAE29" w14:textId="77777777">
      <w:trPr>
        <w:trHeight w:val="300"/>
      </w:trPr>
      <w:tc>
        <w:tcPr>
          <w:tcW w:w="3005" w:type="dxa"/>
        </w:tcPr>
        <w:p w14:paraId="5FD53A35" w14:textId="77777777" w:rsidR="002B68C7" w:rsidRDefault="002B68C7">
          <w:pPr>
            <w:pBdr>
              <w:top w:val="nil"/>
              <w:left w:val="nil"/>
              <w:bottom w:val="nil"/>
              <w:right w:val="nil"/>
              <w:between w:val="nil"/>
            </w:pBdr>
            <w:tabs>
              <w:tab w:val="center" w:pos="4680"/>
              <w:tab w:val="right" w:pos="9360"/>
            </w:tabs>
            <w:ind w:left="-115"/>
            <w:rPr>
              <w:color w:val="000000"/>
            </w:rPr>
          </w:pPr>
        </w:p>
      </w:tc>
      <w:tc>
        <w:tcPr>
          <w:tcW w:w="3005" w:type="dxa"/>
        </w:tcPr>
        <w:p w14:paraId="1226E197" w14:textId="77777777" w:rsidR="002B68C7" w:rsidRDefault="002B68C7">
          <w:pPr>
            <w:pBdr>
              <w:top w:val="nil"/>
              <w:left w:val="nil"/>
              <w:bottom w:val="nil"/>
              <w:right w:val="nil"/>
              <w:between w:val="nil"/>
            </w:pBdr>
            <w:tabs>
              <w:tab w:val="center" w:pos="4680"/>
              <w:tab w:val="right" w:pos="9360"/>
            </w:tabs>
            <w:jc w:val="center"/>
            <w:rPr>
              <w:color w:val="000000"/>
            </w:rPr>
          </w:pPr>
        </w:p>
      </w:tc>
      <w:tc>
        <w:tcPr>
          <w:tcW w:w="3005" w:type="dxa"/>
        </w:tcPr>
        <w:p w14:paraId="78A92BA1" w14:textId="77777777" w:rsidR="002B68C7" w:rsidRDefault="002B68C7">
          <w:pPr>
            <w:pBdr>
              <w:top w:val="nil"/>
              <w:left w:val="nil"/>
              <w:bottom w:val="nil"/>
              <w:right w:val="nil"/>
              <w:between w:val="nil"/>
            </w:pBdr>
            <w:tabs>
              <w:tab w:val="center" w:pos="4680"/>
              <w:tab w:val="right" w:pos="9360"/>
            </w:tabs>
            <w:ind w:right="-115"/>
            <w:jc w:val="right"/>
            <w:rPr>
              <w:color w:val="000000"/>
            </w:rPr>
          </w:pPr>
        </w:p>
      </w:tc>
    </w:tr>
  </w:tbl>
  <w:p w14:paraId="2E551950" w14:textId="77777777" w:rsidR="002B68C7" w:rsidRDefault="002B68C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124B8" w14:textId="77777777" w:rsidR="00855AF7" w:rsidRDefault="00855AF7">
      <w:r>
        <w:separator/>
      </w:r>
    </w:p>
  </w:footnote>
  <w:footnote w:type="continuationSeparator" w:id="0">
    <w:p w14:paraId="720127DD" w14:textId="77777777" w:rsidR="00855AF7" w:rsidRDefault="00855AF7">
      <w:r>
        <w:continuationSeparator/>
      </w:r>
    </w:p>
  </w:footnote>
  <w:footnote w:id="1">
    <w:p w14:paraId="668C2F4B" w14:textId="77777777" w:rsidR="002B68C7" w:rsidRDefault="00000000">
      <w:pPr>
        <w:pBdr>
          <w:top w:val="nil"/>
          <w:left w:val="nil"/>
          <w:bottom w:val="nil"/>
          <w:right w:val="nil"/>
          <w:between w:val="nil"/>
        </w:pBdr>
        <w:rPr>
          <w:rFonts w:ascii="Inter" w:eastAsia="Inter" w:hAnsi="Inter" w:cs="Inter"/>
          <w:color w:val="09090B"/>
          <w:sz w:val="20"/>
          <w:szCs w:val="20"/>
        </w:rPr>
      </w:pPr>
      <w:r>
        <w:rPr>
          <w:rStyle w:val="Rimandonotaapidipagina"/>
        </w:rPr>
        <w:footnoteRef/>
      </w:r>
      <w:r>
        <w:rPr>
          <w:rFonts w:ascii="Inter" w:eastAsia="Inter" w:hAnsi="Inter" w:cs="Inter"/>
          <w:color w:val="000000"/>
          <w:sz w:val="20"/>
          <w:szCs w:val="20"/>
        </w:rPr>
        <w:t xml:space="preserve"> </w:t>
      </w:r>
      <w:r>
        <w:rPr>
          <w:rFonts w:ascii="Inter" w:eastAsia="Inter" w:hAnsi="Inter" w:cs="Inter"/>
          <w:i/>
          <w:color w:val="09090B"/>
          <w:sz w:val="20"/>
          <w:szCs w:val="20"/>
        </w:rPr>
        <w:t>Maison</w:t>
      </w:r>
      <w:r>
        <w:rPr>
          <w:rFonts w:ascii="Inter" w:eastAsia="Inter" w:hAnsi="Inter" w:cs="Inter"/>
          <w:color w:val="09090B"/>
          <w:sz w:val="20"/>
          <w:szCs w:val="20"/>
        </w:rPr>
        <w:t xml:space="preserve"> è il termine francese utilizzato per indicare i marchi del gruppo.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2408" w14:textId="77777777" w:rsidR="002B68C7" w:rsidRDefault="002B68C7">
    <w:pPr>
      <w:widowControl w:val="0"/>
      <w:pBdr>
        <w:top w:val="nil"/>
        <w:left w:val="nil"/>
        <w:bottom w:val="nil"/>
        <w:right w:val="nil"/>
        <w:between w:val="nil"/>
      </w:pBdr>
      <w:spacing w:line="276" w:lineRule="auto"/>
      <w:rPr>
        <w:rFonts w:ascii="Inter" w:eastAsia="Inter" w:hAnsi="Inter" w:cs="Inter"/>
        <w:color w:val="09090B"/>
        <w:sz w:val="20"/>
        <w:szCs w:val="20"/>
      </w:rPr>
    </w:pPr>
  </w:p>
  <w:tbl>
    <w:tblPr>
      <w:tblStyle w:val="a"/>
      <w:tblW w:w="9015" w:type="dxa"/>
      <w:tblInd w:w="0" w:type="dxa"/>
      <w:tblLayout w:type="fixed"/>
      <w:tblLook w:val="0600" w:firstRow="0" w:lastRow="0" w:firstColumn="0" w:lastColumn="0" w:noHBand="1" w:noVBand="1"/>
    </w:tblPr>
    <w:tblGrid>
      <w:gridCol w:w="3005"/>
      <w:gridCol w:w="3005"/>
      <w:gridCol w:w="3005"/>
    </w:tblGrid>
    <w:tr w:rsidR="002B68C7" w14:paraId="0DB34C3D" w14:textId="77777777">
      <w:trPr>
        <w:trHeight w:val="300"/>
      </w:trPr>
      <w:tc>
        <w:tcPr>
          <w:tcW w:w="3005" w:type="dxa"/>
        </w:tcPr>
        <w:p w14:paraId="7D6E16C7" w14:textId="77777777" w:rsidR="002B68C7" w:rsidRDefault="00000000">
          <w:pPr>
            <w:ind w:left="-115"/>
          </w:pPr>
          <w:r>
            <w:rPr>
              <w:noProof/>
            </w:rPr>
            <w:drawing>
              <wp:inline distT="0" distB="0" distL="114300" distR="114300" wp14:anchorId="5EE3790F" wp14:editId="57A81721">
                <wp:extent cx="638175" cy="638175"/>
                <wp:effectExtent l="0" t="0" r="0" b="0"/>
                <wp:docPr id="1160868764" name="image1.png" descr="Immagine che contiene logo, simbolo, Elementi grafici, Caratter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simbolo, Elementi grafici, Carattere&#10;&#10;Descrizione generata automaticamente"/>
                        <pic:cNvPicPr preferRelativeResize="0"/>
                      </pic:nvPicPr>
                      <pic:blipFill>
                        <a:blip r:embed="rId1"/>
                        <a:srcRect/>
                        <a:stretch>
                          <a:fillRect/>
                        </a:stretch>
                      </pic:blipFill>
                      <pic:spPr>
                        <a:xfrm>
                          <a:off x="0" y="0"/>
                          <a:ext cx="638175" cy="638175"/>
                        </a:xfrm>
                        <a:prstGeom prst="rect">
                          <a:avLst/>
                        </a:prstGeom>
                        <a:ln/>
                      </pic:spPr>
                    </pic:pic>
                  </a:graphicData>
                </a:graphic>
              </wp:inline>
            </w:drawing>
          </w:r>
        </w:p>
      </w:tc>
      <w:tc>
        <w:tcPr>
          <w:tcW w:w="3005" w:type="dxa"/>
        </w:tcPr>
        <w:p w14:paraId="036CC243" w14:textId="77777777" w:rsidR="002B68C7" w:rsidRDefault="002B68C7">
          <w:pPr>
            <w:pBdr>
              <w:top w:val="nil"/>
              <w:left w:val="nil"/>
              <w:bottom w:val="nil"/>
              <w:right w:val="nil"/>
              <w:between w:val="nil"/>
            </w:pBdr>
            <w:tabs>
              <w:tab w:val="center" w:pos="4680"/>
              <w:tab w:val="right" w:pos="9360"/>
            </w:tabs>
            <w:jc w:val="center"/>
            <w:rPr>
              <w:color w:val="000000"/>
            </w:rPr>
          </w:pPr>
        </w:p>
      </w:tc>
      <w:tc>
        <w:tcPr>
          <w:tcW w:w="3005" w:type="dxa"/>
        </w:tcPr>
        <w:p w14:paraId="7E654274" w14:textId="77777777" w:rsidR="002B68C7" w:rsidRDefault="002B68C7">
          <w:pPr>
            <w:pBdr>
              <w:top w:val="nil"/>
              <w:left w:val="nil"/>
              <w:bottom w:val="nil"/>
              <w:right w:val="nil"/>
              <w:between w:val="nil"/>
            </w:pBdr>
            <w:tabs>
              <w:tab w:val="center" w:pos="4680"/>
              <w:tab w:val="right" w:pos="9360"/>
            </w:tabs>
            <w:ind w:right="-115"/>
            <w:jc w:val="right"/>
            <w:rPr>
              <w:color w:val="000000"/>
            </w:rPr>
          </w:pPr>
        </w:p>
      </w:tc>
    </w:tr>
  </w:tbl>
  <w:p w14:paraId="32806972" w14:textId="77777777" w:rsidR="002B68C7" w:rsidRDefault="002B68C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A46025"/>
    <w:multiLevelType w:val="multilevel"/>
    <w:tmpl w:val="4908234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44527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8C7"/>
    <w:rsid w:val="00064DCE"/>
    <w:rsid w:val="002B68C7"/>
    <w:rsid w:val="004A718E"/>
    <w:rsid w:val="00570E1F"/>
    <w:rsid w:val="00855AF7"/>
    <w:rsid w:val="00996BA3"/>
    <w:rsid w:val="00A531F8"/>
    <w:rsid w:val="00BE7816"/>
    <w:rsid w:val="00EE07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AAB04A7"/>
  <w15:docId w15:val="{31C42BF7-9614-7943-833D-59D13457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outlineLvl w:val="5"/>
    </w:pPr>
    <w:rPr>
      <w:i/>
      <w:color w:val="595959"/>
    </w:rPr>
  </w:style>
  <w:style w:type="paragraph" w:styleId="Titolo7">
    <w:name w:val="heading 7"/>
    <w:link w:val="Titolo7Carattere"/>
    <w:uiPriority w:val="9"/>
    <w:semiHidden/>
    <w:unhideWhenUsed/>
    <w:qFormat/>
    <w:rsid w:val="0099588B"/>
    <w:pPr>
      <w:keepNext/>
      <w:keepLines/>
      <w:spacing w:before="4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99588B"/>
    <w:pPr>
      <w:keepNext/>
      <w:keepLines/>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99588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itolo1Carattere">
    <w:name w:val="Titolo 1 Carattere"/>
    <w:basedOn w:val="Carpredefinitoparagrafo"/>
    <w:uiPriority w:val="9"/>
    <w:rsid w:val="0099588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99588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99588B"/>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99588B"/>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99588B"/>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99588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9588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9588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9588B"/>
    <w:rPr>
      <w:rFonts w:eastAsiaTheme="majorEastAsia" w:cstheme="majorBidi"/>
      <w:color w:val="272727" w:themeColor="text1" w:themeTint="D8"/>
    </w:rPr>
  </w:style>
  <w:style w:type="character" w:customStyle="1" w:styleId="TitoloCarattere">
    <w:name w:val="Titolo Carattere"/>
    <w:basedOn w:val="Carpredefinitoparagrafo"/>
    <w:uiPriority w:val="10"/>
    <w:rsid w:val="0099588B"/>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99588B"/>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99588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9588B"/>
    <w:rPr>
      <w:i/>
      <w:iCs/>
      <w:color w:val="404040" w:themeColor="text1" w:themeTint="BF"/>
    </w:rPr>
  </w:style>
  <w:style w:type="paragraph" w:styleId="Paragrafoelenco">
    <w:name w:val="List Paragraph"/>
    <w:uiPriority w:val="34"/>
    <w:qFormat/>
    <w:rsid w:val="0099588B"/>
    <w:pPr>
      <w:ind w:left="720"/>
      <w:contextualSpacing/>
    </w:pPr>
  </w:style>
  <w:style w:type="character" w:styleId="Enfasiintensa">
    <w:name w:val="Intense Emphasis"/>
    <w:basedOn w:val="Carpredefinitoparagrafo"/>
    <w:uiPriority w:val="21"/>
    <w:qFormat/>
    <w:rsid w:val="0099588B"/>
    <w:rPr>
      <w:i/>
      <w:iCs/>
      <w:color w:val="0F4761" w:themeColor="accent1" w:themeShade="BF"/>
    </w:rPr>
  </w:style>
  <w:style w:type="paragraph" w:styleId="Citazioneintensa">
    <w:name w:val="Intense Quote"/>
    <w:link w:val="CitazioneintensaCarattere"/>
    <w:uiPriority w:val="30"/>
    <w:qFormat/>
    <w:rsid w:val="00995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9588B"/>
    <w:rPr>
      <w:i/>
      <w:iCs/>
      <w:color w:val="0F4761" w:themeColor="accent1" w:themeShade="BF"/>
    </w:rPr>
  </w:style>
  <w:style w:type="character" w:styleId="Riferimentointenso">
    <w:name w:val="Intense Reference"/>
    <w:basedOn w:val="Carpredefinitoparagrafo"/>
    <w:uiPriority w:val="32"/>
    <w:qFormat/>
    <w:rsid w:val="0099588B"/>
    <w:rPr>
      <w:b/>
      <w:bCs/>
      <w:smallCaps/>
      <w:color w:val="0F4761" w:themeColor="accent1" w:themeShade="BF"/>
      <w:spacing w:val="5"/>
    </w:rPr>
  </w:style>
  <w:style w:type="paragraph" w:styleId="NormaleWeb">
    <w:name w:val="Normal (Web)"/>
    <w:uiPriority w:val="99"/>
    <w:semiHidden/>
    <w:unhideWhenUsed/>
    <w:rsid w:val="0099588B"/>
    <w:pPr>
      <w:spacing w:before="100" w:beforeAutospacing="1" w:after="100" w:afterAutospacing="1"/>
    </w:pPr>
    <w:rPr>
      <w:rFonts w:ascii="Times New Roman" w:eastAsia="Times New Roman" w:hAnsi="Times New Roman" w:cs="Times New Roman"/>
      <w:lang w:eastAsia="en-GB"/>
    </w:rPr>
  </w:style>
  <w:style w:type="character" w:styleId="Enfasigrassetto">
    <w:name w:val="Strong"/>
    <w:basedOn w:val="Carpredefinitoparagrafo"/>
    <w:uiPriority w:val="22"/>
    <w:qFormat/>
    <w:rsid w:val="0099588B"/>
    <w:rPr>
      <w:b/>
      <w:bCs/>
    </w:rPr>
  </w:style>
  <w:style w:type="character" w:styleId="Collegamentoipertestuale">
    <w:name w:val="Hyperlink"/>
    <w:basedOn w:val="Carpredefinitoparagrafo"/>
    <w:uiPriority w:val="99"/>
    <w:unhideWhenUsed/>
    <w:rsid w:val="0099588B"/>
    <w:rPr>
      <w:color w:val="467886" w:themeColor="hyperlink"/>
      <w:u w:val="single"/>
    </w:rPr>
  </w:style>
  <w:style w:type="character" w:styleId="Menzionenonrisolta">
    <w:name w:val="Unresolved Mention"/>
    <w:basedOn w:val="Carpredefinitoparagrafo"/>
    <w:uiPriority w:val="99"/>
    <w:semiHidden/>
    <w:unhideWhenUsed/>
    <w:rsid w:val="0099588B"/>
    <w:rPr>
      <w:color w:val="605E5C"/>
      <w:shd w:val="clear" w:color="auto" w:fill="E1DFDD"/>
    </w:rPr>
  </w:style>
  <w:style w:type="character" w:styleId="Rimandocommento">
    <w:name w:val="annotation reference"/>
    <w:basedOn w:val="Carpredefinitoparagrafo"/>
    <w:uiPriority w:val="99"/>
    <w:semiHidden/>
    <w:unhideWhenUsed/>
    <w:rsid w:val="00B6388A"/>
    <w:rPr>
      <w:sz w:val="16"/>
      <w:szCs w:val="16"/>
    </w:rPr>
  </w:style>
  <w:style w:type="paragraph" w:styleId="Testocommento">
    <w:name w:val="annotation text"/>
    <w:link w:val="TestocommentoCarattere"/>
    <w:uiPriority w:val="99"/>
    <w:semiHidden/>
    <w:unhideWhenUsed/>
    <w:rsid w:val="00B6388A"/>
    <w:rPr>
      <w:sz w:val="20"/>
      <w:szCs w:val="20"/>
    </w:rPr>
  </w:style>
  <w:style w:type="character" w:customStyle="1" w:styleId="TestocommentoCarattere">
    <w:name w:val="Testo commento Carattere"/>
    <w:basedOn w:val="Carpredefinitoparagrafo"/>
    <w:link w:val="Testocommento"/>
    <w:uiPriority w:val="99"/>
    <w:semiHidden/>
    <w:rsid w:val="00B6388A"/>
    <w:rPr>
      <w:sz w:val="20"/>
      <w:szCs w:val="20"/>
    </w:rPr>
  </w:style>
  <w:style w:type="paragraph" w:styleId="Soggettocommento">
    <w:name w:val="annotation subject"/>
    <w:basedOn w:val="Testocommento"/>
    <w:next w:val="Testocommento"/>
    <w:link w:val="SoggettocommentoCarattere"/>
    <w:uiPriority w:val="99"/>
    <w:semiHidden/>
    <w:unhideWhenUsed/>
    <w:rsid w:val="00B6388A"/>
    <w:rPr>
      <w:b/>
      <w:bCs/>
    </w:rPr>
  </w:style>
  <w:style w:type="character" w:customStyle="1" w:styleId="SoggettocommentoCarattere">
    <w:name w:val="Soggetto commento Carattere"/>
    <w:basedOn w:val="TestocommentoCarattere"/>
    <w:link w:val="Soggettocommento"/>
    <w:uiPriority w:val="99"/>
    <w:semiHidden/>
    <w:rsid w:val="00B6388A"/>
    <w:rPr>
      <w:b/>
      <w:bCs/>
      <w:sz w:val="20"/>
      <w:szCs w:val="20"/>
    </w:rPr>
  </w:style>
  <w:style w:type="paragraph" w:customStyle="1" w:styleId="paragraph">
    <w:name w:val="paragraph"/>
    <w:rsid w:val="003E47B5"/>
    <w:pPr>
      <w:spacing w:before="100" w:beforeAutospacing="1" w:after="100" w:afterAutospacing="1"/>
    </w:pPr>
    <w:rPr>
      <w:rFonts w:ascii="Times New Roman" w:eastAsia="Times New Roman" w:hAnsi="Times New Roman" w:cs="Times New Roman"/>
      <w:lang w:val="it-IT"/>
    </w:rPr>
  </w:style>
  <w:style w:type="character" w:customStyle="1" w:styleId="normaltextrun">
    <w:name w:val="normaltextrun"/>
    <w:basedOn w:val="Carpredefinitoparagrafo"/>
    <w:rsid w:val="003E47B5"/>
  </w:style>
  <w:style w:type="character" w:customStyle="1" w:styleId="eop">
    <w:name w:val="eop"/>
    <w:basedOn w:val="Carpredefinitoparagrafo"/>
    <w:rsid w:val="003E47B5"/>
  </w:style>
  <w:style w:type="paragraph" w:styleId="Testonotaapidipagina">
    <w:name w:val="footnote text"/>
    <w:uiPriority w:val="99"/>
    <w:semiHidden/>
    <w:unhideWhenUsed/>
    <w:rsid w:val="2E5027C7"/>
    <w:rPr>
      <w:sz w:val="20"/>
      <w:szCs w:val="20"/>
    </w:rPr>
  </w:style>
  <w:style w:type="paragraph" w:styleId="Intestazione">
    <w:name w:val="header"/>
    <w:uiPriority w:val="99"/>
    <w:unhideWhenUsed/>
    <w:rsid w:val="2E5027C7"/>
    <w:pPr>
      <w:tabs>
        <w:tab w:val="center" w:pos="4680"/>
        <w:tab w:val="right" w:pos="9360"/>
      </w:tabs>
    </w:pPr>
  </w:style>
  <w:style w:type="paragraph" w:styleId="Pidipagina">
    <w:name w:val="footer"/>
    <w:uiPriority w:val="99"/>
    <w:unhideWhenUsed/>
    <w:rsid w:val="2E5027C7"/>
    <w:pPr>
      <w:tabs>
        <w:tab w:val="center" w:pos="4680"/>
        <w:tab w:val="right" w:pos="9360"/>
      </w:tabs>
    </w:pPr>
  </w:style>
  <w:style w:type="character" w:styleId="Rimandonotaapidipagina">
    <w:name w:val="footnote reference"/>
    <w:basedOn w:val="Carpredefinitoparagrafo"/>
    <w:uiPriority w:val="99"/>
    <w:semiHidden/>
    <w:unhideWhenUsed/>
    <w:rPr>
      <w:vertAlign w:val="superscript"/>
    </w:rPr>
  </w:style>
  <w:style w:type="table" w:styleId="Grigliatabella">
    <w:name w:val="Table Grid"/>
    <w:basedOn w:val="Tabellanorma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ottotitolo">
    <w:name w:val="Subtitle"/>
    <w:basedOn w:val="Normale"/>
    <w:next w:val="Normale"/>
    <w:uiPriority w:val="11"/>
    <w:qFormat/>
    <w:pPr>
      <w:spacing w:after="160"/>
    </w:pPr>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dyen.com/it_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yenItaly@teamlew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jdiUF/dZkAVlLeag2YUbe+dgKw==">CgMxLjA4AHIhMW9jRV9Zak5ES2QxMDgyWGlkbnk3U3dTaVRNNnctWXFW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620</Words>
  <Characters>3534</Characters>
  <Application>Microsoft Office Word</Application>
  <DocSecurity>0</DocSecurity>
  <Lines>29</Lines>
  <Paragraphs>8</Paragraphs>
  <ScaleCrop>false</ScaleCrop>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Caetano</dc:creator>
  <cp:lastModifiedBy>Alessandro Zambetti</cp:lastModifiedBy>
  <cp:revision>4</cp:revision>
  <dcterms:created xsi:type="dcterms:W3CDTF">2025-09-05T08:03:00Z</dcterms:created>
  <dcterms:modified xsi:type="dcterms:W3CDTF">2025-09-16T15:55:00Z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0x01010003B16AD2E81BC3458CC1FE8E1A8458C7</vt:lpwstr>
  </property>
  <property fmtid="{D5CDD505-2E9C-101B-9397-08002B2CF9AE}" pid="3" name="MediaServiceImageTags">
    <vt:lpwstr/>
  </property>
</Properties>
</file>