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7308C" w14:textId="77777777" w:rsidR="00204F1B" w:rsidRDefault="00204F1B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624D63F4" w14:textId="39F38662" w:rsidR="00C14324" w:rsidRPr="00C0137C" w:rsidRDefault="00AD1413" w:rsidP="00891B57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4E1FBBF9" w14:textId="3FC4C64B" w:rsidR="00001154" w:rsidRDefault="00001154" w:rsidP="00891B57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ind w:left="720"/>
        <w:jc w:val="center"/>
        <w:rPr>
          <w:rFonts w:ascii="Aptos" w:hAnsi="Aptos"/>
          <w:b/>
          <w:color w:val="001B50"/>
          <w:sz w:val="35"/>
          <w:szCs w:val="35"/>
        </w:rPr>
      </w:pPr>
      <w:r w:rsidRPr="00001154">
        <w:rPr>
          <w:rFonts w:ascii="Aptos" w:hAnsi="Aptos"/>
          <w:b/>
          <w:color w:val="001B50"/>
          <w:sz w:val="35"/>
          <w:szCs w:val="35"/>
        </w:rPr>
        <w:t xml:space="preserve">Festivais </w:t>
      </w:r>
      <w:r w:rsidR="006C5A3E">
        <w:rPr>
          <w:rFonts w:ascii="Aptos" w:hAnsi="Aptos"/>
          <w:b/>
          <w:color w:val="001B50"/>
          <w:sz w:val="35"/>
          <w:szCs w:val="35"/>
        </w:rPr>
        <w:t>fazem</w:t>
      </w:r>
      <w:r w:rsidR="006C5A3E" w:rsidRPr="00001154">
        <w:rPr>
          <w:rFonts w:ascii="Aptos" w:hAnsi="Aptos"/>
          <w:b/>
          <w:color w:val="001B50"/>
          <w:sz w:val="35"/>
          <w:szCs w:val="35"/>
        </w:rPr>
        <w:t xml:space="preserve"> </w:t>
      </w:r>
      <w:r w:rsidRPr="00001154">
        <w:rPr>
          <w:rFonts w:ascii="Aptos" w:hAnsi="Aptos"/>
          <w:b/>
          <w:color w:val="001B50"/>
          <w:sz w:val="35"/>
          <w:szCs w:val="35"/>
        </w:rPr>
        <w:t>vibrar a economia</w:t>
      </w:r>
      <w:r>
        <w:rPr>
          <w:rFonts w:ascii="Aptos" w:hAnsi="Aptos"/>
          <w:b/>
          <w:color w:val="001B50"/>
          <w:sz w:val="35"/>
          <w:szCs w:val="35"/>
        </w:rPr>
        <w:t xml:space="preserve"> local</w:t>
      </w:r>
      <w:r w:rsidRPr="00001154">
        <w:rPr>
          <w:rFonts w:ascii="Aptos" w:hAnsi="Aptos"/>
          <w:b/>
          <w:color w:val="001B50"/>
          <w:sz w:val="35"/>
          <w:szCs w:val="35"/>
        </w:rPr>
        <w:t xml:space="preserve">: RFM </w:t>
      </w:r>
      <w:proofErr w:type="spellStart"/>
      <w:r w:rsidRPr="00001154">
        <w:rPr>
          <w:rFonts w:ascii="Aptos" w:hAnsi="Aptos"/>
          <w:b/>
          <w:color w:val="001B50"/>
          <w:sz w:val="35"/>
          <w:szCs w:val="35"/>
        </w:rPr>
        <w:t>Somnii</w:t>
      </w:r>
      <w:proofErr w:type="spellEnd"/>
      <w:r w:rsidRPr="00001154">
        <w:rPr>
          <w:rFonts w:ascii="Aptos" w:hAnsi="Aptos"/>
          <w:b/>
          <w:color w:val="001B50"/>
          <w:sz w:val="35"/>
          <w:szCs w:val="35"/>
        </w:rPr>
        <w:t xml:space="preserve">, MEO Marés Vivas e EDP Vilar de Mouros </w:t>
      </w:r>
      <w:r w:rsidR="00EE5E66">
        <w:rPr>
          <w:rFonts w:ascii="Aptos" w:hAnsi="Aptos"/>
          <w:b/>
          <w:color w:val="001B50"/>
          <w:sz w:val="35"/>
          <w:szCs w:val="35"/>
        </w:rPr>
        <w:t>em destaque</w:t>
      </w:r>
    </w:p>
    <w:p w14:paraId="564374E2" w14:textId="3866D006" w:rsidR="00B3025C" w:rsidRPr="00334B3D" w:rsidRDefault="00027976" w:rsidP="00334B3D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both"/>
        <w:rPr>
          <w:b/>
          <w:bCs/>
          <w:sz w:val="20"/>
          <w:szCs w:val="20"/>
        </w:rPr>
      </w:pPr>
      <w:r w:rsidRPr="00334B3D">
        <w:rPr>
          <w:b/>
          <w:bCs/>
          <w:sz w:val="20"/>
          <w:szCs w:val="20"/>
        </w:rPr>
        <w:t>O</w:t>
      </w:r>
      <w:r w:rsidR="00DB5E11" w:rsidRPr="00334B3D">
        <w:rPr>
          <w:b/>
          <w:bCs/>
          <w:sz w:val="20"/>
          <w:szCs w:val="20"/>
        </w:rPr>
        <w:t xml:space="preserve"> RFM </w:t>
      </w:r>
      <w:proofErr w:type="spellStart"/>
      <w:r w:rsidR="00DB5E11" w:rsidRPr="00334B3D">
        <w:rPr>
          <w:b/>
          <w:bCs/>
          <w:sz w:val="20"/>
          <w:szCs w:val="20"/>
        </w:rPr>
        <w:t>Somnii</w:t>
      </w:r>
      <w:proofErr w:type="spellEnd"/>
      <w:r w:rsidR="00DB5E11" w:rsidRPr="00334B3D">
        <w:rPr>
          <w:b/>
          <w:bCs/>
          <w:sz w:val="20"/>
          <w:szCs w:val="20"/>
        </w:rPr>
        <w:t>, na</w:t>
      </w:r>
      <w:r w:rsidRPr="00334B3D">
        <w:rPr>
          <w:b/>
          <w:bCs/>
          <w:sz w:val="20"/>
          <w:szCs w:val="20"/>
        </w:rPr>
        <w:t xml:space="preserve"> Figueira da Foz</w:t>
      </w:r>
      <w:r w:rsidR="00DB5E11" w:rsidRPr="00334B3D">
        <w:rPr>
          <w:b/>
          <w:bCs/>
          <w:sz w:val="20"/>
          <w:szCs w:val="20"/>
        </w:rPr>
        <w:t>,</w:t>
      </w:r>
      <w:r w:rsidRPr="00334B3D">
        <w:rPr>
          <w:b/>
          <w:bCs/>
          <w:sz w:val="20"/>
          <w:szCs w:val="20"/>
        </w:rPr>
        <w:t xml:space="preserve"> regist</w:t>
      </w:r>
      <w:r w:rsidR="00DD0DB3" w:rsidRPr="00334B3D">
        <w:rPr>
          <w:b/>
          <w:bCs/>
          <w:sz w:val="20"/>
          <w:szCs w:val="20"/>
        </w:rPr>
        <w:t>ou</w:t>
      </w:r>
      <w:r w:rsidR="00DB5E11" w:rsidRPr="00334B3D">
        <w:rPr>
          <w:b/>
          <w:bCs/>
          <w:sz w:val="20"/>
          <w:szCs w:val="20"/>
        </w:rPr>
        <w:t xml:space="preserve">, face </w:t>
      </w:r>
      <w:r w:rsidR="00BF1C72" w:rsidRPr="00334B3D">
        <w:rPr>
          <w:b/>
          <w:bCs/>
          <w:sz w:val="20"/>
          <w:szCs w:val="20"/>
        </w:rPr>
        <w:t>à edição</w:t>
      </w:r>
      <w:r w:rsidR="00DB5E11" w:rsidRPr="00334B3D">
        <w:rPr>
          <w:b/>
          <w:bCs/>
          <w:sz w:val="20"/>
          <w:szCs w:val="20"/>
        </w:rPr>
        <w:t xml:space="preserve"> do ano passado, </w:t>
      </w:r>
      <w:r w:rsidRPr="00334B3D">
        <w:rPr>
          <w:b/>
          <w:bCs/>
          <w:sz w:val="20"/>
          <w:szCs w:val="20"/>
        </w:rPr>
        <w:t xml:space="preserve">o maior aumento de </w:t>
      </w:r>
      <w:r w:rsidR="00114B05" w:rsidRPr="00334B3D">
        <w:rPr>
          <w:b/>
          <w:bCs/>
          <w:sz w:val="20"/>
          <w:szCs w:val="20"/>
        </w:rPr>
        <w:t>fatura</w:t>
      </w:r>
      <w:r w:rsidR="009F3139" w:rsidRPr="00334B3D">
        <w:rPr>
          <w:b/>
          <w:bCs/>
          <w:sz w:val="20"/>
          <w:szCs w:val="20"/>
        </w:rPr>
        <w:t>ção</w:t>
      </w:r>
      <w:r w:rsidR="006E33E3" w:rsidRPr="00334B3D">
        <w:rPr>
          <w:b/>
          <w:bCs/>
          <w:sz w:val="20"/>
          <w:szCs w:val="20"/>
        </w:rPr>
        <w:t xml:space="preserve"> </w:t>
      </w:r>
      <w:r w:rsidR="002D2701" w:rsidRPr="00334B3D">
        <w:rPr>
          <w:b/>
          <w:bCs/>
          <w:sz w:val="20"/>
          <w:szCs w:val="20"/>
        </w:rPr>
        <w:t xml:space="preserve">entre os principais festivais </w:t>
      </w:r>
      <w:r w:rsidR="006E33E3" w:rsidRPr="00334B3D">
        <w:rPr>
          <w:b/>
          <w:bCs/>
          <w:sz w:val="20"/>
          <w:szCs w:val="20"/>
        </w:rPr>
        <w:t>este verão</w:t>
      </w:r>
      <w:r w:rsidR="00F663B9" w:rsidRPr="00334B3D">
        <w:rPr>
          <w:b/>
          <w:bCs/>
          <w:sz w:val="20"/>
          <w:szCs w:val="20"/>
        </w:rPr>
        <w:t>,</w:t>
      </w:r>
      <w:r w:rsidR="00BD44C6" w:rsidRPr="00334B3D">
        <w:rPr>
          <w:b/>
          <w:bCs/>
          <w:sz w:val="20"/>
          <w:szCs w:val="20"/>
        </w:rPr>
        <w:t xml:space="preserve"> com uma variação de </w:t>
      </w:r>
      <w:r w:rsidR="00CB1EA5" w:rsidRPr="00334B3D">
        <w:rPr>
          <w:b/>
          <w:bCs/>
          <w:sz w:val="20"/>
          <w:szCs w:val="20"/>
        </w:rPr>
        <w:t>21,81%</w:t>
      </w:r>
      <w:r w:rsidR="00223476" w:rsidRPr="00334B3D">
        <w:rPr>
          <w:b/>
          <w:bCs/>
          <w:sz w:val="20"/>
          <w:szCs w:val="20"/>
        </w:rPr>
        <w:t>.</w:t>
      </w:r>
    </w:p>
    <w:p w14:paraId="253F0506" w14:textId="5B474A3F" w:rsidR="00560D5E" w:rsidRDefault="00291823" w:rsidP="001B77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Já </w:t>
      </w:r>
      <w:r w:rsidR="00EE1B32">
        <w:rPr>
          <w:b/>
          <w:bCs/>
          <w:sz w:val="20"/>
          <w:szCs w:val="20"/>
        </w:rPr>
        <w:t>o EDP Vilar de Mouros</w:t>
      </w:r>
      <w:r w:rsidR="009532E1">
        <w:rPr>
          <w:b/>
          <w:bCs/>
          <w:sz w:val="20"/>
          <w:szCs w:val="20"/>
        </w:rPr>
        <w:t>, em Caminha,</w:t>
      </w:r>
      <w:r w:rsidR="00EE1B32">
        <w:rPr>
          <w:b/>
          <w:bCs/>
          <w:sz w:val="20"/>
          <w:szCs w:val="20"/>
        </w:rPr>
        <w:t xml:space="preserve"> contabilizou o maior </w:t>
      </w:r>
      <w:r w:rsidR="009F3926">
        <w:rPr>
          <w:b/>
          <w:bCs/>
          <w:sz w:val="20"/>
          <w:szCs w:val="20"/>
        </w:rPr>
        <w:t xml:space="preserve">crescimento </w:t>
      </w:r>
      <w:r w:rsidR="00EE1B32">
        <w:rPr>
          <w:b/>
          <w:bCs/>
          <w:sz w:val="20"/>
          <w:szCs w:val="20"/>
        </w:rPr>
        <w:t xml:space="preserve">em termos de </w:t>
      </w:r>
      <w:r w:rsidRPr="004909B2">
        <w:rPr>
          <w:b/>
          <w:bCs/>
          <w:i/>
          <w:iCs/>
          <w:sz w:val="20"/>
          <w:szCs w:val="20"/>
        </w:rPr>
        <w:t>ti</w:t>
      </w:r>
      <w:r w:rsidR="00C74D8F" w:rsidRPr="004909B2">
        <w:rPr>
          <w:b/>
          <w:bCs/>
          <w:i/>
          <w:iCs/>
          <w:sz w:val="20"/>
          <w:szCs w:val="20"/>
        </w:rPr>
        <w:t>cket</w:t>
      </w:r>
      <w:r w:rsidR="00C74D8F">
        <w:rPr>
          <w:b/>
          <w:bCs/>
          <w:sz w:val="20"/>
          <w:szCs w:val="20"/>
        </w:rPr>
        <w:t xml:space="preserve"> médio</w:t>
      </w:r>
      <w:r w:rsidR="00EE1B32">
        <w:rPr>
          <w:b/>
          <w:bCs/>
          <w:sz w:val="20"/>
          <w:szCs w:val="20"/>
        </w:rPr>
        <w:t xml:space="preserve">, com uma subida de 33,73% em comparação com </w:t>
      </w:r>
      <w:r w:rsidR="00315BFD">
        <w:rPr>
          <w:b/>
          <w:bCs/>
          <w:sz w:val="20"/>
          <w:szCs w:val="20"/>
        </w:rPr>
        <w:t xml:space="preserve">o festival de </w:t>
      </w:r>
      <w:r w:rsidR="00EE1B32">
        <w:rPr>
          <w:b/>
          <w:bCs/>
          <w:sz w:val="20"/>
          <w:szCs w:val="20"/>
        </w:rPr>
        <w:t xml:space="preserve">2024, </w:t>
      </w:r>
      <w:r w:rsidR="00182E6E">
        <w:rPr>
          <w:b/>
          <w:bCs/>
          <w:sz w:val="20"/>
          <w:szCs w:val="20"/>
        </w:rPr>
        <w:t>atingindo</w:t>
      </w:r>
      <w:r w:rsidR="009F3926">
        <w:rPr>
          <w:b/>
          <w:bCs/>
          <w:sz w:val="20"/>
          <w:szCs w:val="20"/>
        </w:rPr>
        <w:t xml:space="preserve"> os </w:t>
      </w:r>
      <w:r w:rsidR="00B52024">
        <w:rPr>
          <w:b/>
          <w:bCs/>
          <w:sz w:val="20"/>
          <w:szCs w:val="20"/>
        </w:rPr>
        <w:t>33,91</w:t>
      </w:r>
      <w:r w:rsidR="009F3926">
        <w:rPr>
          <w:b/>
          <w:bCs/>
          <w:sz w:val="20"/>
          <w:szCs w:val="20"/>
        </w:rPr>
        <w:t>€</w:t>
      </w:r>
      <w:r w:rsidR="00AB6C99">
        <w:rPr>
          <w:b/>
          <w:bCs/>
          <w:sz w:val="20"/>
          <w:szCs w:val="20"/>
        </w:rPr>
        <w:t>.</w:t>
      </w:r>
    </w:p>
    <w:p w14:paraId="48AFAB30" w14:textId="49745B22" w:rsidR="00DB4FC6" w:rsidRPr="00204F1B" w:rsidRDefault="00157CD9" w:rsidP="00204F1B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5921F4">
        <w:rPr>
          <w:b/>
        </w:rPr>
        <w:t>16</w:t>
      </w:r>
      <w:r w:rsidR="009532E1">
        <w:rPr>
          <w:b/>
        </w:rPr>
        <w:t xml:space="preserve"> de setembro</w:t>
      </w:r>
      <w:r>
        <w:rPr>
          <w:b/>
        </w:rPr>
        <w:t xml:space="preserve"> de 202</w:t>
      </w:r>
      <w:r w:rsidR="00982F98">
        <w:rPr>
          <w:b/>
        </w:rPr>
        <w:t>5</w:t>
      </w:r>
      <w:r>
        <w:rPr>
          <w:b/>
        </w:rPr>
        <w:t xml:space="preserve"> </w:t>
      </w:r>
      <w:r>
        <w:t xml:space="preserve">– </w:t>
      </w:r>
      <w:r w:rsidR="00DB4FC6" w:rsidRPr="00DB4FC6">
        <w:t xml:space="preserve">Os festivais de música são um dos grandes motores das economias locais durante o verão, ao atraírem milhares de festivaleiros, bem como equipas de produção e artistas. O </w:t>
      </w:r>
      <w:hyperlink r:id="rId11" w:history="1">
        <w:r w:rsidR="00DB4FC6" w:rsidRPr="00D87A34">
          <w:rPr>
            <w:rStyle w:val="Hiperligao"/>
            <w:i/>
            <w:iCs/>
          </w:rPr>
          <w:t>REDUNIQ Insights</w:t>
        </w:r>
      </w:hyperlink>
      <w:r w:rsidR="00DB4FC6" w:rsidRPr="00DB4FC6">
        <w:t xml:space="preserve"> — relatório da REDUNIQ que analisa a evolução dos pagamentos por cartão na sua rede de aceitação — lançou uma edição dedicada ao impacto económico dos principais festivais anuais de verão, com foco no EDP Vilar de Mouros, MEO </w:t>
      </w:r>
      <w:proofErr w:type="spellStart"/>
      <w:r w:rsidR="00DB4FC6" w:rsidRPr="00DB4FC6">
        <w:t>Kalorama</w:t>
      </w:r>
      <w:proofErr w:type="spellEnd"/>
      <w:r w:rsidR="00DB4FC6" w:rsidRPr="00DB4FC6">
        <w:t xml:space="preserve">, MEO Marés Vivas, NOS Alive, Primavera </w:t>
      </w:r>
      <w:proofErr w:type="spellStart"/>
      <w:r w:rsidR="00DB4FC6" w:rsidRPr="00DB4FC6">
        <w:t>Sound</w:t>
      </w:r>
      <w:proofErr w:type="spellEnd"/>
      <w:r w:rsidR="00DB4FC6" w:rsidRPr="00DB4FC6">
        <w:t xml:space="preserve">, RFM </w:t>
      </w:r>
      <w:proofErr w:type="spellStart"/>
      <w:r w:rsidR="00DB4FC6" w:rsidRPr="00DB4FC6">
        <w:t>Somnii</w:t>
      </w:r>
      <w:proofErr w:type="spellEnd"/>
      <w:r w:rsidR="00DB4FC6" w:rsidRPr="00DB4FC6">
        <w:t xml:space="preserve">, Sumol </w:t>
      </w:r>
      <w:proofErr w:type="spellStart"/>
      <w:r w:rsidR="00DB4FC6" w:rsidRPr="00DB4FC6">
        <w:t>Summer</w:t>
      </w:r>
      <w:proofErr w:type="spellEnd"/>
      <w:r w:rsidR="00DB4FC6" w:rsidRPr="00DB4FC6">
        <w:t xml:space="preserve"> </w:t>
      </w:r>
      <w:proofErr w:type="spellStart"/>
      <w:r w:rsidR="00DB4FC6" w:rsidRPr="00DB4FC6">
        <w:t>Fest</w:t>
      </w:r>
      <w:proofErr w:type="spellEnd"/>
      <w:r w:rsidR="00DB4FC6" w:rsidRPr="00DB4FC6">
        <w:t xml:space="preserve"> e Vodafone Paredes de Coura. O estudo comparou os dados de faturação </w:t>
      </w:r>
      <w:r w:rsidR="00DB4FC6">
        <w:t xml:space="preserve">de </w:t>
      </w:r>
      <w:r w:rsidR="00DB4FC6" w:rsidRPr="00DB4FC6">
        <w:t xml:space="preserve">2024 e </w:t>
      </w:r>
      <w:r w:rsidR="00DB4FC6">
        <w:t xml:space="preserve">de </w:t>
      </w:r>
      <w:r w:rsidR="00DB4FC6" w:rsidRPr="00DB4FC6">
        <w:t>2025</w:t>
      </w:r>
      <w:r w:rsidR="00DB4FC6">
        <w:t xml:space="preserve"> </w:t>
      </w:r>
      <w:r w:rsidR="00DB4FC6" w:rsidRPr="00DB4FC6">
        <w:t>d</w:t>
      </w:r>
      <w:r w:rsidR="00BF1C72">
        <w:t>estes</w:t>
      </w:r>
      <w:r w:rsidR="00DB4FC6" w:rsidRPr="00DB4FC6">
        <w:t xml:space="preserve"> festivais, concluindo que o RFM </w:t>
      </w:r>
      <w:proofErr w:type="spellStart"/>
      <w:r w:rsidR="00DB4FC6" w:rsidRPr="00DB4FC6">
        <w:t>Somnii</w:t>
      </w:r>
      <w:proofErr w:type="spellEnd"/>
      <w:r w:rsidR="00DB4FC6" w:rsidRPr="00DB4FC6">
        <w:t xml:space="preserve">, o MEO Marés Vivas e o EDP Vilar de Mouros foram os eventos que mais se destacaram no período estival </w:t>
      </w:r>
      <w:r w:rsidR="00DB5E11">
        <w:t>deste ano</w:t>
      </w:r>
      <w:r w:rsidR="00DB4FC6" w:rsidRPr="00DB4FC6">
        <w:t>.</w:t>
      </w:r>
    </w:p>
    <w:p w14:paraId="5EF7129D" w14:textId="6519421D" w:rsidR="00726DAA" w:rsidRDefault="00513E58" w:rsidP="00014E8C">
      <w:pPr>
        <w:spacing w:after="240" w:line="360" w:lineRule="auto"/>
        <w:jc w:val="both"/>
      </w:pPr>
      <w:r>
        <w:t>N</w:t>
      </w:r>
      <w:r w:rsidR="00014E8C">
        <w:t xml:space="preserve">a Figueira da Foz, o </w:t>
      </w:r>
      <w:r w:rsidR="00014E8C" w:rsidRPr="00513E58">
        <w:rPr>
          <w:b/>
          <w:bCs/>
        </w:rPr>
        <w:t xml:space="preserve">RFM Somnii </w:t>
      </w:r>
      <w:r>
        <w:rPr>
          <w:b/>
          <w:bCs/>
        </w:rPr>
        <w:t xml:space="preserve">liderou o crescimento da faturação, </w:t>
      </w:r>
      <w:r w:rsidRPr="008C57D1">
        <w:t xml:space="preserve">com uma subida </w:t>
      </w:r>
      <w:r w:rsidR="00014E8C" w:rsidRPr="008C57D1">
        <w:t>de 21,81%</w:t>
      </w:r>
      <w:r w:rsidR="00014E8C" w:rsidRPr="00513E58">
        <w:rPr>
          <w:b/>
          <w:bCs/>
        </w:rPr>
        <w:t xml:space="preserve"> </w:t>
      </w:r>
      <w:r w:rsidR="00014E8C">
        <w:t>face ao festival de 2024, com 90% das transações realizadas por consumidores nacionais. Em Vila Nova de Gaia, o MEO Marés Vivas cresceu 12,94%, com o mercado nacional a representar 85% das transações. Já em Caminha, o EDP Vilar de Mouros registou um aumento de 5,20%</w:t>
      </w:r>
      <w:r w:rsidR="000105B3">
        <w:t xml:space="preserve"> das compras</w:t>
      </w:r>
      <w:r w:rsidR="00014E8C">
        <w:t>, impulsionado sobretudo pelo mercado estrangeiro, que cresceu 28,03%.</w:t>
      </w:r>
    </w:p>
    <w:p w14:paraId="7061D75A" w14:textId="4BEEC2EE" w:rsidR="00315BFD" w:rsidRPr="00691E81" w:rsidRDefault="00315BFD" w:rsidP="00014E8C">
      <w:pPr>
        <w:spacing w:after="240" w:line="360" w:lineRule="auto"/>
        <w:jc w:val="both"/>
      </w:pPr>
      <w:r w:rsidRPr="00315BFD">
        <w:t xml:space="preserve">Em termos de </w:t>
      </w:r>
      <w:r w:rsidRPr="00315BFD">
        <w:rPr>
          <w:b/>
          <w:bCs/>
        </w:rPr>
        <w:t>gasto médio por compra</w:t>
      </w:r>
      <w:r w:rsidRPr="00315BFD">
        <w:t xml:space="preserve">, o </w:t>
      </w:r>
      <w:r w:rsidRPr="00315BFD">
        <w:rPr>
          <w:b/>
          <w:bCs/>
        </w:rPr>
        <w:t>EDP Vilar de Mouros</w:t>
      </w:r>
      <w:r w:rsidRPr="00315BFD">
        <w:t xml:space="preserve"> </w:t>
      </w:r>
      <w:r w:rsidRPr="00513E58">
        <w:rPr>
          <w:b/>
          <w:bCs/>
        </w:rPr>
        <w:t xml:space="preserve">destacou-se </w:t>
      </w:r>
      <w:r w:rsidR="000105B3" w:rsidRPr="008C57D1">
        <w:t>com</w:t>
      </w:r>
      <w:r w:rsidRPr="008C57D1">
        <w:t xml:space="preserve"> um aumento de 33,73% face ao festival de 2024, </w:t>
      </w:r>
      <w:r w:rsidR="00EE5E66">
        <w:t>subindo de 25,36€ para</w:t>
      </w:r>
      <w:r w:rsidRPr="008C57D1">
        <w:t xml:space="preserve"> 33,91€. O MEO Marés Vivas r</w:t>
      </w:r>
      <w:r w:rsidRPr="00513E58">
        <w:t>egistou uma subida de 2,82% (</w:t>
      </w:r>
      <w:r w:rsidR="00EE5E66">
        <w:t>35,57€ para</w:t>
      </w:r>
      <w:r w:rsidR="006C5A3E">
        <w:t xml:space="preserve"> </w:t>
      </w:r>
      <w:r w:rsidR="00AB31FF" w:rsidRPr="00513E58">
        <w:t>36</w:t>
      </w:r>
      <w:r w:rsidRPr="00513E58">
        <w:t xml:space="preserve">,58€) e o RFM </w:t>
      </w:r>
      <w:proofErr w:type="spellStart"/>
      <w:r w:rsidRPr="00513E58">
        <w:t>Somnii</w:t>
      </w:r>
      <w:proofErr w:type="spellEnd"/>
      <w:r w:rsidRPr="00513E58">
        <w:t xml:space="preserve"> </w:t>
      </w:r>
      <w:r w:rsidR="00EE5E66">
        <w:t xml:space="preserve">aumentou </w:t>
      </w:r>
      <w:r w:rsidRPr="00513E58">
        <w:t>1,95% (</w:t>
      </w:r>
      <w:r w:rsidR="00EE5E66">
        <w:t xml:space="preserve">25,75€ </w:t>
      </w:r>
      <w:r w:rsidR="000105B3" w:rsidRPr="00513E58">
        <w:t xml:space="preserve">para </w:t>
      </w:r>
      <w:r w:rsidRPr="00513E58">
        <w:t>26,25€).</w:t>
      </w:r>
      <w:r w:rsidRPr="00315BFD">
        <w:t xml:space="preserve"> Os dados </w:t>
      </w:r>
      <w:r w:rsidRPr="00513E58">
        <w:t>do REDUNIQ Insights mos</w:t>
      </w:r>
      <w:r w:rsidRPr="00315BFD">
        <w:t>tram ainda que</w:t>
      </w:r>
      <w:r w:rsidR="00BF1C72">
        <w:t xml:space="preserve">, </w:t>
      </w:r>
      <w:r w:rsidR="00BF1C72" w:rsidRPr="00315BFD">
        <w:t>em todos os festivais</w:t>
      </w:r>
      <w:r w:rsidR="00EE5E66">
        <w:t xml:space="preserve"> analisados</w:t>
      </w:r>
      <w:r w:rsidR="00BF1C72">
        <w:t>,</w:t>
      </w:r>
      <w:r w:rsidRPr="00315BFD">
        <w:t xml:space="preserve"> os </w:t>
      </w:r>
      <w:r w:rsidRPr="00315BFD">
        <w:rPr>
          <w:b/>
          <w:bCs/>
        </w:rPr>
        <w:t>consumidores estrangeiros gasta</w:t>
      </w:r>
      <w:r>
        <w:rPr>
          <w:b/>
          <w:bCs/>
        </w:rPr>
        <w:t>ram</w:t>
      </w:r>
      <w:r w:rsidRPr="00315BFD">
        <w:rPr>
          <w:b/>
          <w:bCs/>
        </w:rPr>
        <w:t>, em média, mais</w:t>
      </w:r>
      <w:r w:rsidRPr="00315BFD">
        <w:t xml:space="preserve"> </w:t>
      </w:r>
      <w:r w:rsidRPr="00513E58">
        <w:rPr>
          <w:b/>
          <w:bCs/>
        </w:rPr>
        <w:t>do que os nacionais</w:t>
      </w:r>
      <w:r w:rsidR="000105B3">
        <w:t xml:space="preserve">. O </w:t>
      </w:r>
      <w:r w:rsidR="000105B3" w:rsidRPr="008C57D1">
        <w:rPr>
          <w:b/>
          <w:bCs/>
        </w:rPr>
        <w:t xml:space="preserve">EDP Vilar de Mouros </w:t>
      </w:r>
      <w:r w:rsidR="00513E58" w:rsidRPr="008C57D1">
        <w:rPr>
          <w:b/>
          <w:bCs/>
        </w:rPr>
        <w:t xml:space="preserve">venceu </w:t>
      </w:r>
      <w:r w:rsidR="000105B3">
        <w:t xml:space="preserve">neste indicador, com um valor de </w:t>
      </w:r>
      <w:r w:rsidRPr="00513E58">
        <w:t>56,40€</w:t>
      </w:r>
      <w:r w:rsidR="00513E58">
        <w:t>, seguindo-se o MEO Marés Vivas (48,64€</w:t>
      </w:r>
      <w:r w:rsidR="00691E81">
        <w:t>)</w:t>
      </w:r>
      <w:r w:rsidR="00513E58">
        <w:t xml:space="preserve"> e o RFM Somnii (34,12€)</w:t>
      </w:r>
      <w:r w:rsidRPr="00315BFD">
        <w:t>. Já o gasto médio nacional cresceu</w:t>
      </w:r>
      <w:r w:rsidR="00513E58">
        <w:t xml:space="preserve"> </w:t>
      </w:r>
      <w:r w:rsidR="007E1E72">
        <w:t>nos trê</w:t>
      </w:r>
      <w:r w:rsidR="00513E58">
        <w:t>s festivais</w:t>
      </w:r>
      <w:r w:rsidRPr="00315BFD">
        <w:t xml:space="preserve">, situando-se entre os </w:t>
      </w:r>
      <w:r w:rsidRPr="00691E81">
        <w:t>25€ e os 33€, consoante o evento.</w:t>
      </w:r>
    </w:p>
    <w:p w14:paraId="492FF9B4" w14:textId="4C727B75" w:rsidR="00886CFC" w:rsidRDefault="00980379" w:rsidP="00FF249C">
      <w:pPr>
        <w:spacing w:after="240" w:line="360" w:lineRule="auto"/>
        <w:jc w:val="both"/>
      </w:pPr>
      <w:r>
        <w:lastRenderedPageBreak/>
        <w:t xml:space="preserve"> </w:t>
      </w:r>
    </w:p>
    <w:p w14:paraId="397294B2" w14:textId="06EC9A8F" w:rsidR="00001154" w:rsidRDefault="00315BFD" w:rsidP="001C3CCA">
      <w:pPr>
        <w:spacing w:after="240" w:line="360" w:lineRule="auto"/>
        <w:jc w:val="both"/>
      </w:pPr>
      <w:r w:rsidRPr="00315BFD">
        <w:rPr>
          <w:b/>
          <w:bCs/>
        </w:rPr>
        <w:t>O gasto médio por cartão</w:t>
      </w:r>
      <w:r w:rsidRPr="00315BFD">
        <w:t xml:space="preserve"> </w:t>
      </w:r>
      <w:r w:rsidRPr="008C57D1">
        <w:rPr>
          <w:b/>
          <w:bCs/>
        </w:rPr>
        <w:t>também aumentou</w:t>
      </w:r>
      <w:r w:rsidRPr="00315BFD">
        <w:t xml:space="preserve">, </w:t>
      </w:r>
      <w:r w:rsidRPr="008C57D1">
        <w:rPr>
          <w:b/>
          <w:bCs/>
        </w:rPr>
        <w:t>com destaque para o EDP Vilar de Mouros</w:t>
      </w:r>
      <w:r w:rsidRPr="00315BFD">
        <w:t xml:space="preserve">, que registou uma subida de 24,40%, atingindo os 45,14€. Seguiram-se o MEO Marés Vivas (53,41€, +3,63%) e o RFM Somnii (38,37€, +1,72%). </w:t>
      </w:r>
    </w:p>
    <w:p w14:paraId="35FA8F5A" w14:textId="3DF213BA" w:rsidR="00DB4FC6" w:rsidRDefault="000D5699" w:rsidP="00204F1B">
      <w:pPr>
        <w:spacing w:after="240" w:line="360" w:lineRule="auto"/>
        <w:jc w:val="both"/>
      </w:pPr>
      <w:r w:rsidRPr="000D5699">
        <w:t xml:space="preserve">O EDP Vilar de Mouros destacou-se como o festival com maior crescimento, tanto no mercado nacional como </w:t>
      </w:r>
      <w:r w:rsidR="00DA35F0" w:rsidRPr="000D5699">
        <w:t>internacional,</w:t>
      </w:r>
      <w:r w:rsidR="00DA35F0">
        <w:t xml:space="preserve"> com o gasto médio por cartão dos festivaleiros nacionais a subir de 34,60€ para 39,45€</w:t>
      </w:r>
      <w:r w:rsidRPr="000D5699">
        <w:t xml:space="preserve"> </w:t>
      </w:r>
      <w:r w:rsidR="00DA35F0">
        <w:t>e</w:t>
      </w:r>
      <w:r w:rsidRPr="000D5699">
        <w:t xml:space="preserve"> os estrangeiros a registarem um </w:t>
      </w:r>
      <w:r>
        <w:t>aumento</w:t>
      </w:r>
      <w:r w:rsidRPr="000D5699">
        <w:t xml:space="preserve"> de</w:t>
      </w:r>
      <w:r>
        <w:t xml:space="preserve"> 42,84€ para</w:t>
      </w:r>
      <w:r w:rsidRPr="000D5699">
        <w:t xml:space="preserve"> 69,10€. </w:t>
      </w:r>
    </w:p>
    <w:p w14:paraId="1BBBB7D9" w14:textId="12D5FA93" w:rsidR="00AC0F56" w:rsidRPr="00204F1B" w:rsidRDefault="00AC0F56" w:rsidP="00204F1B">
      <w:pPr>
        <w:spacing w:after="240" w:line="360" w:lineRule="auto"/>
        <w:jc w:val="both"/>
      </w:pPr>
      <w:r w:rsidRPr="00AC0F56">
        <w:t xml:space="preserve">No que respeita às nacionalidades com maior expressão na faturação, o MEO Marés Vivas destacou-se como o festival com maior diversidade de visitantes, reunindo em Vila Nova de Gaia representantes de 116 países. Os Estados Unidos, o Reino Unido e a França lideraram a faturação internacional, com especial destaque para o crescimento de 42,44% dos turistas norte-americanos. Já o RFM </w:t>
      </w:r>
      <w:proofErr w:type="spellStart"/>
      <w:r w:rsidRPr="00AC0F56">
        <w:t>Somnii</w:t>
      </w:r>
      <w:proofErr w:type="spellEnd"/>
      <w:r w:rsidRPr="00AC0F56">
        <w:t xml:space="preserve">, na Figueira da Foz, recebeu visitantes de 72 </w:t>
      </w:r>
      <w:r>
        <w:t xml:space="preserve">países. </w:t>
      </w:r>
      <w:r w:rsidRPr="00AC0F56">
        <w:t xml:space="preserve"> </w:t>
      </w:r>
      <w:r>
        <w:t>O pódio foi liderado pelo Luxemburgo, seguido da França e, em terceiro lugar, a Irlanda, que se destacou pelo seu forte crescimento</w:t>
      </w:r>
      <w:r w:rsidRPr="00AC0F56">
        <w:t xml:space="preserve"> </w:t>
      </w:r>
      <w:r>
        <w:t>(+</w:t>
      </w:r>
      <w:r w:rsidRPr="00AC0F56">
        <w:t>75,49%</w:t>
      </w:r>
      <w:r>
        <w:t>)</w:t>
      </w:r>
      <w:r w:rsidRPr="00AC0F56">
        <w:t>. Por sua vez, o EDP Vilar de Mouros contou com turistas oriundos de 39 países, com Espanha</w:t>
      </w:r>
      <w:r>
        <w:t xml:space="preserve"> (28,99%)</w:t>
      </w:r>
      <w:r w:rsidRPr="00AC0F56">
        <w:t xml:space="preserve"> Irlanda</w:t>
      </w:r>
      <w:r>
        <w:t xml:space="preserve"> (27,80%) </w:t>
      </w:r>
      <w:r w:rsidRPr="00AC0F56">
        <w:t xml:space="preserve">e França </w:t>
      </w:r>
      <w:r>
        <w:t xml:space="preserve">(16,94%) </w:t>
      </w:r>
      <w:r w:rsidRPr="00AC0F56">
        <w:t>a registarem os maiores volumes de faturação estrangeira.</w:t>
      </w:r>
    </w:p>
    <w:p w14:paraId="4FDDD19D" w14:textId="4BAB9848" w:rsidR="00C9444A" w:rsidRDefault="00FB31F9" w:rsidP="00204F1B">
      <w:pPr>
        <w:spacing w:after="240" w:line="360" w:lineRule="auto"/>
        <w:jc w:val="both"/>
      </w:pPr>
      <w:r>
        <w:t xml:space="preserve">Na </w:t>
      </w:r>
      <w:r w:rsidRPr="00A67593">
        <w:rPr>
          <w:b/>
          <w:bCs/>
        </w:rPr>
        <w:t>faturação p</w:t>
      </w:r>
      <w:r w:rsidR="0073779D" w:rsidRPr="00A67593">
        <w:rPr>
          <w:b/>
          <w:bCs/>
        </w:rPr>
        <w:t>or setor</w:t>
      </w:r>
      <w:r w:rsidR="0073779D">
        <w:t xml:space="preserve">, </w:t>
      </w:r>
      <w:r w:rsidR="0073779D" w:rsidRPr="0073779D">
        <w:t xml:space="preserve">os </w:t>
      </w:r>
      <w:r w:rsidR="0073779D" w:rsidRPr="008C57D1">
        <w:rPr>
          <w:b/>
          <w:bCs/>
        </w:rPr>
        <w:t>hotéis</w:t>
      </w:r>
      <w:r w:rsidRPr="008C57D1">
        <w:rPr>
          <w:b/>
          <w:bCs/>
        </w:rPr>
        <w:t xml:space="preserve"> da Figueira da Foz</w:t>
      </w:r>
      <w:r w:rsidR="0073779D" w:rsidRPr="0073779D">
        <w:t xml:space="preserve"> tiveram uma variação </w:t>
      </w:r>
      <w:r w:rsidR="00F650E6">
        <w:t>positiva em</w:t>
      </w:r>
      <w:r w:rsidR="0073779D" w:rsidRPr="0073779D">
        <w:t xml:space="preserve"> 65,81%, as gasolineiras 30,89%, a </w:t>
      </w:r>
      <w:r w:rsidR="004226DC">
        <w:t>r</w:t>
      </w:r>
      <w:r w:rsidR="0073779D" w:rsidRPr="0073779D">
        <w:t>estauração 28,76% e os supermercados 22,23%.</w:t>
      </w:r>
      <w:r w:rsidR="00D14536">
        <w:t xml:space="preserve"> </w:t>
      </w:r>
      <w:r w:rsidR="00D14536" w:rsidRPr="008C57D1">
        <w:rPr>
          <w:b/>
          <w:bCs/>
        </w:rPr>
        <w:t>E</w:t>
      </w:r>
      <w:r w:rsidR="004226DC" w:rsidRPr="008C57D1">
        <w:rPr>
          <w:b/>
          <w:bCs/>
        </w:rPr>
        <w:t>m</w:t>
      </w:r>
      <w:r w:rsidR="00D14536" w:rsidRPr="008C57D1">
        <w:rPr>
          <w:b/>
          <w:bCs/>
        </w:rPr>
        <w:t xml:space="preserve"> Vila Nova de Gaia, destaque para</w:t>
      </w:r>
      <w:r w:rsidR="00D14536">
        <w:t xml:space="preserve"> </w:t>
      </w:r>
      <w:r w:rsidR="00F650E6">
        <w:t xml:space="preserve">o aumento da faturação </w:t>
      </w:r>
      <w:r w:rsidR="00D14536">
        <w:t xml:space="preserve">nas </w:t>
      </w:r>
      <w:r w:rsidR="004226DC" w:rsidRPr="008C57D1">
        <w:rPr>
          <w:b/>
          <w:bCs/>
        </w:rPr>
        <w:t>g</w:t>
      </w:r>
      <w:r w:rsidR="00D14536" w:rsidRPr="008C57D1">
        <w:rPr>
          <w:b/>
          <w:bCs/>
        </w:rPr>
        <w:t>asolineiras</w:t>
      </w:r>
      <w:r w:rsidR="00D14536">
        <w:t xml:space="preserve"> (</w:t>
      </w:r>
      <w:r w:rsidR="00D14536" w:rsidRPr="00D14536">
        <w:t>23,61%</w:t>
      </w:r>
      <w:r w:rsidR="00D14536">
        <w:t xml:space="preserve">), </w:t>
      </w:r>
      <w:r w:rsidR="00F650E6">
        <w:t xml:space="preserve">seguindo-se os </w:t>
      </w:r>
      <w:r w:rsidR="004226DC">
        <w:t>s</w:t>
      </w:r>
      <w:r w:rsidR="00D14536">
        <w:t>upermercados (</w:t>
      </w:r>
      <w:r w:rsidR="00D14536" w:rsidRPr="00D14536">
        <w:t>variação da faturação de 12,55%</w:t>
      </w:r>
      <w:r w:rsidR="00D14536">
        <w:t xml:space="preserve">), </w:t>
      </w:r>
      <w:r w:rsidR="004226DC">
        <w:t>r</w:t>
      </w:r>
      <w:r w:rsidR="00D14536" w:rsidRPr="00D14536">
        <w:t xml:space="preserve">estauração </w:t>
      </w:r>
      <w:r w:rsidR="00D14536">
        <w:t>(</w:t>
      </w:r>
      <w:r w:rsidR="00D14536" w:rsidRPr="00D14536">
        <w:t>5,83%</w:t>
      </w:r>
      <w:r w:rsidR="00D14536">
        <w:t>) e hotéis (</w:t>
      </w:r>
      <w:r w:rsidR="00D14536" w:rsidRPr="00D14536">
        <w:t>3,27%</w:t>
      </w:r>
      <w:r w:rsidR="00D14536">
        <w:t>)</w:t>
      </w:r>
      <w:r w:rsidR="00D14536" w:rsidRPr="00D14536">
        <w:t>.</w:t>
      </w:r>
      <w:r w:rsidR="00F650E6">
        <w:t xml:space="preserve"> </w:t>
      </w:r>
      <w:r w:rsidR="00167D8F">
        <w:t>Por fim</w:t>
      </w:r>
      <w:r w:rsidR="00C9444A">
        <w:t xml:space="preserve">, </w:t>
      </w:r>
      <w:r w:rsidR="00C9444A" w:rsidRPr="008C57D1">
        <w:rPr>
          <w:b/>
          <w:bCs/>
        </w:rPr>
        <w:t xml:space="preserve">em Caminha, </w:t>
      </w:r>
      <w:r w:rsidR="00F650E6" w:rsidRPr="008C57D1">
        <w:rPr>
          <w:b/>
          <w:bCs/>
        </w:rPr>
        <w:t xml:space="preserve">a faturação dos </w:t>
      </w:r>
      <w:r w:rsidR="00C9444A" w:rsidRPr="008C57D1">
        <w:rPr>
          <w:b/>
          <w:bCs/>
        </w:rPr>
        <w:t xml:space="preserve">hotéis </w:t>
      </w:r>
      <w:r w:rsidR="00F650E6" w:rsidRPr="008C57D1">
        <w:rPr>
          <w:b/>
          <w:bCs/>
        </w:rPr>
        <w:t>cresceu</w:t>
      </w:r>
      <w:r w:rsidR="00C9444A" w:rsidRPr="008C57D1">
        <w:rPr>
          <w:b/>
          <w:bCs/>
        </w:rPr>
        <w:t xml:space="preserve"> 30,74%,</w:t>
      </w:r>
      <w:r w:rsidR="00C9444A" w:rsidRPr="00C9444A">
        <w:t xml:space="preserve"> a restauração 14,97%, as gasolineiras 11,48% e os supermercados 8,48%.</w:t>
      </w:r>
    </w:p>
    <w:p w14:paraId="21FA2416" w14:textId="3AB3F48D" w:rsidR="00D0570C" w:rsidRPr="00D0570C" w:rsidRDefault="00D0570C" w:rsidP="00D0570C">
      <w:pPr>
        <w:spacing w:after="240" w:line="360" w:lineRule="auto"/>
        <w:jc w:val="both"/>
      </w:pPr>
      <w:r w:rsidRPr="00790BCE">
        <w:rPr>
          <w:i/>
          <w:iCs/>
        </w:rPr>
        <w:t>"Na UNICRE, acreditamos que conhecimento gera crescimento e é por isso que a nossa equipa se dedica a estas análises. Estudos como este são fundamentais para compreender o comportamento dos consumidores e antecipar tendências de mercado, permitindo não só aos nossos clientes e parceiros, como a diferentes empresas e entidades públicas, tomar decisões mais informadas, posicionar-se estrategicamente e planear o futuro com confiança”,</w:t>
      </w:r>
      <w:r>
        <w:t xml:space="preserve"> afirma </w:t>
      </w:r>
      <w:r w:rsidRPr="00790BCE">
        <w:rPr>
          <w:b/>
          <w:bCs/>
        </w:rPr>
        <w:t>Tiago Oom</w:t>
      </w:r>
      <w:r>
        <w:t>, Diretor Comercial da UNICRE.</w:t>
      </w:r>
    </w:p>
    <w:p w14:paraId="0E3BB4EC" w14:textId="77777777" w:rsidR="00CD45D9" w:rsidRPr="00C9444A" w:rsidRDefault="00CD45D9" w:rsidP="00204F1B">
      <w:pPr>
        <w:spacing w:after="240" w:line="360" w:lineRule="auto"/>
        <w:jc w:val="both"/>
      </w:pPr>
    </w:p>
    <w:p w14:paraId="4D6FD8B5" w14:textId="77777777" w:rsidR="00FF249C" w:rsidRDefault="00FF249C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7C45FB1B" w14:textId="77777777" w:rsidR="00334439" w:rsidRDefault="0033443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77CC707D" w14:textId="77777777" w:rsidR="00334439" w:rsidRDefault="0033443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50DD8D0A" w14:textId="23BF2A74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2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3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acquirer português e marca da UNICRE responsável por disponibilizar 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>Lift Consulting</w:t>
      </w:r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4" w:history="1">
        <w:r w:rsidRPr="00FC3851">
          <w:rPr>
            <w:rStyle w:val="Hiperligao"/>
            <w:sz w:val="20"/>
            <w:szCs w:val="20"/>
          </w:rPr>
          <w:t xml:space="preserve">patricia.afonso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6FF9C86A" w14:textId="2752D571" w:rsidR="003321D9" w:rsidRPr="00204F1B" w:rsidRDefault="003321D9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3321D9" w:rsidRPr="00204F1B" w:rsidSect="00C906F1">
      <w:headerReference w:type="default" r:id="rId15"/>
      <w:footerReference w:type="default" r:id="rId16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9B56B" w14:textId="77777777" w:rsidR="00B10E9C" w:rsidRDefault="00B10E9C">
      <w:pPr>
        <w:spacing w:after="0" w:line="240" w:lineRule="auto"/>
      </w:pPr>
      <w:r>
        <w:separator/>
      </w:r>
    </w:p>
  </w:endnote>
  <w:endnote w:type="continuationSeparator" w:id="0">
    <w:p w14:paraId="59FAFEF4" w14:textId="77777777" w:rsidR="00B10E9C" w:rsidRDefault="00B10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EF9B0755-F65D-447D-B7C1-BC98939C04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45BFE4-953E-419A-AB14-840C01210D0A}"/>
    <w:embedBold r:id="rId3" w:fontKey="{11FB470D-075B-454C-BBBE-1A9E9CD84428}"/>
    <w:embedItalic r:id="rId4" w:fontKey="{EE4D73C1-80D2-4267-A5EE-4E544C6F0736}"/>
    <w:embedBoldItalic r:id="rId5" w:fontKey="{BC817C68-292F-438D-B36C-DA8269D59A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6BD2DF-CD80-462E-A316-3558F8A1A3B6}"/>
    <w:embedItalic r:id="rId7" w:fontKey="{AEC7D26E-E43E-43B4-B7BA-5CF03787D7A6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2F25892D-E413-406A-B5EE-E2A8FC6003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1C37DB1-9AA8-4B9C-9058-69A3956B6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F44BC" w14:textId="77777777" w:rsidR="00B10E9C" w:rsidRDefault="00B10E9C">
      <w:pPr>
        <w:spacing w:after="0" w:line="240" w:lineRule="auto"/>
      </w:pPr>
      <w:r>
        <w:separator/>
      </w:r>
    </w:p>
  </w:footnote>
  <w:footnote w:type="continuationSeparator" w:id="0">
    <w:p w14:paraId="4838E18E" w14:textId="77777777" w:rsidR="00B10E9C" w:rsidRDefault="00B10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E65D1"/>
    <w:multiLevelType w:val="hybridMultilevel"/>
    <w:tmpl w:val="91DE60C0"/>
    <w:lvl w:ilvl="0" w:tplc="DAD48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5"/>
  </w:num>
  <w:num w:numId="2" w16cid:durableId="1497913607">
    <w:abstractNumId w:val="1"/>
  </w:num>
  <w:num w:numId="3" w16cid:durableId="293339717">
    <w:abstractNumId w:val="2"/>
  </w:num>
  <w:num w:numId="4" w16cid:durableId="1773819669">
    <w:abstractNumId w:val="0"/>
  </w:num>
  <w:num w:numId="5" w16cid:durableId="1318150260">
    <w:abstractNumId w:val="4"/>
  </w:num>
  <w:num w:numId="6" w16cid:durableId="1463814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1154"/>
    <w:rsid w:val="000105B3"/>
    <w:rsid w:val="00010E93"/>
    <w:rsid w:val="00014353"/>
    <w:rsid w:val="00014E8C"/>
    <w:rsid w:val="00015CCF"/>
    <w:rsid w:val="0001754C"/>
    <w:rsid w:val="000213AE"/>
    <w:rsid w:val="000263B3"/>
    <w:rsid w:val="00027976"/>
    <w:rsid w:val="0003576A"/>
    <w:rsid w:val="00040C99"/>
    <w:rsid w:val="000529E6"/>
    <w:rsid w:val="0005382D"/>
    <w:rsid w:val="00064FF9"/>
    <w:rsid w:val="00065FAA"/>
    <w:rsid w:val="0006660F"/>
    <w:rsid w:val="000678CB"/>
    <w:rsid w:val="00073586"/>
    <w:rsid w:val="00073BF8"/>
    <w:rsid w:val="0007573B"/>
    <w:rsid w:val="000763D7"/>
    <w:rsid w:val="0008539D"/>
    <w:rsid w:val="0008592B"/>
    <w:rsid w:val="0009058A"/>
    <w:rsid w:val="00095C95"/>
    <w:rsid w:val="000A5FD5"/>
    <w:rsid w:val="000C05E3"/>
    <w:rsid w:val="000C2698"/>
    <w:rsid w:val="000C3E7B"/>
    <w:rsid w:val="000C42C4"/>
    <w:rsid w:val="000C63F8"/>
    <w:rsid w:val="000D5699"/>
    <w:rsid w:val="000E6828"/>
    <w:rsid w:val="000F2F6B"/>
    <w:rsid w:val="000F7796"/>
    <w:rsid w:val="0010262B"/>
    <w:rsid w:val="00102730"/>
    <w:rsid w:val="001045AA"/>
    <w:rsid w:val="00114B05"/>
    <w:rsid w:val="00117604"/>
    <w:rsid w:val="001215B2"/>
    <w:rsid w:val="00125A59"/>
    <w:rsid w:val="00127560"/>
    <w:rsid w:val="00130DBD"/>
    <w:rsid w:val="0013569D"/>
    <w:rsid w:val="001504BC"/>
    <w:rsid w:val="001510F1"/>
    <w:rsid w:val="00157CD9"/>
    <w:rsid w:val="00162631"/>
    <w:rsid w:val="001627F9"/>
    <w:rsid w:val="00167D8F"/>
    <w:rsid w:val="00170762"/>
    <w:rsid w:val="00171E57"/>
    <w:rsid w:val="00172F11"/>
    <w:rsid w:val="00173201"/>
    <w:rsid w:val="001737CC"/>
    <w:rsid w:val="0017429E"/>
    <w:rsid w:val="001825CB"/>
    <w:rsid w:val="00182E6E"/>
    <w:rsid w:val="00192547"/>
    <w:rsid w:val="00196048"/>
    <w:rsid w:val="001971AD"/>
    <w:rsid w:val="001A1897"/>
    <w:rsid w:val="001A7134"/>
    <w:rsid w:val="001B531A"/>
    <w:rsid w:val="001B63B6"/>
    <w:rsid w:val="001B779D"/>
    <w:rsid w:val="001C3CCA"/>
    <w:rsid w:val="001D5750"/>
    <w:rsid w:val="001D715D"/>
    <w:rsid w:val="001F4F2C"/>
    <w:rsid w:val="002025DB"/>
    <w:rsid w:val="00204F1B"/>
    <w:rsid w:val="00207DF8"/>
    <w:rsid w:val="00223476"/>
    <w:rsid w:val="00227AAD"/>
    <w:rsid w:val="00233203"/>
    <w:rsid w:val="00235E93"/>
    <w:rsid w:val="00247ADD"/>
    <w:rsid w:val="002578E8"/>
    <w:rsid w:val="00260109"/>
    <w:rsid w:val="0026274F"/>
    <w:rsid w:val="00281E73"/>
    <w:rsid w:val="00291823"/>
    <w:rsid w:val="00291B63"/>
    <w:rsid w:val="002922E9"/>
    <w:rsid w:val="00295363"/>
    <w:rsid w:val="002969AB"/>
    <w:rsid w:val="002A248E"/>
    <w:rsid w:val="002A782F"/>
    <w:rsid w:val="002B2D30"/>
    <w:rsid w:val="002B565F"/>
    <w:rsid w:val="002C10E9"/>
    <w:rsid w:val="002C46CE"/>
    <w:rsid w:val="002D2677"/>
    <w:rsid w:val="002D2701"/>
    <w:rsid w:val="002D59A6"/>
    <w:rsid w:val="002D5B7B"/>
    <w:rsid w:val="002E2409"/>
    <w:rsid w:val="002E65E0"/>
    <w:rsid w:val="002F2DF8"/>
    <w:rsid w:val="002F723B"/>
    <w:rsid w:val="003048F6"/>
    <w:rsid w:val="00305F0F"/>
    <w:rsid w:val="003064CF"/>
    <w:rsid w:val="00311C6C"/>
    <w:rsid w:val="00315BFD"/>
    <w:rsid w:val="00322457"/>
    <w:rsid w:val="00325125"/>
    <w:rsid w:val="00327B64"/>
    <w:rsid w:val="00327FDB"/>
    <w:rsid w:val="0033113E"/>
    <w:rsid w:val="003321D9"/>
    <w:rsid w:val="003334FD"/>
    <w:rsid w:val="00334439"/>
    <w:rsid w:val="00334B3D"/>
    <w:rsid w:val="00334FC4"/>
    <w:rsid w:val="00342126"/>
    <w:rsid w:val="00345B06"/>
    <w:rsid w:val="00354418"/>
    <w:rsid w:val="0035752F"/>
    <w:rsid w:val="00362A8D"/>
    <w:rsid w:val="0036391B"/>
    <w:rsid w:val="00377C2C"/>
    <w:rsid w:val="00383883"/>
    <w:rsid w:val="0038475A"/>
    <w:rsid w:val="00385694"/>
    <w:rsid w:val="003862CF"/>
    <w:rsid w:val="00390B14"/>
    <w:rsid w:val="0039505C"/>
    <w:rsid w:val="0039759B"/>
    <w:rsid w:val="003A05A0"/>
    <w:rsid w:val="003A06B2"/>
    <w:rsid w:val="003A3C27"/>
    <w:rsid w:val="003D64FB"/>
    <w:rsid w:val="003E06A6"/>
    <w:rsid w:val="003E44AE"/>
    <w:rsid w:val="003F52B8"/>
    <w:rsid w:val="00401DAE"/>
    <w:rsid w:val="0040429E"/>
    <w:rsid w:val="00406E12"/>
    <w:rsid w:val="0041777E"/>
    <w:rsid w:val="004226DC"/>
    <w:rsid w:val="00423B83"/>
    <w:rsid w:val="00425B82"/>
    <w:rsid w:val="00425BC4"/>
    <w:rsid w:val="00456BB1"/>
    <w:rsid w:val="00464210"/>
    <w:rsid w:val="00470785"/>
    <w:rsid w:val="0047301B"/>
    <w:rsid w:val="004755AE"/>
    <w:rsid w:val="004817A9"/>
    <w:rsid w:val="00484A1D"/>
    <w:rsid w:val="004909B2"/>
    <w:rsid w:val="00491081"/>
    <w:rsid w:val="004915DD"/>
    <w:rsid w:val="00493CEF"/>
    <w:rsid w:val="004A0844"/>
    <w:rsid w:val="004A450A"/>
    <w:rsid w:val="004A5FA4"/>
    <w:rsid w:val="004B1119"/>
    <w:rsid w:val="004B34D8"/>
    <w:rsid w:val="004B3A30"/>
    <w:rsid w:val="004B6B50"/>
    <w:rsid w:val="004B728C"/>
    <w:rsid w:val="004D078E"/>
    <w:rsid w:val="004D6872"/>
    <w:rsid w:val="004D6D23"/>
    <w:rsid w:val="004F13ED"/>
    <w:rsid w:val="004F1F50"/>
    <w:rsid w:val="005135EA"/>
    <w:rsid w:val="00513E58"/>
    <w:rsid w:val="00517502"/>
    <w:rsid w:val="00517FA9"/>
    <w:rsid w:val="00521EB9"/>
    <w:rsid w:val="00530B2F"/>
    <w:rsid w:val="00534273"/>
    <w:rsid w:val="00535119"/>
    <w:rsid w:val="00545E50"/>
    <w:rsid w:val="005534AA"/>
    <w:rsid w:val="00554415"/>
    <w:rsid w:val="00560413"/>
    <w:rsid w:val="00560D5E"/>
    <w:rsid w:val="00560E4D"/>
    <w:rsid w:val="005624C6"/>
    <w:rsid w:val="00566893"/>
    <w:rsid w:val="00572181"/>
    <w:rsid w:val="005739DA"/>
    <w:rsid w:val="0057446F"/>
    <w:rsid w:val="00576BAD"/>
    <w:rsid w:val="00577998"/>
    <w:rsid w:val="00583BE0"/>
    <w:rsid w:val="005903D9"/>
    <w:rsid w:val="005921F4"/>
    <w:rsid w:val="00592823"/>
    <w:rsid w:val="005938CE"/>
    <w:rsid w:val="00595843"/>
    <w:rsid w:val="00595AE8"/>
    <w:rsid w:val="00595D73"/>
    <w:rsid w:val="005B4C0F"/>
    <w:rsid w:val="005B6426"/>
    <w:rsid w:val="005B6F87"/>
    <w:rsid w:val="005C417C"/>
    <w:rsid w:val="005D1547"/>
    <w:rsid w:val="005D416B"/>
    <w:rsid w:val="005F14A5"/>
    <w:rsid w:val="005F1C25"/>
    <w:rsid w:val="005F6E75"/>
    <w:rsid w:val="00600195"/>
    <w:rsid w:val="00602ED9"/>
    <w:rsid w:val="006155FE"/>
    <w:rsid w:val="00632D1D"/>
    <w:rsid w:val="00644C90"/>
    <w:rsid w:val="0065762D"/>
    <w:rsid w:val="00657B93"/>
    <w:rsid w:val="00676203"/>
    <w:rsid w:val="006806EC"/>
    <w:rsid w:val="0068075A"/>
    <w:rsid w:val="00684126"/>
    <w:rsid w:val="00684960"/>
    <w:rsid w:val="00691E81"/>
    <w:rsid w:val="006A16EE"/>
    <w:rsid w:val="006B50CA"/>
    <w:rsid w:val="006B5AE9"/>
    <w:rsid w:val="006C1E58"/>
    <w:rsid w:val="006C1EBE"/>
    <w:rsid w:val="006C5A3E"/>
    <w:rsid w:val="006C66F0"/>
    <w:rsid w:val="006D18B6"/>
    <w:rsid w:val="006D313E"/>
    <w:rsid w:val="006D37D3"/>
    <w:rsid w:val="006E33E3"/>
    <w:rsid w:val="006E3FE7"/>
    <w:rsid w:val="006E402A"/>
    <w:rsid w:val="006E48F6"/>
    <w:rsid w:val="00705451"/>
    <w:rsid w:val="00707702"/>
    <w:rsid w:val="00726DAA"/>
    <w:rsid w:val="0073004C"/>
    <w:rsid w:val="00734466"/>
    <w:rsid w:val="0073678F"/>
    <w:rsid w:val="0073779D"/>
    <w:rsid w:val="00752847"/>
    <w:rsid w:val="0075470E"/>
    <w:rsid w:val="00756B53"/>
    <w:rsid w:val="00756F91"/>
    <w:rsid w:val="00757894"/>
    <w:rsid w:val="0076109E"/>
    <w:rsid w:val="00762857"/>
    <w:rsid w:val="0076388A"/>
    <w:rsid w:val="00765CCB"/>
    <w:rsid w:val="00767F89"/>
    <w:rsid w:val="00773E07"/>
    <w:rsid w:val="0077576C"/>
    <w:rsid w:val="007759C9"/>
    <w:rsid w:val="00777310"/>
    <w:rsid w:val="007775C6"/>
    <w:rsid w:val="00790BCE"/>
    <w:rsid w:val="00791A2D"/>
    <w:rsid w:val="007A1D41"/>
    <w:rsid w:val="007A5D89"/>
    <w:rsid w:val="007B37DE"/>
    <w:rsid w:val="007D2BFD"/>
    <w:rsid w:val="007D47E1"/>
    <w:rsid w:val="007D7646"/>
    <w:rsid w:val="007E1E72"/>
    <w:rsid w:val="007E3A24"/>
    <w:rsid w:val="007E4EE9"/>
    <w:rsid w:val="007E5B7B"/>
    <w:rsid w:val="007E5CBC"/>
    <w:rsid w:val="007E662B"/>
    <w:rsid w:val="007F1C82"/>
    <w:rsid w:val="00801182"/>
    <w:rsid w:val="0080118F"/>
    <w:rsid w:val="00801D2B"/>
    <w:rsid w:val="0080733E"/>
    <w:rsid w:val="00820D65"/>
    <w:rsid w:val="00822B4A"/>
    <w:rsid w:val="0082477B"/>
    <w:rsid w:val="00824C96"/>
    <w:rsid w:val="008328AF"/>
    <w:rsid w:val="00834322"/>
    <w:rsid w:val="008365A9"/>
    <w:rsid w:val="00836BF9"/>
    <w:rsid w:val="008443F7"/>
    <w:rsid w:val="00863CD1"/>
    <w:rsid w:val="00864E9B"/>
    <w:rsid w:val="0086703C"/>
    <w:rsid w:val="008701BF"/>
    <w:rsid w:val="00884870"/>
    <w:rsid w:val="00886CFC"/>
    <w:rsid w:val="00891B57"/>
    <w:rsid w:val="00895635"/>
    <w:rsid w:val="008A1A4F"/>
    <w:rsid w:val="008A5E77"/>
    <w:rsid w:val="008A64E2"/>
    <w:rsid w:val="008C054B"/>
    <w:rsid w:val="008C57D1"/>
    <w:rsid w:val="008C72FD"/>
    <w:rsid w:val="008C7E19"/>
    <w:rsid w:val="008D544C"/>
    <w:rsid w:val="008D5694"/>
    <w:rsid w:val="008D73C7"/>
    <w:rsid w:val="008E2DFD"/>
    <w:rsid w:val="0090236B"/>
    <w:rsid w:val="0091457B"/>
    <w:rsid w:val="0092140E"/>
    <w:rsid w:val="00922D3E"/>
    <w:rsid w:val="0092543E"/>
    <w:rsid w:val="00935EC0"/>
    <w:rsid w:val="00936C38"/>
    <w:rsid w:val="00944C50"/>
    <w:rsid w:val="0094763F"/>
    <w:rsid w:val="009532E1"/>
    <w:rsid w:val="00953CE8"/>
    <w:rsid w:val="00954941"/>
    <w:rsid w:val="00960886"/>
    <w:rsid w:val="009617E3"/>
    <w:rsid w:val="00963694"/>
    <w:rsid w:val="0096412F"/>
    <w:rsid w:val="00964CE8"/>
    <w:rsid w:val="0097393B"/>
    <w:rsid w:val="00980379"/>
    <w:rsid w:val="009818AB"/>
    <w:rsid w:val="00982F98"/>
    <w:rsid w:val="00983BDE"/>
    <w:rsid w:val="00985C81"/>
    <w:rsid w:val="00987F50"/>
    <w:rsid w:val="00996EF4"/>
    <w:rsid w:val="009A1391"/>
    <w:rsid w:val="009A1767"/>
    <w:rsid w:val="009A481A"/>
    <w:rsid w:val="009C1B54"/>
    <w:rsid w:val="009C3C63"/>
    <w:rsid w:val="009C41A3"/>
    <w:rsid w:val="009C7CD3"/>
    <w:rsid w:val="009D4B74"/>
    <w:rsid w:val="009D76CD"/>
    <w:rsid w:val="009E06D1"/>
    <w:rsid w:val="009E72FF"/>
    <w:rsid w:val="009F2136"/>
    <w:rsid w:val="009F2ADA"/>
    <w:rsid w:val="009F3139"/>
    <w:rsid w:val="009F3926"/>
    <w:rsid w:val="00A12530"/>
    <w:rsid w:val="00A14817"/>
    <w:rsid w:val="00A14B34"/>
    <w:rsid w:val="00A17200"/>
    <w:rsid w:val="00A21247"/>
    <w:rsid w:val="00A23339"/>
    <w:rsid w:val="00A35E59"/>
    <w:rsid w:val="00A37D0E"/>
    <w:rsid w:val="00A453E4"/>
    <w:rsid w:val="00A5015D"/>
    <w:rsid w:val="00A5086C"/>
    <w:rsid w:val="00A50A52"/>
    <w:rsid w:val="00A51AFD"/>
    <w:rsid w:val="00A57EE8"/>
    <w:rsid w:val="00A613C8"/>
    <w:rsid w:val="00A61AEB"/>
    <w:rsid w:val="00A61CDE"/>
    <w:rsid w:val="00A63E6E"/>
    <w:rsid w:val="00A67593"/>
    <w:rsid w:val="00A7478C"/>
    <w:rsid w:val="00A76282"/>
    <w:rsid w:val="00A82B76"/>
    <w:rsid w:val="00A84514"/>
    <w:rsid w:val="00A909E7"/>
    <w:rsid w:val="00A97225"/>
    <w:rsid w:val="00AB31FF"/>
    <w:rsid w:val="00AB6C99"/>
    <w:rsid w:val="00AC0F56"/>
    <w:rsid w:val="00AC1075"/>
    <w:rsid w:val="00AD1413"/>
    <w:rsid w:val="00AD30FB"/>
    <w:rsid w:val="00AD56FA"/>
    <w:rsid w:val="00AD5AA8"/>
    <w:rsid w:val="00AD6FBD"/>
    <w:rsid w:val="00AD7817"/>
    <w:rsid w:val="00AD7C07"/>
    <w:rsid w:val="00AE05BC"/>
    <w:rsid w:val="00AE0738"/>
    <w:rsid w:val="00AE641A"/>
    <w:rsid w:val="00AE65D8"/>
    <w:rsid w:val="00AF4124"/>
    <w:rsid w:val="00B04C5E"/>
    <w:rsid w:val="00B10E9C"/>
    <w:rsid w:val="00B11161"/>
    <w:rsid w:val="00B21262"/>
    <w:rsid w:val="00B21480"/>
    <w:rsid w:val="00B25862"/>
    <w:rsid w:val="00B3025C"/>
    <w:rsid w:val="00B321A4"/>
    <w:rsid w:val="00B3264F"/>
    <w:rsid w:val="00B4157E"/>
    <w:rsid w:val="00B466D9"/>
    <w:rsid w:val="00B52024"/>
    <w:rsid w:val="00B56251"/>
    <w:rsid w:val="00B60DAD"/>
    <w:rsid w:val="00B61492"/>
    <w:rsid w:val="00B70154"/>
    <w:rsid w:val="00B77EA3"/>
    <w:rsid w:val="00B82E3F"/>
    <w:rsid w:val="00B85B77"/>
    <w:rsid w:val="00BA5212"/>
    <w:rsid w:val="00BA7A28"/>
    <w:rsid w:val="00BB584A"/>
    <w:rsid w:val="00BB6AF0"/>
    <w:rsid w:val="00BC06CA"/>
    <w:rsid w:val="00BC08F8"/>
    <w:rsid w:val="00BC2139"/>
    <w:rsid w:val="00BC7523"/>
    <w:rsid w:val="00BD44C6"/>
    <w:rsid w:val="00BD54F5"/>
    <w:rsid w:val="00BE4EFC"/>
    <w:rsid w:val="00BF1C72"/>
    <w:rsid w:val="00BF7806"/>
    <w:rsid w:val="00C0137C"/>
    <w:rsid w:val="00C05152"/>
    <w:rsid w:val="00C067EE"/>
    <w:rsid w:val="00C14324"/>
    <w:rsid w:val="00C14504"/>
    <w:rsid w:val="00C14A09"/>
    <w:rsid w:val="00C16AF4"/>
    <w:rsid w:val="00C30738"/>
    <w:rsid w:val="00C30A9E"/>
    <w:rsid w:val="00C34BE9"/>
    <w:rsid w:val="00C36C43"/>
    <w:rsid w:val="00C407DA"/>
    <w:rsid w:val="00C5012D"/>
    <w:rsid w:val="00C51A83"/>
    <w:rsid w:val="00C51C31"/>
    <w:rsid w:val="00C51CC9"/>
    <w:rsid w:val="00C63204"/>
    <w:rsid w:val="00C65932"/>
    <w:rsid w:val="00C724CD"/>
    <w:rsid w:val="00C74D8F"/>
    <w:rsid w:val="00C843D5"/>
    <w:rsid w:val="00C863D7"/>
    <w:rsid w:val="00C87F99"/>
    <w:rsid w:val="00C906F1"/>
    <w:rsid w:val="00C9234E"/>
    <w:rsid w:val="00C93147"/>
    <w:rsid w:val="00C9444A"/>
    <w:rsid w:val="00CA20DA"/>
    <w:rsid w:val="00CA6A9F"/>
    <w:rsid w:val="00CB1EA5"/>
    <w:rsid w:val="00CB668B"/>
    <w:rsid w:val="00CB781B"/>
    <w:rsid w:val="00CC1436"/>
    <w:rsid w:val="00CC2265"/>
    <w:rsid w:val="00CC2CE8"/>
    <w:rsid w:val="00CC5F57"/>
    <w:rsid w:val="00CD45D9"/>
    <w:rsid w:val="00CE005E"/>
    <w:rsid w:val="00CE49AE"/>
    <w:rsid w:val="00CE6C19"/>
    <w:rsid w:val="00CF0629"/>
    <w:rsid w:val="00CF0BC9"/>
    <w:rsid w:val="00CF42D9"/>
    <w:rsid w:val="00CF4A75"/>
    <w:rsid w:val="00CF669B"/>
    <w:rsid w:val="00CF7451"/>
    <w:rsid w:val="00CF7594"/>
    <w:rsid w:val="00D05608"/>
    <w:rsid w:val="00D0570C"/>
    <w:rsid w:val="00D14536"/>
    <w:rsid w:val="00D17684"/>
    <w:rsid w:val="00D17895"/>
    <w:rsid w:val="00D23FC9"/>
    <w:rsid w:val="00D32940"/>
    <w:rsid w:val="00D343A1"/>
    <w:rsid w:val="00D379DF"/>
    <w:rsid w:val="00D42640"/>
    <w:rsid w:val="00D42A1E"/>
    <w:rsid w:val="00D44D38"/>
    <w:rsid w:val="00D5131D"/>
    <w:rsid w:val="00D82C2E"/>
    <w:rsid w:val="00D83EFA"/>
    <w:rsid w:val="00D87A34"/>
    <w:rsid w:val="00D87E58"/>
    <w:rsid w:val="00DA059E"/>
    <w:rsid w:val="00DA353B"/>
    <w:rsid w:val="00DA35F0"/>
    <w:rsid w:val="00DA3CC7"/>
    <w:rsid w:val="00DA4C74"/>
    <w:rsid w:val="00DA4FBB"/>
    <w:rsid w:val="00DA7897"/>
    <w:rsid w:val="00DB2CEB"/>
    <w:rsid w:val="00DB4FC6"/>
    <w:rsid w:val="00DB5E11"/>
    <w:rsid w:val="00DB7581"/>
    <w:rsid w:val="00DB7632"/>
    <w:rsid w:val="00DC1B6C"/>
    <w:rsid w:val="00DC322C"/>
    <w:rsid w:val="00DC7B80"/>
    <w:rsid w:val="00DD0DB3"/>
    <w:rsid w:val="00DD3637"/>
    <w:rsid w:val="00DD3F74"/>
    <w:rsid w:val="00DD6A52"/>
    <w:rsid w:val="00DE79C3"/>
    <w:rsid w:val="00DF1E01"/>
    <w:rsid w:val="00DF74AA"/>
    <w:rsid w:val="00E017E3"/>
    <w:rsid w:val="00E06EC5"/>
    <w:rsid w:val="00E10296"/>
    <w:rsid w:val="00E10AC6"/>
    <w:rsid w:val="00E10EE7"/>
    <w:rsid w:val="00E12A35"/>
    <w:rsid w:val="00E20EF7"/>
    <w:rsid w:val="00E23C54"/>
    <w:rsid w:val="00E37749"/>
    <w:rsid w:val="00E43A61"/>
    <w:rsid w:val="00E514D3"/>
    <w:rsid w:val="00E81904"/>
    <w:rsid w:val="00E850EE"/>
    <w:rsid w:val="00E86E24"/>
    <w:rsid w:val="00E87C8F"/>
    <w:rsid w:val="00E949B5"/>
    <w:rsid w:val="00E9545E"/>
    <w:rsid w:val="00EA22FF"/>
    <w:rsid w:val="00EA240F"/>
    <w:rsid w:val="00EA3CF6"/>
    <w:rsid w:val="00EC31A3"/>
    <w:rsid w:val="00EC53F2"/>
    <w:rsid w:val="00EC6FEA"/>
    <w:rsid w:val="00EC70A4"/>
    <w:rsid w:val="00ED4309"/>
    <w:rsid w:val="00EE1B32"/>
    <w:rsid w:val="00EE4FE2"/>
    <w:rsid w:val="00EE5E66"/>
    <w:rsid w:val="00EF4BC6"/>
    <w:rsid w:val="00F02972"/>
    <w:rsid w:val="00F04ECE"/>
    <w:rsid w:val="00F0665A"/>
    <w:rsid w:val="00F10F66"/>
    <w:rsid w:val="00F11257"/>
    <w:rsid w:val="00F13D05"/>
    <w:rsid w:val="00F31EE8"/>
    <w:rsid w:val="00F42397"/>
    <w:rsid w:val="00F4277A"/>
    <w:rsid w:val="00F45461"/>
    <w:rsid w:val="00F56D8A"/>
    <w:rsid w:val="00F6427C"/>
    <w:rsid w:val="00F650E6"/>
    <w:rsid w:val="00F663B9"/>
    <w:rsid w:val="00F73AB0"/>
    <w:rsid w:val="00F8071C"/>
    <w:rsid w:val="00F8586F"/>
    <w:rsid w:val="00F85FA7"/>
    <w:rsid w:val="00F951E8"/>
    <w:rsid w:val="00FA1F5C"/>
    <w:rsid w:val="00FA201A"/>
    <w:rsid w:val="00FA2BFD"/>
    <w:rsid w:val="00FA5A12"/>
    <w:rsid w:val="00FA6230"/>
    <w:rsid w:val="00FA697E"/>
    <w:rsid w:val="00FB025E"/>
    <w:rsid w:val="00FB31F9"/>
    <w:rsid w:val="00FB70C7"/>
    <w:rsid w:val="00FB7184"/>
    <w:rsid w:val="00FC02A4"/>
    <w:rsid w:val="00FC2F97"/>
    <w:rsid w:val="00FC3851"/>
    <w:rsid w:val="00FC406C"/>
    <w:rsid w:val="00FC4FBB"/>
    <w:rsid w:val="00FD4BE6"/>
    <w:rsid w:val="00FD5D85"/>
    <w:rsid w:val="00FD70C0"/>
    <w:rsid w:val="00FE0689"/>
    <w:rsid w:val="00FE0C72"/>
    <w:rsid w:val="00FE39AF"/>
    <w:rsid w:val="00FE7BB0"/>
    <w:rsid w:val="00FF06C1"/>
    <w:rsid w:val="00FF249C"/>
    <w:rsid w:val="00FF38E6"/>
    <w:rsid w:val="00FF4178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uniq.pt/reduniq-insight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insigh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tricia.afonso%20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946</Words>
  <Characters>5109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2025-09-16T08:06:00Z</dcterms:created>
  <dcterms:modified xsi:type="dcterms:W3CDTF">2025-09-16T08:06:00Z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