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7450" w14:textId="68284315" w:rsidR="00ED34D9" w:rsidRDefault="00ED34D9" w:rsidP="00ED34D9">
      <w:pPr>
        <w:spacing w:after="0" w:line="240" w:lineRule="auto"/>
        <w:jc w:val="center"/>
        <w:rPr>
          <w:rFonts w:ascii="Calibri" w:eastAsia="Aptos" w:hAnsi="Calibri" w:cs="Calibri"/>
          <w:u w:val="single"/>
        </w:rPr>
      </w:pPr>
      <w:r w:rsidRPr="00ED34D9">
        <w:rPr>
          <w:rFonts w:ascii="Calibri" w:eastAsia="Aptos" w:hAnsi="Calibri" w:cs="Calibri"/>
          <w:u w:val="single"/>
        </w:rPr>
        <w:t>COMUNICADO DE IMPRENSA</w:t>
      </w:r>
    </w:p>
    <w:p w14:paraId="4F3706AE" w14:textId="39B70F3A" w:rsidR="005A5134" w:rsidRPr="00225DFE" w:rsidRDefault="005A5134" w:rsidP="00F42A9F">
      <w:pPr>
        <w:spacing w:after="0" w:line="240" w:lineRule="auto"/>
        <w:rPr>
          <w:rFonts w:ascii="Calibri" w:eastAsia="Aptos" w:hAnsi="Calibri" w:cs="Calibri"/>
          <w:b/>
          <w:bCs/>
          <w:sz w:val="20"/>
          <w:szCs w:val="20"/>
          <w:highlight w:val="yellow"/>
        </w:rPr>
      </w:pPr>
    </w:p>
    <w:p w14:paraId="7FEEC604" w14:textId="7CC09F38" w:rsidR="403C94FC" w:rsidRDefault="403C94FC" w:rsidP="283DCC3B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2"/>
          <w:szCs w:val="32"/>
        </w:rPr>
      </w:pPr>
      <w:r w:rsidRPr="283DCC3B">
        <w:rPr>
          <w:rFonts w:ascii="Calibri" w:eastAsia="Aptos" w:hAnsi="Calibri" w:cs="Calibri"/>
          <w:b/>
          <w:bCs/>
          <w:sz w:val="32"/>
          <w:szCs w:val="32"/>
        </w:rPr>
        <w:t>ANL alerta para ilegalidade nas ULS que compromete o acesso a análises clínicas</w:t>
      </w:r>
    </w:p>
    <w:p w14:paraId="0D082C96" w14:textId="77777777" w:rsidR="005A5134" w:rsidRPr="00465E81" w:rsidRDefault="005A5134" w:rsidP="00657A2E">
      <w:pPr>
        <w:spacing w:after="0" w:line="240" w:lineRule="auto"/>
        <w:rPr>
          <w:rFonts w:ascii="Calibri" w:eastAsia="Aptos" w:hAnsi="Calibri" w:cs="Calibri"/>
          <w:b/>
          <w:bCs/>
          <w:sz w:val="30"/>
          <w:szCs w:val="30"/>
        </w:rPr>
      </w:pPr>
    </w:p>
    <w:p w14:paraId="262C4009" w14:textId="43260F33" w:rsidR="00ED34D9" w:rsidRPr="00D43B83" w:rsidRDefault="00ED34D9" w:rsidP="0027729A">
      <w:pPr>
        <w:pStyle w:val="PargrafodaLista"/>
        <w:numPr>
          <w:ilvl w:val="0"/>
          <w:numId w:val="1"/>
        </w:numPr>
        <w:spacing w:line="276" w:lineRule="auto"/>
        <w:ind w:left="142" w:hanging="284"/>
        <w:jc w:val="center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43B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Parecer da ANL alerta para a ilegalidade dos procedimentos de contratação direta lançados por várias ULS em 2025.</w:t>
      </w:r>
      <w:r w:rsidRPr="00D43B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br/>
        <w:t>• Modelos em vigor afastam o recurso obrigatório ao setor convencionado.</w:t>
      </w:r>
      <w:r w:rsidRPr="00D43B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br/>
      </w:r>
      <w:r w:rsidRPr="006C2A1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• Internalização de atos laboratoriais compromete a liberdade de escolha dos utentes</w:t>
      </w:r>
      <w:r w:rsidR="006C2A10" w:rsidRPr="006C2A1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e</w:t>
      </w:r>
      <w:r w:rsidR="00815C37" w:rsidRPr="006C2A1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6C2A10" w:rsidRPr="006C2A1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o acesso a </w:t>
      </w:r>
      <w:r w:rsidR="006C2A10" w:rsidRPr="006C2A10">
        <w:rPr>
          <w:rFonts w:ascii="Calibri" w:hAnsi="Calibri" w:cs="Calibri"/>
          <w:i/>
          <w:iCs/>
          <w:sz w:val="22"/>
          <w:szCs w:val="22"/>
        </w:rPr>
        <w:t xml:space="preserve">cuidados de saúde em tempo útil, </w:t>
      </w:r>
      <w:r w:rsidR="006C2A10" w:rsidRPr="006C2A1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agravando o risco de </w:t>
      </w:r>
      <w:r w:rsidR="00D016B5" w:rsidRPr="006C2A10">
        <w:rPr>
          <w:rFonts w:ascii="Calibri" w:hAnsi="Calibri" w:cs="Calibri"/>
          <w:i/>
          <w:iCs/>
          <w:sz w:val="22"/>
          <w:szCs w:val="22"/>
        </w:rPr>
        <w:t>atrasos nos diagnósticos.</w:t>
      </w:r>
    </w:p>
    <w:p w14:paraId="70189753" w14:textId="0607C2F9" w:rsidR="00386AB9" w:rsidRPr="00ED34D9" w:rsidRDefault="00386AB9" w:rsidP="000F1ED0">
      <w:pPr>
        <w:spacing w:line="240" w:lineRule="auto"/>
        <w:rPr>
          <w:rStyle w:val="eop"/>
          <w:rFonts w:ascii="Calibri" w:hAnsi="Calibri" w:cs="Calibri"/>
          <w:color w:val="000000"/>
          <w:sz w:val="10"/>
          <w:szCs w:val="10"/>
          <w:shd w:val="clear" w:color="auto" w:fill="FFFFFF"/>
        </w:rPr>
      </w:pPr>
    </w:p>
    <w:p w14:paraId="1B1AEE1F" w14:textId="7B0C742E" w:rsidR="002258E6" w:rsidRDefault="005A5134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465E81">
        <w:rPr>
          <w:rFonts w:ascii="Calibri" w:eastAsia="Aptos" w:hAnsi="Calibri" w:cs="Calibri"/>
          <w:b/>
          <w:bCs/>
          <w:sz w:val="22"/>
          <w:szCs w:val="22"/>
        </w:rPr>
        <w:t xml:space="preserve">Lisboa, </w:t>
      </w:r>
      <w:r w:rsidR="00147A11">
        <w:rPr>
          <w:rFonts w:ascii="Calibri" w:eastAsia="Aptos" w:hAnsi="Calibri" w:cs="Calibri"/>
          <w:b/>
          <w:bCs/>
          <w:sz w:val="22"/>
          <w:szCs w:val="22"/>
        </w:rPr>
        <w:t>1</w:t>
      </w:r>
      <w:r w:rsidR="00FA0AC3">
        <w:rPr>
          <w:rFonts w:ascii="Calibri" w:eastAsia="Aptos" w:hAnsi="Calibri" w:cs="Calibri"/>
          <w:b/>
          <w:bCs/>
          <w:sz w:val="22"/>
          <w:szCs w:val="22"/>
        </w:rPr>
        <w:t>3</w:t>
      </w:r>
      <w:r w:rsidR="00147A11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Pr="00465E81">
        <w:rPr>
          <w:rFonts w:ascii="Calibri" w:eastAsia="Aptos" w:hAnsi="Calibri" w:cs="Calibri"/>
          <w:b/>
          <w:bCs/>
          <w:sz w:val="22"/>
          <w:szCs w:val="22"/>
        </w:rPr>
        <w:t xml:space="preserve">de </w:t>
      </w:r>
      <w:r>
        <w:rPr>
          <w:rFonts w:ascii="Calibri" w:eastAsia="Aptos" w:hAnsi="Calibri" w:cs="Calibri"/>
          <w:b/>
          <w:bCs/>
          <w:sz w:val="22"/>
          <w:szCs w:val="22"/>
        </w:rPr>
        <w:t>setembro</w:t>
      </w:r>
      <w:r w:rsidRPr="00465E81">
        <w:rPr>
          <w:rFonts w:ascii="Calibri" w:eastAsia="Aptos" w:hAnsi="Calibri" w:cs="Calibri"/>
          <w:b/>
          <w:bCs/>
          <w:sz w:val="22"/>
          <w:szCs w:val="22"/>
        </w:rPr>
        <w:t xml:space="preserve"> de 2025 </w:t>
      </w:r>
      <w:r w:rsidR="002258E6" w:rsidRPr="002258E6">
        <w:rPr>
          <w:rFonts w:ascii="Calibri" w:eastAsia="Aptos" w:hAnsi="Calibri" w:cs="Calibri"/>
          <w:b/>
          <w:bCs/>
          <w:sz w:val="22"/>
          <w:szCs w:val="22"/>
        </w:rPr>
        <w:t>–</w:t>
      </w:r>
      <w:r w:rsidRPr="00465E81">
        <w:rPr>
          <w:rFonts w:ascii="Calibri" w:eastAsia="Aptos" w:hAnsi="Calibri" w:cs="Calibri"/>
          <w:sz w:val="22"/>
          <w:szCs w:val="22"/>
        </w:rPr>
        <w:t xml:space="preserve"> </w:t>
      </w:r>
      <w:r w:rsidR="002258E6" w:rsidRPr="002258E6">
        <w:rPr>
          <w:rFonts w:ascii="Calibri" w:hAnsi="Calibri" w:cs="Calibri"/>
          <w:sz w:val="22"/>
          <w:szCs w:val="22"/>
        </w:rPr>
        <w:t xml:space="preserve">A Associação Nacional de Laboratórios Clínicos (ANL) </w:t>
      </w:r>
      <w:r w:rsidR="001E0A0A">
        <w:rPr>
          <w:rFonts w:ascii="Calibri" w:hAnsi="Calibri" w:cs="Calibri"/>
          <w:sz w:val="22"/>
          <w:szCs w:val="22"/>
        </w:rPr>
        <w:t>alerta para</w:t>
      </w:r>
      <w:r w:rsidR="002258E6" w:rsidRPr="002258E6">
        <w:rPr>
          <w:rFonts w:ascii="Calibri" w:hAnsi="Calibri" w:cs="Calibri"/>
          <w:sz w:val="22"/>
          <w:szCs w:val="22"/>
        </w:rPr>
        <w:t xml:space="preserve"> </w:t>
      </w:r>
      <w:r w:rsidR="00B8253C">
        <w:rPr>
          <w:rFonts w:ascii="Calibri" w:hAnsi="Calibri" w:cs="Calibri"/>
          <w:sz w:val="22"/>
          <w:szCs w:val="22"/>
        </w:rPr>
        <w:t>a ilegalidade d</w:t>
      </w:r>
      <w:r w:rsidR="002258E6" w:rsidRPr="002258E6">
        <w:rPr>
          <w:rFonts w:ascii="Calibri" w:hAnsi="Calibri" w:cs="Calibri"/>
          <w:sz w:val="22"/>
          <w:szCs w:val="22"/>
        </w:rPr>
        <w:t>os procedimentos de contratação direta desencadeados</w:t>
      </w:r>
      <w:r w:rsidR="00766AA5">
        <w:rPr>
          <w:rFonts w:ascii="Calibri" w:hAnsi="Calibri" w:cs="Calibri"/>
          <w:sz w:val="22"/>
          <w:szCs w:val="22"/>
        </w:rPr>
        <w:t>,</w:t>
      </w:r>
      <w:r w:rsidR="002258E6" w:rsidRPr="002258E6">
        <w:rPr>
          <w:rFonts w:ascii="Calibri" w:hAnsi="Calibri" w:cs="Calibri"/>
          <w:sz w:val="22"/>
          <w:szCs w:val="22"/>
        </w:rPr>
        <w:t xml:space="preserve"> em 2025</w:t>
      </w:r>
      <w:r w:rsidR="00766AA5">
        <w:rPr>
          <w:rFonts w:ascii="Calibri" w:hAnsi="Calibri" w:cs="Calibri"/>
          <w:sz w:val="22"/>
          <w:szCs w:val="22"/>
        </w:rPr>
        <w:t>,</w:t>
      </w:r>
      <w:r w:rsidR="002258E6" w:rsidRPr="002258E6">
        <w:rPr>
          <w:rFonts w:ascii="Calibri" w:hAnsi="Calibri" w:cs="Calibri"/>
          <w:sz w:val="22"/>
          <w:szCs w:val="22"/>
        </w:rPr>
        <w:t xml:space="preserve"> por várias Unidades Locais de Saúde (ULS), </w:t>
      </w:r>
      <w:r w:rsidR="00E74ADC">
        <w:rPr>
          <w:rFonts w:ascii="Calibri" w:hAnsi="Calibri" w:cs="Calibri"/>
          <w:sz w:val="22"/>
          <w:szCs w:val="22"/>
        </w:rPr>
        <w:t xml:space="preserve">nomeadamente </w:t>
      </w:r>
      <w:r w:rsidR="002258E6" w:rsidRPr="002258E6">
        <w:rPr>
          <w:rFonts w:ascii="Calibri" w:hAnsi="Calibri" w:cs="Calibri"/>
          <w:sz w:val="22"/>
          <w:szCs w:val="22"/>
        </w:rPr>
        <w:t>Matosinhos, Braga e Baixo Mondego</w:t>
      </w:r>
      <w:r w:rsidR="007C1C26">
        <w:rPr>
          <w:rFonts w:ascii="Calibri" w:hAnsi="Calibri" w:cs="Calibri"/>
          <w:sz w:val="22"/>
          <w:szCs w:val="22"/>
        </w:rPr>
        <w:t xml:space="preserve"> (Figueira da Foz)</w:t>
      </w:r>
      <w:r w:rsidR="002258E6" w:rsidRPr="002258E6">
        <w:rPr>
          <w:rFonts w:ascii="Calibri" w:hAnsi="Calibri" w:cs="Calibri"/>
          <w:sz w:val="22"/>
          <w:szCs w:val="22"/>
        </w:rPr>
        <w:t xml:space="preserve">, </w:t>
      </w:r>
      <w:r w:rsidR="00A82BCA" w:rsidRPr="00A82BCA">
        <w:rPr>
          <w:rFonts w:ascii="Calibri" w:hAnsi="Calibri" w:cs="Calibri"/>
          <w:sz w:val="22"/>
          <w:szCs w:val="22"/>
        </w:rPr>
        <w:t xml:space="preserve">com vista à internalização de atos e serviços laboratoriais que </w:t>
      </w:r>
      <w:r w:rsidR="00DF3AF1">
        <w:rPr>
          <w:rFonts w:ascii="Calibri" w:hAnsi="Calibri" w:cs="Calibri"/>
          <w:sz w:val="22"/>
          <w:szCs w:val="22"/>
        </w:rPr>
        <w:t>afastam o recurso obrigatório</w:t>
      </w:r>
      <w:r w:rsidR="00A82BCA" w:rsidRPr="00A82BCA">
        <w:rPr>
          <w:rFonts w:ascii="Calibri" w:hAnsi="Calibri" w:cs="Calibri"/>
          <w:sz w:val="22"/>
          <w:szCs w:val="22"/>
        </w:rPr>
        <w:t xml:space="preserve"> </w:t>
      </w:r>
      <w:r w:rsidR="00DF3AF1">
        <w:rPr>
          <w:rFonts w:ascii="Calibri" w:hAnsi="Calibri" w:cs="Calibri"/>
          <w:sz w:val="22"/>
          <w:szCs w:val="22"/>
        </w:rPr>
        <w:t>a</w:t>
      </w:r>
      <w:r w:rsidR="00A82BCA" w:rsidRPr="00A82BCA">
        <w:rPr>
          <w:rFonts w:ascii="Calibri" w:hAnsi="Calibri" w:cs="Calibri"/>
          <w:sz w:val="22"/>
          <w:szCs w:val="22"/>
        </w:rPr>
        <w:t>o setor convencionado</w:t>
      </w:r>
      <w:r w:rsidR="006D198E">
        <w:rPr>
          <w:rFonts w:ascii="Calibri" w:hAnsi="Calibri" w:cs="Calibri"/>
          <w:sz w:val="22"/>
          <w:szCs w:val="22"/>
        </w:rPr>
        <w:t>.</w:t>
      </w:r>
    </w:p>
    <w:p w14:paraId="07DECAED" w14:textId="7C9260AA" w:rsidR="002258E6" w:rsidRDefault="00BD1DAB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E85A82" w:rsidRPr="0077602D">
        <w:rPr>
          <w:rFonts w:ascii="Calibri" w:hAnsi="Calibri" w:cs="Calibri"/>
          <w:sz w:val="22"/>
          <w:szCs w:val="22"/>
        </w:rPr>
        <w:t xml:space="preserve">stes concursos </w:t>
      </w:r>
      <w:r w:rsidR="00AB47F7">
        <w:rPr>
          <w:rFonts w:ascii="Calibri" w:hAnsi="Calibri" w:cs="Calibri"/>
          <w:sz w:val="22"/>
          <w:szCs w:val="22"/>
        </w:rPr>
        <w:t xml:space="preserve">públicos </w:t>
      </w:r>
      <w:r w:rsidR="00E85A82" w:rsidRPr="0077602D">
        <w:rPr>
          <w:rFonts w:ascii="Calibri" w:hAnsi="Calibri" w:cs="Calibri"/>
          <w:sz w:val="22"/>
          <w:szCs w:val="22"/>
        </w:rPr>
        <w:t>recorrem à subcontratação de serviços de colheita</w:t>
      </w:r>
      <w:r w:rsidR="008B3DD4">
        <w:rPr>
          <w:rFonts w:ascii="Calibri" w:hAnsi="Calibri" w:cs="Calibri"/>
          <w:sz w:val="22"/>
          <w:szCs w:val="22"/>
        </w:rPr>
        <w:t xml:space="preserve"> de </w:t>
      </w:r>
      <w:r w:rsidR="008B3DD4" w:rsidRPr="008B3DD4">
        <w:rPr>
          <w:rFonts w:ascii="Calibri" w:hAnsi="Calibri" w:cs="Calibri"/>
          <w:sz w:val="22"/>
          <w:szCs w:val="22"/>
        </w:rPr>
        <w:t>análises clínicas</w:t>
      </w:r>
      <w:r w:rsidR="00E85A82" w:rsidRPr="0077602D">
        <w:rPr>
          <w:rFonts w:ascii="Calibri" w:hAnsi="Calibri" w:cs="Calibri"/>
          <w:sz w:val="22"/>
          <w:szCs w:val="22"/>
        </w:rPr>
        <w:t xml:space="preserve">, canalizando e internalizando os atos laboratoriais e afastando o recurso à rede convencionada. </w:t>
      </w:r>
      <w:r w:rsidR="002258E6" w:rsidRPr="002258E6">
        <w:rPr>
          <w:rFonts w:ascii="Calibri" w:hAnsi="Calibri" w:cs="Calibri"/>
          <w:sz w:val="22"/>
          <w:szCs w:val="22"/>
        </w:rPr>
        <w:t xml:space="preserve">A ANL sublinha que esta prática </w:t>
      </w:r>
      <w:r w:rsidR="0077602D" w:rsidRPr="0077602D">
        <w:rPr>
          <w:rFonts w:ascii="Calibri" w:hAnsi="Calibri" w:cs="Calibri"/>
          <w:sz w:val="22"/>
          <w:szCs w:val="22"/>
        </w:rPr>
        <w:t>viola o quadro normativo aplicável</w:t>
      </w:r>
      <w:r w:rsidR="002258E6" w:rsidRPr="002258E6">
        <w:rPr>
          <w:rFonts w:ascii="Calibri" w:hAnsi="Calibri" w:cs="Calibri"/>
          <w:sz w:val="22"/>
          <w:szCs w:val="22"/>
        </w:rPr>
        <w:t>, que determina</w:t>
      </w:r>
      <w:r w:rsidR="0077602D" w:rsidRPr="0077602D">
        <w:rPr>
          <w:rFonts w:ascii="Calibri" w:hAnsi="Calibri" w:cs="Calibri"/>
          <w:sz w:val="22"/>
          <w:szCs w:val="22"/>
        </w:rPr>
        <w:t xml:space="preserve"> </w:t>
      </w:r>
      <w:r w:rsidR="002258E6" w:rsidRPr="002258E6">
        <w:rPr>
          <w:rFonts w:ascii="Calibri" w:hAnsi="Calibri" w:cs="Calibri"/>
          <w:sz w:val="22"/>
          <w:szCs w:val="22"/>
        </w:rPr>
        <w:t xml:space="preserve">que o setor convencionado deve ser acionado sempre que não exista capacidade de resposta interna em tempo útil, ficando a contratação direta reservada apenas para situações em que a rede convencionada não assegure </w:t>
      </w:r>
      <w:r w:rsidR="002B3EBA">
        <w:rPr>
          <w:rFonts w:ascii="Calibri" w:hAnsi="Calibri" w:cs="Calibri"/>
          <w:sz w:val="22"/>
          <w:szCs w:val="22"/>
        </w:rPr>
        <w:t xml:space="preserve">a </w:t>
      </w:r>
      <w:r w:rsidR="002258E6" w:rsidRPr="002258E6">
        <w:rPr>
          <w:rFonts w:ascii="Calibri" w:hAnsi="Calibri" w:cs="Calibri"/>
          <w:sz w:val="22"/>
          <w:szCs w:val="22"/>
        </w:rPr>
        <w:t>resposta.</w:t>
      </w:r>
    </w:p>
    <w:p w14:paraId="78723696" w14:textId="4040E3AC" w:rsidR="001026D1" w:rsidRDefault="00052CB6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ANL alerta para o impacto direto </w:t>
      </w:r>
      <w:r w:rsidR="008F4B15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este modelo</w:t>
      </w:r>
      <w:r w:rsidR="008F4B15">
        <w:rPr>
          <w:rFonts w:ascii="Calibri" w:hAnsi="Calibri" w:cs="Calibri"/>
          <w:sz w:val="22"/>
          <w:szCs w:val="22"/>
        </w:rPr>
        <w:t xml:space="preserve"> </w:t>
      </w:r>
      <w:r w:rsidR="00BD1DAB">
        <w:rPr>
          <w:rFonts w:ascii="Calibri" w:hAnsi="Calibri" w:cs="Calibri"/>
          <w:sz w:val="22"/>
          <w:szCs w:val="22"/>
        </w:rPr>
        <w:t xml:space="preserve">na concorrência e </w:t>
      </w:r>
      <w:r w:rsidR="00E14759">
        <w:rPr>
          <w:rFonts w:ascii="Calibri" w:hAnsi="Calibri" w:cs="Calibri"/>
          <w:sz w:val="22"/>
          <w:szCs w:val="22"/>
        </w:rPr>
        <w:t>n</w:t>
      </w:r>
      <w:r w:rsidR="00E637F4">
        <w:rPr>
          <w:rFonts w:ascii="Calibri" w:hAnsi="Calibri" w:cs="Calibri"/>
          <w:sz w:val="22"/>
          <w:szCs w:val="22"/>
        </w:rPr>
        <w:t xml:space="preserve">o direito à </w:t>
      </w:r>
      <w:r w:rsidR="00AF662F" w:rsidRPr="00AF662F">
        <w:rPr>
          <w:rFonts w:ascii="Calibri" w:hAnsi="Calibri" w:cs="Calibri"/>
          <w:sz w:val="22"/>
          <w:szCs w:val="22"/>
        </w:rPr>
        <w:t>liberdade de escolha</w:t>
      </w:r>
      <w:r w:rsidR="00C804EB">
        <w:rPr>
          <w:rFonts w:ascii="Calibri" w:hAnsi="Calibri" w:cs="Calibri"/>
          <w:sz w:val="22"/>
          <w:szCs w:val="22"/>
        </w:rPr>
        <w:t xml:space="preserve"> </w:t>
      </w:r>
      <w:r w:rsidR="00C804EB" w:rsidRPr="00C804EB">
        <w:rPr>
          <w:rFonts w:ascii="Calibri" w:hAnsi="Calibri" w:cs="Calibri"/>
          <w:sz w:val="22"/>
          <w:szCs w:val="22"/>
        </w:rPr>
        <w:t>do</w:t>
      </w:r>
      <w:r w:rsidR="00244E9F">
        <w:rPr>
          <w:rFonts w:ascii="Calibri" w:hAnsi="Calibri" w:cs="Calibri"/>
          <w:sz w:val="22"/>
          <w:szCs w:val="22"/>
        </w:rPr>
        <w:t>s utentes</w:t>
      </w:r>
      <w:r w:rsidR="003636C2">
        <w:rPr>
          <w:rFonts w:ascii="Calibri" w:hAnsi="Calibri" w:cs="Calibri"/>
          <w:sz w:val="22"/>
          <w:szCs w:val="22"/>
        </w:rPr>
        <w:t xml:space="preserve">, </w:t>
      </w:r>
      <w:r w:rsidR="003636C2" w:rsidRPr="00B65037">
        <w:rPr>
          <w:rFonts w:ascii="Calibri" w:hAnsi="Calibri" w:cs="Calibri"/>
          <w:sz w:val="22"/>
          <w:szCs w:val="22"/>
        </w:rPr>
        <w:t>que deixam de poder recorrer ao laboratório convencionado da sua preferência</w:t>
      </w:r>
      <w:r w:rsidR="003636C2">
        <w:rPr>
          <w:rFonts w:ascii="Calibri" w:hAnsi="Calibri" w:cs="Calibri"/>
          <w:sz w:val="22"/>
          <w:szCs w:val="22"/>
        </w:rPr>
        <w:t xml:space="preserve">, </w:t>
      </w:r>
      <w:r w:rsidR="0010754D" w:rsidRPr="00B65037">
        <w:rPr>
          <w:rFonts w:ascii="Calibri" w:hAnsi="Calibri" w:cs="Calibri"/>
          <w:sz w:val="22"/>
          <w:szCs w:val="22"/>
        </w:rPr>
        <w:t xml:space="preserve">muitas vezes mais próximo de casa ou do trabalho, </w:t>
      </w:r>
      <w:r w:rsidR="00FD67D5" w:rsidRPr="00B65037">
        <w:rPr>
          <w:rFonts w:ascii="Calibri" w:hAnsi="Calibri" w:cs="Calibri"/>
          <w:sz w:val="22"/>
          <w:szCs w:val="22"/>
        </w:rPr>
        <w:t>com horários alargados e resposta mais rápida.</w:t>
      </w:r>
      <w:r w:rsidR="00FD67D5">
        <w:rPr>
          <w:rFonts w:ascii="Calibri" w:hAnsi="Calibri" w:cs="Calibri"/>
          <w:sz w:val="22"/>
          <w:szCs w:val="22"/>
        </w:rPr>
        <w:t xml:space="preserve"> </w:t>
      </w:r>
      <w:r w:rsidR="001026D1" w:rsidRPr="001026D1">
        <w:rPr>
          <w:rFonts w:ascii="Calibri" w:hAnsi="Calibri" w:cs="Calibri"/>
          <w:sz w:val="22"/>
          <w:szCs w:val="22"/>
        </w:rPr>
        <w:t xml:space="preserve">Com a internalização, as análises ficam concentradas nas unidades das ULS, reduzindo a conveniência e aumentando o risco de </w:t>
      </w:r>
      <w:r w:rsidR="00D82CB4">
        <w:rPr>
          <w:rFonts w:ascii="Calibri" w:hAnsi="Calibri" w:cs="Calibri"/>
          <w:sz w:val="22"/>
          <w:szCs w:val="22"/>
        </w:rPr>
        <w:t xml:space="preserve">tempos de espera mais longos e, como consequência, </w:t>
      </w:r>
      <w:r w:rsidR="001026D1" w:rsidRPr="001026D1">
        <w:rPr>
          <w:rFonts w:ascii="Calibri" w:hAnsi="Calibri" w:cs="Calibri"/>
          <w:sz w:val="22"/>
          <w:szCs w:val="22"/>
        </w:rPr>
        <w:t xml:space="preserve">atrasos nos diagnósticos, </w:t>
      </w:r>
      <w:r w:rsidR="005921B2">
        <w:rPr>
          <w:rFonts w:ascii="Calibri" w:hAnsi="Calibri" w:cs="Calibri"/>
          <w:sz w:val="22"/>
          <w:szCs w:val="22"/>
        </w:rPr>
        <w:t>contrariando o direito ao acesso aos cuidados de saúde em tempo útil</w:t>
      </w:r>
      <w:r w:rsidR="004F3172">
        <w:rPr>
          <w:rFonts w:ascii="Calibri" w:hAnsi="Calibri" w:cs="Calibri"/>
          <w:sz w:val="22"/>
          <w:szCs w:val="22"/>
        </w:rPr>
        <w:t xml:space="preserve"> e à</w:t>
      </w:r>
      <w:r w:rsidR="004F3172" w:rsidRPr="00B65037">
        <w:rPr>
          <w:rFonts w:ascii="Calibri" w:hAnsi="Calibri" w:cs="Calibri"/>
          <w:sz w:val="22"/>
          <w:szCs w:val="22"/>
        </w:rPr>
        <w:t xml:space="preserve"> livre escolha</w:t>
      </w:r>
      <w:r w:rsidR="004F3172">
        <w:rPr>
          <w:rFonts w:ascii="Calibri" w:hAnsi="Calibri" w:cs="Calibri"/>
          <w:sz w:val="22"/>
          <w:szCs w:val="22"/>
        </w:rPr>
        <w:t>,</w:t>
      </w:r>
      <w:r w:rsidR="005921B2">
        <w:rPr>
          <w:rFonts w:ascii="Calibri" w:hAnsi="Calibri" w:cs="Calibri"/>
          <w:sz w:val="22"/>
          <w:szCs w:val="22"/>
        </w:rPr>
        <w:t xml:space="preserve"> </w:t>
      </w:r>
      <w:r w:rsidR="001026D1" w:rsidRPr="001026D1">
        <w:rPr>
          <w:rFonts w:ascii="Calibri" w:hAnsi="Calibri" w:cs="Calibri"/>
          <w:sz w:val="22"/>
          <w:szCs w:val="22"/>
        </w:rPr>
        <w:t>consagrado</w:t>
      </w:r>
      <w:r w:rsidR="004F3172">
        <w:rPr>
          <w:rFonts w:ascii="Calibri" w:hAnsi="Calibri" w:cs="Calibri"/>
          <w:sz w:val="22"/>
          <w:szCs w:val="22"/>
        </w:rPr>
        <w:t>s</w:t>
      </w:r>
      <w:r w:rsidR="001026D1" w:rsidRPr="001026D1">
        <w:rPr>
          <w:rFonts w:ascii="Calibri" w:hAnsi="Calibri" w:cs="Calibri"/>
          <w:sz w:val="22"/>
          <w:szCs w:val="22"/>
        </w:rPr>
        <w:t xml:space="preserve"> na lei.</w:t>
      </w:r>
    </w:p>
    <w:p w14:paraId="05F30AA5" w14:textId="6AD683F9" w:rsidR="002258E6" w:rsidRDefault="009C16FE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CD06EA">
        <w:rPr>
          <w:rFonts w:ascii="Calibri" w:hAnsi="Calibri" w:cs="Calibri"/>
          <w:sz w:val="22"/>
          <w:szCs w:val="22"/>
        </w:rPr>
        <w:t>A</w:t>
      </w:r>
      <w:r w:rsidR="0023455F" w:rsidRPr="002258E6">
        <w:rPr>
          <w:rFonts w:ascii="Calibri" w:hAnsi="Calibri" w:cs="Calibri"/>
          <w:sz w:val="22"/>
          <w:szCs w:val="22"/>
        </w:rPr>
        <w:t xml:space="preserve"> internalização </w:t>
      </w:r>
      <w:r w:rsidR="00F4289B" w:rsidRPr="00CD06EA">
        <w:rPr>
          <w:rFonts w:ascii="Calibri" w:hAnsi="Calibri" w:cs="Calibri"/>
          <w:sz w:val="22"/>
          <w:szCs w:val="22"/>
        </w:rPr>
        <w:t xml:space="preserve">de análises clínicas no </w:t>
      </w:r>
      <w:r w:rsidR="00F4289B" w:rsidRPr="002258E6">
        <w:rPr>
          <w:rFonts w:ascii="Calibri" w:hAnsi="Calibri" w:cs="Calibri"/>
          <w:sz w:val="22"/>
          <w:szCs w:val="22"/>
        </w:rPr>
        <w:t>Serviço Nacional de Saúde (SNS)</w:t>
      </w:r>
      <w:r w:rsidRPr="00CD06EA">
        <w:rPr>
          <w:rFonts w:ascii="Calibri" w:hAnsi="Calibri" w:cs="Calibri"/>
          <w:sz w:val="22"/>
          <w:szCs w:val="22"/>
        </w:rPr>
        <w:t xml:space="preserve"> </w:t>
      </w:r>
      <w:r w:rsidR="0023455F" w:rsidRPr="00CD06EA">
        <w:rPr>
          <w:rFonts w:ascii="Calibri" w:hAnsi="Calibri" w:cs="Calibri"/>
          <w:sz w:val="22"/>
          <w:szCs w:val="22"/>
        </w:rPr>
        <w:t xml:space="preserve">também levanta preocupações e </w:t>
      </w:r>
      <w:r w:rsidR="002258E6" w:rsidRPr="002258E6">
        <w:rPr>
          <w:rFonts w:ascii="Calibri" w:hAnsi="Calibri" w:cs="Calibri"/>
          <w:sz w:val="22"/>
          <w:szCs w:val="22"/>
        </w:rPr>
        <w:t xml:space="preserve">implicações </w:t>
      </w:r>
      <w:r w:rsidRPr="00CD06EA">
        <w:rPr>
          <w:rFonts w:ascii="Calibri" w:hAnsi="Calibri" w:cs="Calibri"/>
          <w:sz w:val="22"/>
          <w:szCs w:val="22"/>
        </w:rPr>
        <w:t>financeiras</w:t>
      </w:r>
      <w:r w:rsidR="002258E6" w:rsidRPr="002258E6">
        <w:rPr>
          <w:rFonts w:ascii="Calibri" w:hAnsi="Calibri" w:cs="Calibri"/>
          <w:sz w:val="22"/>
          <w:szCs w:val="22"/>
        </w:rPr>
        <w:t xml:space="preserve">. O estudo independente da consultora </w:t>
      </w:r>
      <w:r w:rsidR="002258E6" w:rsidRPr="002258E6">
        <w:rPr>
          <w:rFonts w:ascii="Calibri" w:hAnsi="Calibri" w:cs="Calibri"/>
          <w:i/>
          <w:iCs/>
          <w:sz w:val="22"/>
          <w:szCs w:val="22"/>
        </w:rPr>
        <w:t>Roland Berger,</w:t>
      </w:r>
      <w:r w:rsidR="002258E6" w:rsidRPr="002258E6">
        <w:rPr>
          <w:rFonts w:ascii="Calibri" w:hAnsi="Calibri" w:cs="Calibri"/>
          <w:sz w:val="22"/>
          <w:szCs w:val="22"/>
        </w:rPr>
        <w:t xml:space="preserve"> realizado em benefício do Ministério da Saúde e acompanhado pela Administração Central do Sistema de Saúde (ACSS), concluiu que os custos totais da </w:t>
      </w:r>
      <w:r w:rsidR="0023455F">
        <w:rPr>
          <w:rFonts w:ascii="Calibri" w:hAnsi="Calibri" w:cs="Calibri"/>
          <w:sz w:val="22"/>
          <w:szCs w:val="22"/>
        </w:rPr>
        <w:t>internalização</w:t>
      </w:r>
      <w:r w:rsidR="002258E6" w:rsidRPr="002258E6">
        <w:rPr>
          <w:rFonts w:ascii="Calibri" w:hAnsi="Calibri" w:cs="Calibri"/>
          <w:sz w:val="22"/>
          <w:szCs w:val="22"/>
        </w:rPr>
        <w:t xml:space="preserve"> de análises clínicas são tendencialmente superiores aos preços convencionados, não </w:t>
      </w:r>
      <w:r w:rsidR="003E58EB">
        <w:rPr>
          <w:rFonts w:ascii="Calibri" w:hAnsi="Calibri" w:cs="Calibri"/>
          <w:sz w:val="22"/>
          <w:szCs w:val="22"/>
        </w:rPr>
        <w:t>existindo</w:t>
      </w:r>
      <w:r w:rsidR="002258E6" w:rsidRPr="002258E6">
        <w:rPr>
          <w:rFonts w:ascii="Calibri" w:hAnsi="Calibri" w:cs="Calibri"/>
          <w:sz w:val="22"/>
          <w:szCs w:val="22"/>
        </w:rPr>
        <w:t xml:space="preserve"> um racional económico que justifique esta opção.</w:t>
      </w:r>
    </w:p>
    <w:p w14:paraId="094B3E07" w14:textId="2061E66E" w:rsidR="005D1D60" w:rsidRDefault="00780251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780251">
        <w:rPr>
          <w:rFonts w:ascii="Calibri" w:hAnsi="Calibri" w:cs="Calibri"/>
          <w:sz w:val="22"/>
          <w:szCs w:val="22"/>
        </w:rPr>
        <w:t>Este quadro de ineficiência é agravado pela desatualização da tabela de atos e preços convencionados</w:t>
      </w:r>
      <w:r w:rsidR="00063F4F">
        <w:rPr>
          <w:rFonts w:ascii="Calibri" w:hAnsi="Calibri" w:cs="Calibri"/>
          <w:sz w:val="22"/>
          <w:szCs w:val="22"/>
        </w:rPr>
        <w:t xml:space="preserve"> </w:t>
      </w:r>
      <w:r w:rsidRPr="00780251">
        <w:rPr>
          <w:rFonts w:ascii="Calibri" w:hAnsi="Calibri" w:cs="Calibri"/>
          <w:sz w:val="22"/>
          <w:szCs w:val="22"/>
        </w:rPr>
        <w:t>que</w:t>
      </w:r>
      <w:r w:rsidR="00404588">
        <w:rPr>
          <w:rFonts w:ascii="Calibri" w:hAnsi="Calibri" w:cs="Calibri"/>
          <w:sz w:val="22"/>
          <w:szCs w:val="22"/>
        </w:rPr>
        <w:t>, por</w:t>
      </w:r>
      <w:r w:rsidRPr="00780251">
        <w:rPr>
          <w:rFonts w:ascii="Calibri" w:hAnsi="Calibri" w:cs="Calibri"/>
          <w:sz w:val="22"/>
          <w:szCs w:val="22"/>
        </w:rPr>
        <w:t xml:space="preserve"> </w:t>
      </w:r>
      <w:r w:rsidR="00404588">
        <w:rPr>
          <w:rFonts w:ascii="Calibri" w:hAnsi="Calibri" w:cs="Calibri"/>
          <w:sz w:val="22"/>
          <w:szCs w:val="22"/>
        </w:rPr>
        <w:t xml:space="preserve">não sofrerem qualquer revisão desde 2013, </w:t>
      </w:r>
      <w:r w:rsidRPr="00780251">
        <w:rPr>
          <w:rFonts w:ascii="Calibri" w:hAnsi="Calibri" w:cs="Calibri"/>
          <w:sz w:val="22"/>
          <w:szCs w:val="22"/>
        </w:rPr>
        <w:t>não reflet</w:t>
      </w:r>
      <w:r w:rsidR="00404588">
        <w:rPr>
          <w:rFonts w:ascii="Calibri" w:hAnsi="Calibri" w:cs="Calibri"/>
          <w:sz w:val="22"/>
          <w:szCs w:val="22"/>
        </w:rPr>
        <w:t>em</w:t>
      </w:r>
      <w:r w:rsidRPr="00780251">
        <w:rPr>
          <w:rFonts w:ascii="Calibri" w:hAnsi="Calibri" w:cs="Calibri"/>
          <w:sz w:val="22"/>
          <w:szCs w:val="22"/>
        </w:rPr>
        <w:t xml:space="preserve"> a evolução tecnológica nem as práticas clínicas atuais</w:t>
      </w:r>
      <w:r w:rsidR="00404588">
        <w:rPr>
          <w:rFonts w:ascii="Calibri" w:hAnsi="Calibri" w:cs="Calibri"/>
          <w:sz w:val="22"/>
          <w:szCs w:val="22"/>
        </w:rPr>
        <w:t xml:space="preserve">, colocando em causa a </w:t>
      </w:r>
      <w:r w:rsidR="00404588" w:rsidRPr="00FC1622">
        <w:rPr>
          <w:rFonts w:ascii="Calibri" w:hAnsi="Calibri" w:cs="Calibri"/>
          <w:sz w:val="22"/>
          <w:szCs w:val="22"/>
        </w:rPr>
        <w:t>sustentabilidade do setor convencionado</w:t>
      </w:r>
      <w:r w:rsidRPr="00780251">
        <w:rPr>
          <w:rFonts w:ascii="Calibri" w:hAnsi="Calibri" w:cs="Calibri"/>
          <w:sz w:val="22"/>
          <w:szCs w:val="22"/>
        </w:rPr>
        <w:t>. A conju</w:t>
      </w:r>
      <w:r w:rsidR="00876FCD">
        <w:rPr>
          <w:rFonts w:ascii="Calibri" w:hAnsi="Calibri" w:cs="Calibri"/>
          <w:sz w:val="22"/>
          <w:szCs w:val="22"/>
        </w:rPr>
        <w:t>gação</w:t>
      </w:r>
      <w:r w:rsidRPr="00780251">
        <w:rPr>
          <w:rFonts w:ascii="Calibri" w:hAnsi="Calibri" w:cs="Calibri"/>
          <w:sz w:val="22"/>
          <w:szCs w:val="22"/>
        </w:rPr>
        <w:t xml:space="preserve"> destes fatores </w:t>
      </w:r>
      <w:r w:rsidR="00876FCD">
        <w:rPr>
          <w:rFonts w:ascii="Calibri" w:hAnsi="Calibri" w:cs="Calibri"/>
          <w:sz w:val="22"/>
          <w:szCs w:val="22"/>
        </w:rPr>
        <w:t xml:space="preserve">tem um </w:t>
      </w:r>
      <w:r w:rsidR="000F0FBD">
        <w:rPr>
          <w:rFonts w:ascii="Calibri" w:hAnsi="Calibri" w:cs="Calibri"/>
          <w:sz w:val="22"/>
          <w:szCs w:val="22"/>
        </w:rPr>
        <w:t xml:space="preserve">duplo </w:t>
      </w:r>
      <w:r w:rsidR="00876FCD">
        <w:rPr>
          <w:rFonts w:ascii="Calibri" w:hAnsi="Calibri" w:cs="Calibri"/>
          <w:sz w:val="22"/>
          <w:szCs w:val="22"/>
        </w:rPr>
        <w:t>impacto negativo</w:t>
      </w:r>
      <w:r w:rsidRPr="00780251">
        <w:rPr>
          <w:rFonts w:ascii="Calibri" w:hAnsi="Calibri" w:cs="Calibri"/>
          <w:sz w:val="22"/>
          <w:szCs w:val="22"/>
        </w:rPr>
        <w:t xml:space="preserve">: por um lado, a </w:t>
      </w:r>
      <w:r w:rsidRPr="00780251">
        <w:rPr>
          <w:rFonts w:ascii="Calibri" w:hAnsi="Calibri" w:cs="Calibri"/>
          <w:sz w:val="22"/>
          <w:szCs w:val="22"/>
        </w:rPr>
        <w:lastRenderedPageBreak/>
        <w:t xml:space="preserve">internalização </w:t>
      </w:r>
      <w:r w:rsidR="008C7C89">
        <w:rPr>
          <w:rFonts w:ascii="Calibri" w:hAnsi="Calibri" w:cs="Calibri"/>
          <w:sz w:val="22"/>
          <w:szCs w:val="22"/>
        </w:rPr>
        <w:t>aumenta</w:t>
      </w:r>
      <w:r w:rsidRPr="00780251">
        <w:rPr>
          <w:rFonts w:ascii="Calibri" w:hAnsi="Calibri" w:cs="Calibri"/>
          <w:sz w:val="22"/>
          <w:szCs w:val="22"/>
        </w:rPr>
        <w:t xml:space="preserve"> os custos direta</w:t>
      </w:r>
      <w:r w:rsidR="008C7C89">
        <w:rPr>
          <w:rFonts w:ascii="Calibri" w:hAnsi="Calibri" w:cs="Calibri"/>
          <w:sz w:val="22"/>
          <w:szCs w:val="22"/>
        </w:rPr>
        <w:t>mente</w:t>
      </w:r>
      <w:r w:rsidRPr="00780251">
        <w:rPr>
          <w:rFonts w:ascii="Calibri" w:hAnsi="Calibri" w:cs="Calibri"/>
          <w:sz w:val="22"/>
          <w:szCs w:val="22"/>
        </w:rPr>
        <w:t>; por outro, a rede convencionada enfrenta limitações financeiras para se adaptar e investir, reforçando desigualdades no acesso e fragilizando a sustentabilidade de um sistema que realiza milh</w:t>
      </w:r>
      <w:r w:rsidR="004E0BE4">
        <w:rPr>
          <w:rFonts w:ascii="Calibri" w:hAnsi="Calibri" w:cs="Calibri"/>
          <w:sz w:val="22"/>
          <w:szCs w:val="22"/>
        </w:rPr>
        <w:t>ares</w:t>
      </w:r>
      <w:r w:rsidRPr="00780251">
        <w:rPr>
          <w:rFonts w:ascii="Calibri" w:hAnsi="Calibri" w:cs="Calibri"/>
          <w:sz w:val="22"/>
          <w:szCs w:val="22"/>
        </w:rPr>
        <w:t xml:space="preserve"> de </w:t>
      </w:r>
      <w:r w:rsidR="00E32F69">
        <w:rPr>
          <w:rFonts w:ascii="Calibri" w:hAnsi="Calibri" w:cs="Calibri"/>
          <w:sz w:val="22"/>
          <w:szCs w:val="22"/>
        </w:rPr>
        <w:t>atos</w:t>
      </w:r>
      <w:r w:rsidRPr="00780251">
        <w:rPr>
          <w:rFonts w:ascii="Calibri" w:hAnsi="Calibri" w:cs="Calibri"/>
          <w:sz w:val="22"/>
          <w:szCs w:val="22"/>
        </w:rPr>
        <w:t xml:space="preserve"> todos os anos</w:t>
      </w:r>
      <w:r w:rsidR="004E0BE4">
        <w:rPr>
          <w:rFonts w:ascii="Calibri" w:hAnsi="Calibri" w:cs="Calibri"/>
          <w:sz w:val="22"/>
          <w:szCs w:val="22"/>
        </w:rPr>
        <w:t>.</w:t>
      </w:r>
    </w:p>
    <w:p w14:paraId="35DF8056" w14:textId="2DC166FB" w:rsidR="003B012B" w:rsidRDefault="00B82099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B82099">
        <w:rPr>
          <w:rFonts w:ascii="Calibri" w:hAnsi="Calibri" w:cs="Calibri"/>
          <w:i/>
          <w:iCs/>
          <w:sz w:val="22"/>
          <w:szCs w:val="22"/>
        </w:rPr>
        <w:t xml:space="preserve">"A </w:t>
      </w:r>
      <w:r w:rsidR="009F72BC">
        <w:rPr>
          <w:rFonts w:ascii="Calibri" w:hAnsi="Calibri" w:cs="Calibri"/>
          <w:i/>
          <w:iCs/>
          <w:sz w:val="22"/>
          <w:szCs w:val="22"/>
        </w:rPr>
        <w:t>robustez</w:t>
      </w:r>
      <w:r w:rsidRPr="00B82099">
        <w:rPr>
          <w:rFonts w:ascii="Calibri" w:hAnsi="Calibri" w:cs="Calibri"/>
          <w:i/>
          <w:iCs/>
          <w:sz w:val="22"/>
          <w:szCs w:val="22"/>
        </w:rPr>
        <w:t xml:space="preserve"> de um sistema </w:t>
      </w:r>
      <w:r w:rsidR="00BD0E3F">
        <w:rPr>
          <w:rFonts w:ascii="Calibri" w:hAnsi="Calibri" w:cs="Calibri"/>
          <w:i/>
          <w:iCs/>
          <w:sz w:val="22"/>
          <w:szCs w:val="22"/>
        </w:rPr>
        <w:t xml:space="preserve">nacional </w:t>
      </w:r>
      <w:r w:rsidRPr="00B82099">
        <w:rPr>
          <w:rFonts w:ascii="Calibri" w:hAnsi="Calibri" w:cs="Calibri"/>
          <w:i/>
          <w:iCs/>
          <w:sz w:val="22"/>
          <w:szCs w:val="22"/>
        </w:rPr>
        <w:t xml:space="preserve">de saúde não </w:t>
      </w:r>
      <w:r w:rsidR="000C5345">
        <w:rPr>
          <w:rFonts w:ascii="Calibri" w:hAnsi="Calibri" w:cs="Calibri"/>
          <w:i/>
          <w:iCs/>
          <w:sz w:val="22"/>
          <w:szCs w:val="22"/>
        </w:rPr>
        <w:t>deve ser medida</w:t>
      </w:r>
      <w:r w:rsidR="00A20A93">
        <w:rPr>
          <w:rFonts w:ascii="Calibri" w:hAnsi="Calibri" w:cs="Calibri"/>
          <w:i/>
          <w:iCs/>
          <w:sz w:val="22"/>
          <w:szCs w:val="22"/>
        </w:rPr>
        <w:t xml:space="preserve"> pela capacidade de produção interna e individual</w:t>
      </w:r>
      <w:r w:rsidRPr="00B82099">
        <w:rPr>
          <w:rFonts w:ascii="Calibri" w:hAnsi="Calibri" w:cs="Calibri"/>
          <w:i/>
          <w:iCs/>
          <w:sz w:val="22"/>
          <w:szCs w:val="22"/>
        </w:rPr>
        <w:t xml:space="preserve">, mas </w:t>
      </w:r>
      <w:r w:rsidR="000C5345">
        <w:rPr>
          <w:rFonts w:ascii="Calibri" w:hAnsi="Calibri" w:cs="Calibri"/>
          <w:i/>
          <w:iCs/>
          <w:sz w:val="22"/>
          <w:szCs w:val="22"/>
        </w:rPr>
        <w:t xml:space="preserve">sim </w:t>
      </w:r>
      <w:r w:rsidRPr="00B82099">
        <w:rPr>
          <w:rFonts w:ascii="Calibri" w:hAnsi="Calibri" w:cs="Calibri"/>
          <w:i/>
          <w:iCs/>
          <w:sz w:val="22"/>
          <w:szCs w:val="22"/>
        </w:rPr>
        <w:t>pela capacidade de articula</w:t>
      </w:r>
      <w:r w:rsidR="000C5345">
        <w:rPr>
          <w:rFonts w:ascii="Calibri" w:hAnsi="Calibri" w:cs="Calibri"/>
          <w:i/>
          <w:iCs/>
          <w:sz w:val="22"/>
          <w:szCs w:val="22"/>
        </w:rPr>
        <w:t>ção</w:t>
      </w:r>
      <w:r w:rsidRPr="00B82099">
        <w:rPr>
          <w:rFonts w:ascii="Calibri" w:hAnsi="Calibri" w:cs="Calibri"/>
          <w:i/>
          <w:iCs/>
          <w:sz w:val="22"/>
          <w:szCs w:val="22"/>
        </w:rPr>
        <w:t xml:space="preserve"> e valoriza</w:t>
      </w:r>
      <w:r w:rsidR="000C5345">
        <w:rPr>
          <w:rFonts w:ascii="Calibri" w:hAnsi="Calibri" w:cs="Calibri"/>
          <w:i/>
          <w:iCs/>
          <w:sz w:val="22"/>
          <w:szCs w:val="22"/>
        </w:rPr>
        <w:t>ção de</w:t>
      </w:r>
      <w:r w:rsidRPr="00B82099">
        <w:rPr>
          <w:rFonts w:ascii="Calibri" w:hAnsi="Calibri" w:cs="Calibri"/>
          <w:i/>
          <w:iCs/>
          <w:sz w:val="22"/>
          <w:szCs w:val="22"/>
        </w:rPr>
        <w:t xml:space="preserve"> todos os seus parceiros. Preservar e reforçar o setor convencionado é garantir qualidade, </w:t>
      </w:r>
      <w:r w:rsidR="00B51AAE">
        <w:rPr>
          <w:rFonts w:ascii="Calibri" w:hAnsi="Calibri" w:cs="Calibri"/>
          <w:i/>
          <w:iCs/>
          <w:sz w:val="22"/>
          <w:szCs w:val="22"/>
        </w:rPr>
        <w:t>cobertura</w:t>
      </w:r>
      <w:r w:rsidR="00316402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B82099">
        <w:rPr>
          <w:rFonts w:ascii="Calibri" w:hAnsi="Calibri" w:cs="Calibri"/>
          <w:i/>
          <w:iCs/>
          <w:sz w:val="22"/>
          <w:szCs w:val="22"/>
        </w:rPr>
        <w:t>equidade e confiança para os cidadãos"</w:t>
      </w:r>
      <w:r w:rsidR="00FD1DD6">
        <w:rPr>
          <w:rFonts w:ascii="Calibri" w:hAnsi="Calibri" w:cs="Calibri"/>
          <w:sz w:val="22"/>
          <w:szCs w:val="22"/>
        </w:rPr>
        <w:t xml:space="preserve">, </w:t>
      </w:r>
      <w:r w:rsidR="00FD1DD6" w:rsidRPr="00451F3A">
        <w:rPr>
          <w:rFonts w:ascii="Calibri" w:hAnsi="Calibri" w:cs="Calibri"/>
          <w:sz w:val="22"/>
          <w:szCs w:val="22"/>
        </w:rPr>
        <w:t>alerta Nuno Castro Marques, Diretor-Geral da ANL</w:t>
      </w:r>
      <w:r w:rsidR="00FD1DD6">
        <w:rPr>
          <w:rFonts w:ascii="Calibri" w:hAnsi="Calibri" w:cs="Calibri"/>
          <w:sz w:val="22"/>
          <w:szCs w:val="22"/>
        </w:rPr>
        <w:t>.</w:t>
      </w:r>
    </w:p>
    <w:p w14:paraId="1D6A5366" w14:textId="5F7C72C2" w:rsidR="005A5134" w:rsidRDefault="009D7C11" w:rsidP="008E53EB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9D7C11">
        <w:rPr>
          <w:rFonts w:ascii="Calibri" w:hAnsi="Calibri" w:cs="Calibri"/>
          <w:sz w:val="22"/>
          <w:szCs w:val="22"/>
        </w:rPr>
        <w:t xml:space="preserve">A </w:t>
      </w:r>
      <w:r w:rsidR="0086750D" w:rsidRPr="0086750D">
        <w:rPr>
          <w:rFonts w:ascii="Calibri" w:hAnsi="Calibri" w:cs="Calibri"/>
          <w:sz w:val="22"/>
          <w:szCs w:val="22"/>
        </w:rPr>
        <w:t>Associação Nacional dos Laboratórios Clínicos</w:t>
      </w:r>
      <w:r w:rsidR="00C10F12">
        <w:rPr>
          <w:rFonts w:ascii="Calibri" w:hAnsi="Calibri" w:cs="Calibri"/>
          <w:sz w:val="22"/>
          <w:szCs w:val="22"/>
        </w:rPr>
        <w:t xml:space="preserve"> </w:t>
      </w:r>
      <w:r w:rsidRPr="009D7C11">
        <w:rPr>
          <w:rFonts w:ascii="Calibri" w:hAnsi="Calibri" w:cs="Calibri"/>
          <w:sz w:val="22"/>
          <w:szCs w:val="22"/>
        </w:rPr>
        <w:t xml:space="preserve">apela às autoridades de saúde para que adotem medidas que revertam estas práticas e reforcem o papel do setor convencionado, garantindo um modelo transparente, competitivo e verdadeiramente centrado no utente. </w:t>
      </w:r>
    </w:p>
    <w:p w14:paraId="31EC1619" w14:textId="77777777" w:rsidR="00032806" w:rsidRDefault="00032806" w:rsidP="009D7C11">
      <w:pPr>
        <w:jc w:val="both"/>
      </w:pPr>
    </w:p>
    <w:p w14:paraId="0F8B78DB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b/>
          <w:bCs/>
          <w:sz w:val="18"/>
          <w:szCs w:val="18"/>
        </w:rPr>
      </w:pPr>
      <w:r w:rsidRPr="00465E81">
        <w:rPr>
          <w:rFonts w:ascii="Calibri" w:eastAsia="Aptos" w:hAnsi="Calibri" w:cs="Calibri"/>
          <w:b/>
          <w:bCs/>
          <w:sz w:val="18"/>
          <w:szCs w:val="18"/>
        </w:rPr>
        <w:t xml:space="preserve">Sobre a </w:t>
      </w:r>
      <w:bookmarkStart w:id="0" w:name="_Hlk207893505"/>
      <w:r w:rsidRPr="00465E81">
        <w:rPr>
          <w:rFonts w:ascii="Calibri" w:eastAsia="Aptos" w:hAnsi="Calibri" w:cs="Calibri"/>
          <w:b/>
          <w:bCs/>
          <w:sz w:val="18"/>
          <w:szCs w:val="18"/>
        </w:rPr>
        <w:t xml:space="preserve">Associação Nacional dos Laboratórios Clínicos </w:t>
      </w:r>
      <w:bookmarkEnd w:id="0"/>
      <w:r w:rsidRPr="00465E81">
        <w:rPr>
          <w:rFonts w:ascii="Calibri" w:eastAsia="Aptos" w:hAnsi="Calibri" w:cs="Calibri"/>
          <w:b/>
          <w:bCs/>
          <w:sz w:val="18"/>
          <w:szCs w:val="18"/>
        </w:rPr>
        <w:t>(ANL)</w:t>
      </w:r>
    </w:p>
    <w:p w14:paraId="74A81D1B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sz w:val="18"/>
          <w:szCs w:val="18"/>
        </w:rPr>
      </w:pPr>
    </w:p>
    <w:p w14:paraId="707193CF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sz w:val="18"/>
          <w:szCs w:val="18"/>
        </w:rPr>
      </w:pPr>
      <w:r w:rsidRPr="00465E81">
        <w:rPr>
          <w:rFonts w:ascii="Calibri" w:eastAsia="Aptos" w:hAnsi="Calibri" w:cs="Calibri"/>
          <w:sz w:val="18"/>
          <w:szCs w:val="18"/>
        </w:rPr>
        <w:t xml:space="preserve">A Associação Nacional de Laboratórios Clínicos (ANL) foi fundada em 2005 com a missão de representar todas as entidades do setor privado que desenvolvem atividades de análises clínicas/patologia clínica, bem como de investigação biológica ou farmacêutica. É uma associação de natureza empresarial e representa atualmente a maior fatia do setor em Portugal, tanto em volume de negócios como em dimensão das empresas associadas, abrangendo desde pequenas e médias empresas até aos maiores grupos laboratoriais do país. A ANL tem como objetivo central defender a estabilidade, a sobrevivência e o progresso do setor, promovendo a competitividade, a manutenção dos postos de trabalho e a excelência dos serviços que os laboratórios privados prestam à população. Mais informações em </w:t>
      </w:r>
      <w:hyperlink r:id="rId7" w:history="1">
        <w:r w:rsidRPr="00465E81">
          <w:rPr>
            <w:rFonts w:ascii="Calibri" w:eastAsia="Aptos" w:hAnsi="Calibri" w:cs="Calibri"/>
            <w:color w:val="467886"/>
            <w:sz w:val="18"/>
            <w:szCs w:val="18"/>
            <w:u w:val="single"/>
          </w:rPr>
          <w:t>Associação Nacional dos Laboratórios Clínicos</w:t>
        </w:r>
      </w:hyperlink>
      <w:r w:rsidRPr="00465E81">
        <w:rPr>
          <w:rFonts w:ascii="Calibri" w:eastAsia="Aptos" w:hAnsi="Calibri" w:cs="Calibri"/>
          <w:sz w:val="18"/>
          <w:szCs w:val="18"/>
        </w:rPr>
        <w:t>.</w:t>
      </w:r>
    </w:p>
    <w:p w14:paraId="504067E8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</w:p>
    <w:p w14:paraId="51DF04EC" w14:textId="77777777" w:rsidR="005A5134" w:rsidRPr="00465E81" w:rsidRDefault="005A5134" w:rsidP="005A5134">
      <w:pPr>
        <w:spacing w:after="0" w:line="240" w:lineRule="auto"/>
        <w:rPr>
          <w:rFonts w:ascii="Calibri" w:eastAsia="Aptos" w:hAnsi="Calibri" w:cs="Calibri"/>
          <w:b/>
          <w:bCs/>
          <w:sz w:val="22"/>
          <w:szCs w:val="22"/>
        </w:rPr>
      </w:pPr>
    </w:p>
    <w:p w14:paraId="73CCC32C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b/>
          <w:color w:val="000000"/>
          <w:sz w:val="22"/>
          <w:szCs w:val="22"/>
        </w:rPr>
      </w:pPr>
      <w:r w:rsidRPr="00465E81">
        <w:rPr>
          <w:rFonts w:ascii="Calibri" w:eastAsia="Aptos" w:hAnsi="Calibri" w:cs="Calibri"/>
          <w:b/>
          <w:color w:val="000000"/>
          <w:sz w:val="22"/>
          <w:szCs w:val="22"/>
        </w:rPr>
        <w:t>Para mais informações contactar, por favor:</w:t>
      </w:r>
    </w:p>
    <w:p w14:paraId="11686F57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b/>
          <w:color w:val="000000"/>
          <w:sz w:val="22"/>
          <w:szCs w:val="22"/>
          <w:u w:val="single"/>
        </w:rPr>
      </w:pPr>
    </w:p>
    <w:p w14:paraId="6E8415EC" w14:textId="77777777" w:rsidR="005A5134" w:rsidRPr="00465E81" w:rsidRDefault="005A5134" w:rsidP="005A5134">
      <w:pPr>
        <w:spacing w:after="0" w:line="240" w:lineRule="auto"/>
        <w:jc w:val="both"/>
        <w:rPr>
          <w:rFonts w:ascii="Calibri" w:eastAsia="Aptos" w:hAnsi="Calibri" w:cs="Calibri"/>
          <w:bCs/>
          <w:color w:val="000000"/>
          <w:sz w:val="22"/>
          <w:szCs w:val="22"/>
        </w:rPr>
      </w:pPr>
      <w:r w:rsidRPr="00465E81">
        <w:rPr>
          <w:rFonts w:ascii="Calibri" w:eastAsia="Aptos" w:hAnsi="Calibri" w:cs="Calibri"/>
          <w:bCs/>
          <w:color w:val="000000"/>
          <w:sz w:val="22"/>
          <w:szCs w:val="22"/>
        </w:rPr>
        <w:t xml:space="preserve">Carla Rodrigues | </w:t>
      </w:r>
      <w:hyperlink r:id="rId8" w:history="1">
        <w:r w:rsidRPr="00465E81">
          <w:rPr>
            <w:rFonts w:ascii="Calibri" w:eastAsia="Aptos" w:hAnsi="Calibri" w:cs="Calibri"/>
            <w:bCs/>
            <w:color w:val="467886"/>
            <w:sz w:val="22"/>
            <w:szCs w:val="22"/>
            <w:u w:val="single"/>
          </w:rPr>
          <w:t>carla.rodrigues@lift.com.pt</w:t>
        </w:r>
      </w:hyperlink>
      <w:r w:rsidRPr="00465E81">
        <w:rPr>
          <w:rFonts w:ascii="Calibri" w:eastAsia="Aptos" w:hAnsi="Calibri" w:cs="Calibri"/>
          <w:bCs/>
          <w:color w:val="000000"/>
          <w:sz w:val="22"/>
          <w:szCs w:val="22"/>
        </w:rPr>
        <w:t xml:space="preserve"> | 915 193 379</w:t>
      </w:r>
    </w:p>
    <w:p w14:paraId="5C49FD36" w14:textId="21730DDE" w:rsidR="005A5134" w:rsidRDefault="005A5134" w:rsidP="005A5134">
      <w:pPr>
        <w:spacing w:after="0" w:line="240" w:lineRule="auto"/>
        <w:rPr>
          <w:rFonts w:ascii="Calibri" w:eastAsia="Aptos" w:hAnsi="Calibri" w:cs="Calibri"/>
          <w:color w:val="000000"/>
          <w:sz w:val="22"/>
          <w:szCs w:val="22"/>
        </w:rPr>
      </w:pPr>
      <w:r w:rsidRPr="00465E81">
        <w:rPr>
          <w:rFonts w:ascii="Calibri" w:eastAsia="Aptos" w:hAnsi="Calibri" w:cs="Calibri"/>
          <w:color w:val="000000"/>
          <w:sz w:val="22"/>
          <w:szCs w:val="22"/>
        </w:rPr>
        <w:t xml:space="preserve">Anabela Pereira | </w:t>
      </w:r>
      <w:hyperlink r:id="rId9" w:history="1">
        <w:r w:rsidRPr="00465E81">
          <w:rPr>
            <w:rFonts w:ascii="Calibri" w:eastAsia="Aptos" w:hAnsi="Calibri" w:cs="Calibri"/>
            <w:color w:val="467886"/>
            <w:sz w:val="22"/>
            <w:szCs w:val="22"/>
            <w:u w:val="single"/>
          </w:rPr>
          <w:t>anabela@pereira@lift.com.pt</w:t>
        </w:r>
      </w:hyperlink>
      <w:r w:rsidRPr="00465E81">
        <w:rPr>
          <w:rFonts w:ascii="Calibri" w:eastAsia="Aptos" w:hAnsi="Calibri" w:cs="Calibri"/>
          <w:color w:val="000000"/>
          <w:sz w:val="22"/>
          <w:szCs w:val="22"/>
        </w:rPr>
        <w:t xml:space="preserve"> | 936 282</w:t>
      </w:r>
      <w:r w:rsidR="00B33F33">
        <w:rPr>
          <w:rFonts w:ascii="Calibri" w:eastAsia="Aptos" w:hAnsi="Calibri" w:cs="Calibri"/>
          <w:color w:val="000000"/>
          <w:sz w:val="22"/>
          <w:szCs w:val="22"/>
        </w:rPr>
        <w:t> </w:t>
      </w:r>
      <w:r w:rsidRPr="00465E81">
        <w:rPr>
          <w:rFonts w:ascii="Calibri" w:eastAsia="Aptos" w:hAnsi="Calibri" w:cs="Calibri"/>
          <w:color w:val="000000"/>
          <w:sz w:val="22"/>
          <w:szCs w:val="22"/>
        </w:rPr>
        <w:t>863</w:t>
      </w:r>
    </w:p>
    <w:p w14:paraId="2EB58364" w14:textId="2B6F1ED5" w:rsidR="00B33F33" w:rsidRPr="00B33F33" w:rsidRDefault="00B33F33" w:rsidP="00B33F33">
      <w:pPr>
        <w:spacing w:after="0" w:line="240" w:lineRule="auto"/>
        <w:rPr>
          <w:rFonts w:ascii="Calibri" w:eastAsia="Aptos" w:hAnsi="Calibri" w:cs="Calibri"/>
          <w:color w:val="000000"/>
          <w:sz w:val="22"/>
          <w:szCs w:val="22"/>
        </w:rPr>
      </w:pPr>
      <w:r w:rsidRPr="00B33F33">
        <w:rPr>
          <w:rFonts w:ascii="Calibri" w:eastAsia="Aptos" w:hAnsi="Calibri" w:cs="Calibri"/>
          <w:color w:val="000000"/>
          <w:sz w:val="22"/>
          <w:szCs w:val="22"/>
        </w:rPr>
        <w:t xml:space="preserve">Matilde Branco | </w:t>
      </w:r>
      <w:hyperlink r:id="rId10" w:history="1">
        <w:r w:rsidR="00DE52B5" w:rsidRPr="009E260D">
          <w:rPr>
            <w:rStyle w:val="Hiperligao"/>
            <w:rFonts w:ascii="Calibri" w:eastAsia="Aptos" w:hAnsi="Calibri" w:cs="Calibri"/>
            <w:sz w:val="22"/>
            <w:szCs w:val="22"/>
          </w:rPr>
          <w:t>matilde.branco@lift.com.pt</w:t>
        </w:r>
      </w:hyperlink>
      <w:r w:rsidRPr="00B33F33">
        <w:rPr>
          <w:rFonts w:ascii="Calibri" w:eastAsia="Aptos" w:hAnsi="Calibri" w:cs="Calibri"/>
          <w:color w:val="000000"/>
          <w:sz w:val="22"/>
          <w:szCs w:val="22"/>
        </w:rPr>
        <w:t xml:space="preserve"> | 914 417 504</w:t>
      </w:r>
    </w:p>
    <w:p w14:paraId="7D4D673E" w14:textId="77777777" w:rsidR="00B33F33" w:rsidRPr="00465E81" w:rsidRDefault="00B33F33" w:rsidP="005A5134">
      <w:pPr>
        <w:spacing w:after="0" w:line="240" w:lineRule="auto"/>
        <w:rPr>
          <w:rFonts w:ascii="Calibri" w:eastAsia="Aptos" w:hAnsi="Calibri" w:cs="Calibri"/>
          <w:b/>
          <w:bCs/>
          <w:sz w:val="22"/>
          <w:szCs w:val="22"/>
        </w:rPr>
      </w:pPr>
    </w:p>
    <w:p w14:paraId="1D83F1D6" w14:textId="77777777" w:rsidR="005A5134" w:rsidRDefault="005A5134" w:rsidP="005A5134"/>
    <w:p w14:paraId="231C4B8F" w14:textId="77777777" w:rsidR="005A5134" w:rsidRDefault="005A5134"/>
    <w:sectPr w:rsidR="005A5134" w:rsidSect="005A5134">
      <w:headerReference w:type="default" r:id="rId11"/>
      <w:pgSz w:w="11906" w:h="16838"/>
      <w:pgMar w:top="22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D314" w14:textId="77777777" w:rsidR="00D45636" w:rsidRDefault="00D45636" w:rsidP="005A5134">
      <w:pPr>
        <w:spacing w:after="0" w:line="240" w:lineRule="auto"/>
      </w:pPr>
      <w:r>
        <w:separator/>
      </w:r>
    </w:p>
  </w:endnote>
  <w:endnote w:type="continuationSeparator" w:id="0">
    <w:p w14:paraId="3FF9447B" w14:textId="77777777" w:rsidR="00D45636" w:rsidRDefault="00D45636" w:rsidP="005A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ABD9" w14:textId="77777777" w:rsidR="00D45636" w:rsidRDefault="00D45636" w:rsidP="005A5134">
      <w:pPr>
        <w:spacing w:after="0" w:line="240" w:lineRule="auto"/>
      </w:pPr>
      <w:r>
        <w:separator/>
      </w:r>
    </w:p>
  </w:footnote>
  <w:footnote w:type="continuationSeparator" w:id="0">
    <w:p w14:paraId="4503669B" w14:textId="77777777" w:rsidR="00D45636" w:rsidRDefault="00D45636" w:rsidP="005A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E58C" w14:textId="4C4ABA11" w:rsidR="005A5134" w:rsidRDefault="005A5134">
    <w:pPr>
      <w:pStyle w:val="Cabealho"/>
    </w:pPr>
    <w:r w:rsidRPr="00465E81">
      <w:rPr>
        <w:rFonts w:ascii="Arial Narrow" w:eastAsia="Aptos" w:hAnsi="Arial Narrow" w:cs="Times New Roman"/>
        <w:noProof/>
      </w:rPr>
      <w:drawing>
        <wp:anchor distT="0" distB="0" distL="114300" distR="114300" simplePos="0" relativeHeight="251659264" behindDoc="0" locked="0" layoutInCell="1" allowOverlap="1" wp14:anchorId="69D0F71D" wp14:editId="10A504A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6420" cy="678180"/>
          <wp:effectExtent l="0" t="0" r="5080" b="0"/>
          <wp:wrapNone/>
          <wp:docPr id="541591587" name="Imagem 1" descr="Uma imagem com texto, Gráficos, captura de ecrã, design gráf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BAC63D82-1C59-F840-8D8D-1C50D7031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m texto, Gráficos, captura de ecrã, design gráfico&#10;&#10;Descrição gerada automaticamente">
                    <a:extLst>
                      <a:ext uri="{FF2B5EF4-FFF2-40B4-BE49-F238E27FC236}">
                        <a16:creationId xmlns:a16="http://schemas.microsoft.com/office/drawing/2014/main" id="{BAC63D82-1C59-F840-8D8D-1C50D7031C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10DD"/>
    <w:multiLevelType w:val="hybridMultilevel"/>
    <w:tmpl w:val="3544E5C8"/>
    <w:lvl w:ilvl="0" w:tplc="0816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num w:numId="1" w16cid:durableId="1960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34"/>
    <w:rsid w:val="00011A38"/>
    <w:rsid w:val="00013826"/>
    <w:rsid w:val="00032806"/>
    <w:rsid w:val="00052CB6"/>
    <w:rsid w:val="00063F4F"/>
    <w:rsid w:val="00066954"/>
    <w:rsid w:val="000832F3"/>
    <w:rsid w:val="00084D0E"/>
    <w:rsid w:val="000C5345"/>
    <w:rsid w:val="000D0781"/>
    <w:rsid w:val="000F0FBD"/>
    <w:rsid w:val="000F1ED0"/>
    <w:rsid w:val="001026D1"/>
    <w:rsid w:val="0010754D"/>
    <w:rsid w:val="001233E6"/>
    <w:rsid w:val="00147A11"/>
    <w:rsid w:val="001E0A0A"/>
    <w:rsid w:val="002258E6"/>
    <w:rsid w:val="00225DFE"/>
    <w:rsid w:val="00232AD3"/>
    <w:rsid w:val="00233B86"/>
    <w:rsid w:val="00233F46"/>
    <w:rsid w:val="0023455F"/>
    <w:rsid w:val="00244E9F"/>
    <w:rsid w:val="00256519"/>
    <w:rsid w:val="0027729A"/>
    <w:rsid w:val="002807B6"/>
    <w:rsid w:val="00283652"/>
    <w:rsid w:val="002928FF"/>
    <w:rsid w:val="00295AFF"/>
    <w:rsid w:val="002B3EBA"/>
    <w:rsid w:val="002F62E3"/>
    <w:rsid w:val="003073B8"/>
    <w:rsid w:val="00316402"/>
    <w:rsid w:val="00351E28"/>
    <w:rsid w:val="0035460D"/>
    <w:rsid w:val="003600CE"/>
    <w:rsid w:val="003636C2"/>
    <w:rsid w:val="00372637"/>
    <w:rsid w:val="00386AB9"/>
    <w:rsid w:val="00387ECC"/>
    <w:rsid w:val="003A1E8C"/>
    <w:rsid w:val="003A5B15"/>
    <w:rsid w:val="003B012B"/>
    <w:rsid w:val="003E0133"/>
    <w:rsid w:val="003E1AF8"/>
    <w:rsid w:val="003E58EB"/>
    <w:rsid w:val="003F1BC2"/>
    <w:rsid w:val="00404588"/>
    <w:rsid w:val="00451F3A"/>
    <w:rsid w:val="00474741"/>
    <w:rsid w:val="00484655"/>
    <w:rsid w:val="00490962"/>
    <w:rsid w:val="004C686B"/>
    <w:rsid w:val="004E0BE4"/>
    <w:rsid w:val="004F3172"/>
    <w:rsid w:val="00510AEA"/>
    <w:rsid w:val="00517467"/>
    <w:rsid w:val="00553036"/>
    <w:rsid w:val="00570C1F"/>
    <w:rsid w:val="005921B2"/>
    <w:rsid w:val="005A5134"/>
    <w:rsid w:val="005C0893"/>
    <w:rsid w:val="005C17AE"/>
    <w:rsid w:val="005D1D60"/>
    <w:rsid w:val="005D21D6"/>
    <w:rsid w:val="005F0E50"/>
    <w:rsid w:val="00650D62"/>
    <w:rsid w:val="00657A2E"/>
    <w:rsid w:val="006650DE"/>
    <w:rsid w:val="006B435E"/>
    <w:rsid w:val="006C023C"/>
    <w:rsid w:val="006C2A10"/>
    <w:rsid w:val="006D198E"/>
    <w:rsid w:val="006E5216"/>
    <w:rsid w:val="00705B1F"/>
    <w:rsid w:val="00723485"/>
    <w:rsid w:val="00726B34"/>
    <w:rsid w:val="00733A54"/>
    <w:rsid w:val="00740B7D"/>
    <w:rsid w:val="007420F9"/>
    <w:rsid w:val="00744C18"/>
    <w:rsid w:val="00766AA5"/>
    <w:rsid w:val="0077602D"/>
    <w:rsid w:val="00780251"/>
    <w:rsid w:val="00784EC2"/>
    <w:rsid w:val="007A601A"/>
    <w:rsid w:val="007C1C26"/>
    <w:rsid w:val="007E32A9"/>
    <w:rsid w:val="007F0B01"/>
    <w:rsid w:val="00815C37"/>
    <w:rsid w:val="0086750D"/>
    <w:rsid w:val="00871C7A"/>
    <w:rsid w:val="00876FCD"/>
    <w:rsid w:val="008A4820"/>
    <w:rsid w:val="008B3DD4"/>
    <w:rsid w:val="008B70C6"/>
    <w:rsid w:val="008B7726"/>
    <w:rsid w:val="008C7C89"/>
    <w:rsid w:val="008E53EB"/>
    <w:rsid w:val="008F4B15"/>
    <w:rsid w:val="00943D9A"/>
    <w:rsid w:val="00973225"/>
    <w:rsid w:val="00981C53"/>
    <w:rsid w:val="009C16FE"/>
    <w:rsid w:val="009D4A1C"/>
    <w:rsid w:val="009D7C11"/>
    <w:rsid w:val="009E13FF"/>
    <w:rsid w:val="009F72BC"/>
    <w:rsid w:val="00A05EBF"/>
    <w:rsid w:val="00A134FB"/>
    <w:rsid w:val="00A20A93"/>
    <w:rsid w:val="00A30A30"/>
    <w:rsid w:val="00A66522"/>
    <w:rsid w:val="00A70A96"/>
    <w:rsid w:val="00A72C2B"/>
    <w:rsid w:val="00A82BCA"/>
    <w:rsid w:val="00AB47F7"/>
    <w:rsid w:val="00AD55EE"/>
    <w:rsid w:val="00AD5C2D"/>
    <w:rsid w:val="00AF662F"/>
    <w:rsid w:val="00B01E37"/>
    <w:rsid w:val="00B123ED"/>
    <w:rsid w:val="00B20231"/>
    <w:rsid w:val="00B33F33"/>
    <w:rsid w:val="00B51AAE"/>
    <w:rsid w:val="00B65037"/>
    <w:rsid w:val="00B703C7"/>
    <w:rsid w:val="00B744A0"/>
    <w:rsid w:val="00B82099"/>
    <w:rsid w:val="00B8253C"/>
    <w:rsid w:val="00BA137C"/>
    <w:rsid w:val="00BA3974"/>
    <w:rsid w:val="00BD0E3F"/>
    <w:rsid w:val="00BD1DAB"/>
    <w:rsid w:val="00BF2791"/>
    <w:rsid w:val="00BF72B5"/>
    <w:rsid w:val="00C10F12"/>
    <w:rsid w:val="00C34566"/>
    <w:rsid w:val="00C41C03"/>
    <w:rsid w:val="00C46100"/>
    <w:rsid w:val="00C515B1"/>
    <w:rsid w:val="00C52BB6"/>
    <w:rsid w:val="00C62282"/>
    <w:rsid w:val="00C804EB"/>
    <w:rsid w:val="00CA50EA"/>
    <w:rsid w:val="00CB26DB"/>
    <w:rsid w:val="00CD06EA"/>
    <w:rsid w:val="00D016B5"/>
    <w:rsid w:val="00D05BC0"/>
    <w:rsid w:val="00D13831"/>
    <w:rsid w:val="00D43B83"/>
    <w:rsid w:val="00D45636"/>
    <w:rsid w:val="00D82873"/>
    <w:rsid w:val="00D82CB4"/>
    <w:rsid w:val="00DE52B5"/>
    <w:rsid w:val="00DF3AF1"/>
    <w:rsid w:val="00E07EC2"/>
    <w:rsid w:val="00E14759"/>
    <w:rsid w:val="00E25765"/>
    <w:rsid w:val="00E32F69"/>
    <w:rsid w:val="00E637F4"/>
    <w:rsid w:val="00E74ADC"/>
    <w:rsid w:val="00E800A4"/>
    <w:rsid w:val="00E85A82"/>
    <w:rsid w:val="00ED34D9"/>
    <w:rsid w:val="00ED5FAA"/>
    <w:rsid w:val="00F30305"/>
    <w:rsid w:val="00F4289B"/>
    <w:rsid w:val="00F42A9F"/>
    <w:rsid w:val="00F669A9"/>
    <w:rsid w:val="00F75B70"/>
    <w:rsid w:val="00FA0AC3"/>
    <w:rsid w:val="00FC74D2"/>
    <w:rsid w:val="00FD16D9"/>
    <w:rsid w:val="00FD1DD6"/>
    <w:rsid w:val="00FD67D5"/>
    <w:rsid w:val="0C54BD4F"/>
    <w:rsid w:val="11C0955D"/>
    <w:rsid w:val="283DCC3B"/>
    <w:rsid w:val="35B7CB72"/>
    <w:rsid w:val="403C9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19F4"/>
  <w15:chartTrackingRefBased/>
  <w15:docId w15:val="{F760950F-0A00-40AB-8B1F-7F488E3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134"/>
  </w:style>
  <w:style w:type="paragraph" w:styleId="Ttulo1">
    <w:name w:val="heading 1"/>
    <w:basedOn w:val="Normal"/>
    <w:next w:val="Normal"/>
    <w:link w:val="Ttulo1Carter"/>
    <w:uiPriority w:val="9"/>
    <w:qFormat/>
    <w:rsid w:val="005A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A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A5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A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A5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A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A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A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A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A5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A5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A5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A51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A513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A5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A513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A5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A5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A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A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A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A51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513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A51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A5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A513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A513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A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A5134"/>
  </w:style>
  <w:style w:type="paragraph" w:styleId="Rodap">
    <w:name w:val="footer"/>
    <w:basedOn w:val="Normal"/>
    <w:link w:val="RodapCarter"/>
    <w:uiPriority w:val="99"/>
    <w:unhideWhenUsed/>
    <w:rsid w:val="005A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5134"/>
  </w:style>
  <w:style w:type="character" w:customStyle="1" w:styleId="normaltextrun">
    <w:name w:val="normaltextrun"/>
    <w:basedOn w:val="Tipodeletrapredefinidodopargrafo"/>
    <w:rsid w:val="005A5134"/>
  </w:style>
  <w:style w:type="character" w:customStyle="1" w:styleId="eop">
    <w:name w:val="eop"/>
    <w:basedOn w:val="Tipodeletrapredefinidodopargrafo"/>
    <w:rsid w:val="005A5134"/>
  </w:style>
  <w:style w:type="paragraph" w:styleId="NormalWeb">
    <w:name w:val="Normal (Web)"/>
    <w:basedOn w:val="Normal"/>
    <w:uiPriority w:val="99"/>
    <w:semiHidden/>
    <w:unhideWhenUsed/>
    <w:rsid w:val="002258E6"/>
    <w:rPr>
      <w:rFonts w:ascii="Times New Roman" w:hAnsi="Times New Roman" w:cs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295A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33F33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rodrigues@lift.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lc.pt/pt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ilde.branco@lift.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bela@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781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Matilde Branco</cp:lastModifiedBy>
  <cp:revision>12</cp:revision>
  <dcterms:created xsi:type="dcterms:W3CDTF">2025-09-05T10:24:00Z</dcterms:created>
  <dcterms:modified xsi:type="dcterms:W3CDTF">2025-09-12T23:08:00Z</dcterms:modified>
</cp:coreProperties>
</file>