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C0BDD" w14:textId="77777777" w:rsidR="00CA6BEC" w:rsidRPr="007F79F8" w:rsidRDefault="00CA6BEC" w:rsidP="00C17CB0">
      <w:pPr>
        <w:spacing w:after="0" w:line="240" w:lineRule="auto"/>
        <w:jc w:val="center"/>
        <w:rPr>
          <w:b/>
          <w:bCs/>
          <w:sz w:val="20"/>
          <w:szCs w:val="20"/>
          <w:lang w:val="en-GB"/>
        </w:rPr>
      </w:pPr>
    </w:p>
    <w:p w14:paraId="1BBFC317" w14:textId="77777777" w:rsidR="00CA6BEC" w:rsidRPr="007F79F8" w:rsidRDefault="00CA6BEC" w:rsidP="00C17CB0">
      <w:pPr>
        <w:spacing w:after="0" w:line="240" w:lineRule="auto"/>
        <w:jc w:val="center"/>
        <w:rPr>
          <w:b/>
          <w:bCs/>
          <w:sz w:val="20"/>
          <w:szCs w:val="20"/>
          <w:lang w:val="en-GB"/>
        </w:rPr>
      </w:pPr>
    </w:p>
    <w:p w14:paraId="3131707B" w14:textId="77777777" w:rsidR="00CA6BEC" w:rsidRPr="007F79F8" w:rsidRDefault="00CA6BEC" w:rsidP="00C17CB0">
      <w:pPr>
        <w:spacing w:after="0" w:line="240" w:lineRule="auto"/>
        <w:jc w:val="center"/>
        <w:rPr>
          <w:b/>
          <w:bCs/>
          <w:sz w:val="20"/>
          <w:szCs w:val="20"/>
          <w:lang w:val="en-GB"/>
        </w:rPr>
      </w:pPr>
    </w:p>
    <w:p w14:paraId="438A3573" w14:textId="28E57ED0" w:rsidR="00CA6BEC" w:rsidRPr="007F79F8" w:rsidRDefault="00CA6BEC" w:rsidP="00CA6BEC">
      <w:pPr>
        <w:spacing w:after="0" w:line="240" w:lineRule="auto"/>
        <w:jc w:val="center"/>
        <w:rPr>
          <w:b/>
          <w:bCs/>
          <w:sz w:val="20"/>
          <w:szCs w:val="20"/>
          <w:lang w:val="en-GB"/>
        </w:rPr>
      </w:pPr>
      <w:r w:rsidRPr="007F79F8">
        <w:rPr>
          <w:b/>
          <w:bCs/>
          <w:sz w:val="20"/>
          <w:szCs w:val="20"/>
          <w:lang w:val="en-GB"/>
        </w:rPr>
        <w:t>Pol</w:t>
      </w:r>
      <w:r w:rsidR="00370600" w:rsidRPr="007F79F8">
        <w:rPr>
          <w:b/>
          <w:bCs/>
          <w:sz w:val="20"/>
          <w:szCs w:val="20"/>
          <w:lang w:val="en-GB"/>
        </w:rPr>
        <w:t xml:space="preserve">ish </w:t>
      </w:r>
      <w:r w:rsidR="00344D2C">
        <w:rPr>
          <w:b/>
          <w:bCs/>
          <w:sz w:val="20"/>
          <w:szCs w:val="20"/>
          <w:lang w:val="en-GB"/>
        </w:rPr>
        <w:t>investors</w:t>
      </w:r>
      <w:r w:rsidR="00330F0E" w:rsidRPr="007F79F8">
        <w:rPr>
          <w:b/>
          <w:bCs/>
          <w:sz w:val="20"/>
          <w:szCs w:val="20"/>
          <w:lang w:val="en-GB"/>
        </w:rPr>
        <w:t xml:space="preserve"> </w:t>
      </w:r>
      <w:r w:rsidR="00D53A5B" w:rsidRPr="007F79F8">
        <w:rPr>
          <w:b/>
          <w:bCs/>
          <w:sz w:val="20"/>
          <w:szCs w:val="20"/>
          <w:lang w:val="en-GB"/>
        </w:rPr>
        <w:t xml:space="preserve">gain strength in </w:t>
      </w:r>
      <w:r w:rsidR="001058E4" w:rsidRPr="007F79F8">
        <w:rPr>
          <w:b/>
          <w:bCs/>
          <w:sz w:val="20"/>
          <w:szCs w:val="20"/>
          <w:lang w:val="en-GB"/>
        </w:rPr>
        <w:t>the commercial real estate market</w:t>
      </w:r>
    </w:p>
    <w:p w14:paraId="4145F8A8" w14:textId="77777777" w:rsidR="00F656E4" w:rsidRPr="007F79F8" w:rsidRDefault="00F656E4" w:rsidP="00CA6BEC">
      <w:pPr>
        <w:spacing w:after="0" w:line="240" w:lineRule="auto"/>
        <w:jc w:val="center"/>
        <w:rPr>
          <w:b/>
          <w:bCs/>
          <w:sz w:val="20"/>
          <w:szCs w:val="20"/>
          <w:lang w:val="en-GB"/>
        </w:rPr>
      </w:pPr>
    </w:p>
    <w:p w14:paraId="2831484F" w14:textId="0AE94FD1" w:rsidR="00CA6BEC" w:rsidRPr="007F79F8" w:rsidRDefault="001058E4" w:rsidP="00F656E4">
      <w:pPr>
        <w:spacing w:after="0" w:line="240" w:lineRule="auto"/>
        <w:jc w:val="both"/>
        <w:rPr>
          <w:b/>
          <w:bCs/>
          <w:sz w:val="20"/>
          <w:szCs w:val="20"/>
          <w:lang w:val="en-GB"/>
        </w:rPr>
      </w:pPr>
      <w:r w:rsidRPr="007F79F8">
        <w:rPr>
          <w:b/>
          <w:bCs/>
          <w:sz w:val="20"/>
          <w:szCs w:val="20"/>
          <w:lang w:val="en-GB"/>
        </w:rPr>
        <w:t xml:space="preserve">In the first half of 2025, </w:t>
      </w:r>
      <w:r w:rsidR="0083500A" w:rsidRPr="007F79F8">
        <w:rPr>
          <w:b/>
          <w:bCs/>
          <w:sz w:val="20"/>
          <w:szCs w:val="20"/>
          <w:lang w:val="en-GB"/>
        </w:rPr>
        <w:t xml:space="preserve">commercial real estate investment </w:t>
      </w:r>
      <w:r w:rsidR="00B65827" w:rsidRPr="007F79F8">
        <w:rPr>
          <w:b/>
          <w:bCs/>
          <w:sz w:val="20"/>
          <w:szCs w:val="20"/>
          <w:lang w:val="en-GB"/>
        </w:rPr>
        <w:t xml:space="preserve">in Poland reached EUR 1.71 billion, broadly in line with the total for the same period in 2024. </w:t>
      </w:r>
      <w:r w:rsidR="001351E5" w:rsidRPr="007F79F8">
        <w:rPr>
          <w:b/>
          <w:bCs/>
          <w:sz w:val="20"/>
          <w:szCs w:val="20"/>
          <w:lang w:val="en-GB"/>
        </w:rPr>
        <w:t xml:space="preserve">Domestic capital </w:t>
      </w:r>
      <w:r w:rsidR="006933E4" w:rsidRPr="007F79F8">
        <w:rPr>
          <w:b/>
          <w:bCs/>
          <w:sz w:val="20"/>
          <w:szCs w:val="20"/>
          <w:lang w:val="en-GB"/>
        </w:rPr>
        <w:t xml:space="preserve">increased its share </w:t>
      </w:r>
      <w:r w:rsidR="00CE2E4D" w:rsidRPr="007F79F8">
        <w:rPr>
          <w:b/>
          <w:bCs/>
          <w:sz w:val="20"/>
          <w:szCs w:val="20"/>
          <w:lang w:val="en-GB"/>
        </w:rPr>
        <w:t>o</w:t>
      </w:r>
      <w:r w:rsidR="004E75ED" w:rsidRPr="007F79F8">
        <w:rPr>
          <w:b/>
          <w:bCs/>
          <w:sz w:val="20"/>
          <w:szCs w:val="20"/>
          <w:lang w:val="en-GB"/>
        </w:rPr>
        <w:t>f</w:t>
      </w:r>
      <w:r w:rsidR="006933E4" w:rsidRPr="007F79F8">
        <w:rPr>
          <w:b/>
          <w:bCs/>
          <w:sz w:val="20"/>
          <w:szCs w:val="20"/>
          <w:lang w:val="en-GB"/>
        </w:rPr>
        <w:t xml:space="preserve"> this volume</w:t>
      </w:r>
      <w:r w:rsidR="004E75ED" w:rsidRPr="007F79F8">
        <w:rPr>
          <w:b/>
          <w:bCs/>
          <w:sz w:val="20"/>
          <w:szCs w:val="20"/>
          <w:lang w:val="en-GB"/>
        </w:rPr>
        <w:t>, with</w:t>
      </w:r>
      <w:r w:rsidR="006933E4" w:rsidRPr="007F79F8">
        <w:rPr>
          <w:b/>
          <w:bCs/>
          <w:sz w:val="20"/>
          <w:szCs w:val="20"/>
          <w:lang w:val="en-GB"/>
        </w:rPr>
        <w:t xml:space="preserve"> Polish investors account</w:t>
      </w:r>
      <w:r w:rsidR="004E75ED" w:rsidRPr="007F79F8">
        <w:rPr>
          <w:b/>
          <w:bCs/>
          <w:sz w:val="20"/>
          <w:szCs w:val="20"/>
          <w:lang w:val="en-GB"/>
        </w:rPr>
        <w:t>ing</w:t>
      </w:r>
      <w:r w:rsidR="006933E4" w:rsidRPr="007F79F8">
        <w:rPr>
          <w:b/>
          <w:bCs/>
          <w:sz w:val="20"/>
          <w:szCs w:val="20"/>
          <w:lang w:val="en-GB"/>
        </w:rPr>
        <w:t xml:space="preserve"> for around 40% of </w:t>
      </w:r>
      <w:r w:rsidR="00751746" w:rsidRPr="007F79F8">
        <w:rPr>
          <w:b/>
          <w:bCs/>
          <w:sz w:val="20"/>
          <w:szCs w:val="20"/>
          <w:lang w:val="en-GB"/>
        </w:rPr>
        <w:t>office transactions</w:t>
      </w:r>
      <w:r w:rsidR="006933E4" w:rsidRPr="007F79F8">
        <w:rPr>
          <w:b/>
          <w:bCs/>
          <w:sz w:val="20"/>
          <w:szCs w:val="20"/>
          <w:lang w:val="en-GB"/>
        </w:rPr>
        <w:t xml:space="preserve"> </w:t>
      </w:r>
      <w:r w:rsidR="00751746" w:rsidRPr="007F79F8">
        <w:rPr>
          <w:b/>
          <w:bCs/>
          <w:sz w:val="20"/>
          <w:szCs w:val="20"/>
          <w:lang w:val="en-GB"/>
        </w:rPr>
        <w:t xml:space="preserve">in the first </w:t>
      </w:r>
      <w:r w:rsidR="00763E05" w:rsidRPr="007F79F8">
        <w:rPr>
          <w:b/>
          <w:bCs/>
          <w:sz w:val="20"/>
          <w:szCs w:val="20"/>
          <w:lang w:val="en-GB"/>
        </w:rPr>
        <w:t>six months</w:t>
      </w:r>
      <w:r w:rsidR="00751746" w:rsidRPr="007F79F8">
        <w:rPr>
          <w:b/>
          <w:bCs/>
          <w:sz w:val="20"/>
          <w:szCs w:val="20"/>
          <w:lang w:val="en-GB"/>
        </w:rPr>
        <w:t xml:space="preserve"> of the year</w:t>
      </w:r>
      <w:r w:rsidR="004E75ED" w:rsidRPr="007F79F8">
        <w:rPr>
          <w:b/>
          <w:bCs/>
          <w:sz w:val="20"/>
          <w:szCs w:val="20"/>
          <w:lang w:val="en-GB"/>
        </w:rPr>
        <w:t xml:space="preserve"> – this </w:t>
      </w:r>
      <w:r w:rsidR="00E16BD0" w:rsidRPr="007F79F8">
        <w:rPr>
          <w:b/>
          <w:bCs/>
          <w:sz w:val="20"/>
          <w:szCs w:val="20"/>
          <w:lang w:val="en-GB"/>
        </w:rPr>
        <w:t>highlight</w:t>
      </w:r>
      <w:r w:rsidR="003669B8" w:rsidRPr="007F79F8">
        <w:rPr>
          <w:b/>
          <w:bCs/>
          <w:sz w:val="20"/>
          <w:szCs w:val="20"/>
          <w:lang w:val="en-GB"/>
        </w:rPr>
        <w:t>s</w:t>
      </w:r>
      <w:r w:rsidR="00E16BD0" w:rsidRPr="007F79F8">
        <w:rPr>
          <w:b/>
          <w:bCs/>
          <w:sz w:val="20"/>
          <w:szCs w:val="20"/>
          <w:lang w:val="en-GB"/>
        </w:rPr>
        <w:t xml:space="preserve"> the</w:t>
      </w:r>
      <w:r w:rsidR="000B73FF" w:rsidRPr="007F79F8">
        <w:rPr>
          <w:b/>
          <w:bCs/>
          <w:sz w:val="20"/>
          <w:szCs w:val="20"/>
          <w:lang w:val="en-GB"/>
        </w:rPr>
        <w:t xml:space="preserve"> growing</w:t>
      </w:r>
      <w:r w:rsidR="00E16BD0" w:rsidRPr="007F79F8">
        <w:rPr>
          <w:b/>
          <w:bCs/>
          <w:sz w:val="20"/>
          <w:szCs w:val="20"/>
          <w:lang w:val="en-GB"/>
        </w:rPr>
        <w:t xml:space="preserve"> activity and professionalization of </w:t>
      </w:r>
      <w:r w:rsidR="00E61AF3" w:rsidRPr="007F79F8">
        <w:rPr>
          <w:b/>
          <w:bCs/>
          <w:sz w:val="20"/>
          <w:szCs w:val="20"/>
          <w:lang w:val="en-GB"/>
        </w:rPr>
        <w:t>national market players</w:t>
      </w:r>
      <w:r w:rsidR="00CA6BEC" w:rsidRPr="007F79F8">
        <w:rPr>
          <w:b/>
          <w:bCs/>
          <w:sz w:val="20"/>
          <w:szCs w:val="20"/>
          <w:lang w:val="en-GB"/>
        </w:rPr>
        <w:t>.</w:t>
      </w:r>
    </w:p>
    <w:p w14:paraId="0A3841BA" w14:textId="77777777" w:rsidR="00F656E4" w:rsidRPr="007F79F8" w:rsidRDefault="00F656E4" w:rsidP="00F656E4">
      <w:pPr>
        <w:spacing w:after="0" w:line="240" w:lineRule="auto"/>
        <w:jc w:val="both"/>
        <w:rPr>
          <w:b/>
          <w:bCs/>
          <w:sz w:val="20"/>
          <w:szCs w:val="20"/>
          <w:lang w:val="en-GB"/>
        </w:rPr>
      </w:pPr>
    </w:p>
    <w:p w14:paraId="213D0678" w14:textId="12E3728D" w:rsidR="000B0C38" w:rsidRPr="007F79F8" w:rsidRDefault="00AD3211" w:rsidP="000B0C38">
      <w:pPr>
        <w:spacing w:after="0" w:line="240" w:lineRule="auto"/>
        <w:jc w:val="both"/>
        <w:rPr>
          <w:b/>
          <w:bCs/>
          <w:sz w:val="20"/>
          <w:szCs w:val="20"/>
          <w:lang w:val="en-GB"/>
        </w:rPr>
      </w:pPr>
      <w:r w:rsidRPr="007F79F8">
        <w:rPr>
          <w:i/>
          <w:iCs/>
          <w:sz w:val="20"/>
          <w:szCs w:val="20"/>
          <w:lang w:val="en-GB"/>
        </w:rPr>
        <w:t>“</w:t>
      </w:r>
      <w:r w:rsidR="004D6DA4" w:rsidRPr="007F79F8">
        <w:rPr>
          <w:i/>
          <w:iCs/>
          <w:sz w:val="20"/>
          <w:szCs w:val="20"/>
          <w:lang w:val="en-GB"/>
        </w:rPr>
        <w:t>The</w:t>
      </w:r>
      <w:r w:rsidR="00AE264C" w:rsidRPr="007F79F8">
        <w:rPr>
          <w:i/>
          <w:iCs/>
          <w:sz w:val="20"/>
          <w:szCs w:val="20"/>
          <w:lang w:val="en-GB"/>
        </w:rPr>
        <w:t xml:space="preserve"> performance in the first half of 2025</w:t>
      </w:r>
      <w:r w:rsidR="00AC07E4" w:rsidRPr="007F79F8">
        <w:rPr>
          <w:i/>
          <w:iCs/>
          <w:sz w:val="20"/>
          <w:szCs w:val="20"/>
          <w:lang w:val="en-GB"/>
        </w:rPr>
        <w:t xml:space="preserve"> marks a continuation of the strong rebound in investment activity</w:t>
      </w:r>
      <w:r w:rsidR="00AA644C" w:rsidRPr="007F79F8">
        <w:rPr>
          <w:i/>
          <w:iCs/>
          <w:sz w:val="20"/>
          <w:szCs w:val="20"/>
          <w:lang w:val="en-GB"/>
        </w:rPr>
        <w:t xml:space="preserve"> that</w:t>
      </w:r>
      <w:r w:rsidR="00AC07E4" w:rsidRPr="007F79F8">
        <w:rPr>
          <w:i/>
          <w:iCs/>
          <w:sz w:val="20"/>
          <w:szCs w:val="20"/>
          <w:lang w:val="en-GB"/>
        </w:rPr>
        <w:t xml:space="preserve"> began in 2024. </w:t>
      </w:r>
      <w:r w:rsidR="007C7B35" w:rsidRPr="007F79F8">
        <w:rPr>
          <w:i/>
          <w:iCs/>
          <w:sz w:val="20"/>
          <w:szCs w:val="20"/>
          <w:lang w:val="en-GB"/>
        </w:rPr>
        <w:t xml:space="preserve">A clear </w:t>
      </w:r>
      <w:r w:rsidR="00F61821" w:rsidRPr="007F79F8">
        <w:rPr>
          <w:i/>
          <w:iCs/>
          <w:sz w:val="20"/>
          <w:szCs w:val="20"/>
          <w:lang w:val="en-GB"/>
        </w:rPr>
        <w:t>signal</w:t>
      </w:r>
      <w:r w:rsidR="007C7B35" w:rsidRPr="007F79F8">
        <w:rPr>
          <w:i/>
          <w:iCs/>
          <w:sz w:val="20"/>
          <w:szCs w:val="20"/>
          <w:lang w:val="en-GB"/>
        </w:rPr>
        <w:t xml:space="preserve"> of</w:t>
      </w:r>
      <w:r w:rsidR="00981669" w:rsidRPr="007F79F8">
        <w:rPr>
          <w:i/>
          <w:iCs/>
          <w:sz w:val="20"/>
          <w:szCs w:val="20"/>
          <w:lang w:val="en-GB"/>
        </w:rPr>
        <w:t xml:space="preserve"> the market’s strength is robust investor activity across all sectors: from logistics</w:t>
      </w:r>
      <w:r w:rsidR="007060CB" w:rsidRPr="007F79F8">
        <w:rPr>
          <w:i/>
          <w:iCs/>
          <w:sz w:val="20"/>
          <w:szCs w:val="20"/>
          <w:lang w:val="en-GB"/>
        </w:rPr>
        <w:t xml:space="preserve"> and retail to offices and the PRS. This </w:t>
      </w:r>
      <w:r w:rsidR="007C7B35" w:rsidRPr="007F79F8">
        <w:rPr>
          <w:i/>
          <w:iCs/>
          <w:sz w:val="20"/>
          <w:szCs w:val="20"/>
          <w:lang w:val="en-GB"/>
        </w:rPr>
        <w:t>shows</w:t>
      </w:r>
      <w:r w:rsidR="007060CB" w:rsidRPr="007F79F8">
        <w:rPr>
          <w:i/>
          <w:iCs/>
          <w:sz w:val="20"/>
          <w:szCs w:val="20"/>
          <w:lang w:val="en-GB"/>
        </w:rPr>
        <w:t xml:space="preserve"> that </w:t>
      </w:r>
      <w:r w:rsidR="00BE09FF" w:rsidRPr="007F79F8">
        <w:rPr>
          <w:i/>
          <w:iCs/>
          <w:sz w:val="20"/>
          <w:szCs w:val="20"/>
          <w:lang w:val="en-GB"/>
        </w:rPr>
        <w:t xml:space="preserve">the appetite for Polish assets is </w:t>
      </w:r>
      <w:r w:rsidR="007C7B35" w:rsidRPr="007F79F8">
        <w:rPr>
          <w:i/>
          <w:iCs/>
          <w:sz w:val="20"/>
          <w:szCs w:val="20"/>
          <w:lang w:val="en-GB"/>
        </w:rPr>
        <w:t>driven</w:t>
      </w:r>
      <w:r w:rsidR="00BE09FF" w:rsidRPr="007F79F8">
        <w:rPr>
          <w:i/>
          <w:iCs/>
          <w:sz w:val="20"/>
          <w:szCs w:val="20"/>
          <w:lang w:val="en-GB"/>
        </w:rPr>
        <w:t xml:space="preserve"> not by a temporary </w:t>
      </w:r>
      <w:r w:rsidR="004E0671" w:rsidRPr="007F79F8">
        <w:rPr>
          <w:i/>
          <w:iCs/>
          <w:sz w:val="20"/>
          <w:szCs w:val="20"/>
          <w:lang w:val="en-GB"/>
        </w:rPr>
        <w:t xml:space="preserve">increase in demand for a </w:t>
      </w:r>
      <w:r w:rsidR="0061690F" w:rsidRPr="007F79F8">
        <w:rPr>
          <w:i/>
          <w:iCs/>
          <w:sz w:val="20"/>
          <w:szCs w:val="20"/>
          <w:lang w:val="en-GB"/>
        </w:rPr>
        <w:t>single</w:t>
      </w:r>
      <w:r w:rsidR="004E0671" w:rsidRPr="007F79F8">
        <w:rPr>
          <w:i/>
          <w:iCs/>
          <w:sz w:val="20"/>
          <w:szCs w:val="20"/>
          <w:lang w:val="en-GB"/>
        </w:rPr>
        <w:t xml:space="preserve"> sector</w:t>
      </w:r>
      <w:r w:rsidR="00DE1A3F" w:rsidRPr="007F79F8">
        <w:rPr>
          <w:i/>
          <w:iCs/>
          <w:sz w:val="20"/>
          <w:szCs w:val="20"/>
          <w:lang w:val="en-GB"/>
        </w:rPr>
        <w:t>,</w:t>
      </w:r>
      <w:r w:rsidR="004E0671" w:rsidRPr="007F79F8">
        <w:rPr>
          <w:i/>
          <w:iCs/>
          <w:sz w:val="20"/>
          <w:szCs w:val="20"/>
          <w:lang w:val="en-GB"/>
        </w:rPr>
        <w:t xml:space="preserve"> but </w:t>
      </w:r>
      <w:r w:rsidR="00DE1A3F" w:rsidRPr="007F79F8">
        <w:rPr>
          <w:i/>
          <w:iCs/>
          <w:sz w:val="20"/>
          <w:szCs w:val="20"/>
          <w:lang w:val="en-GB"/>
        </w:rPr>
        <w:t xml:space="preserve">by </w:t>
      </w:r>
      <w:r w:rsidR="004E0671" w:rsidRPr="007F79F8">
        <w:rPr>
          <w:i/>
          <w:iCs/>
          <w:sz w:val="20"/>
          <w:szCs w:val="20"/>
          <w:lang w:val="en-GB"/>
        </w:rPr>
        <w:t xml:space="preserve">confidence in the potential of the entire real estate market in Poland. </w:t>
      </w:r>
      <w:r w:rsidR="00DE1A3F" w:rsidRPr="007F79F8">
        <w:rPr>
          <w:i/>
          <w:iCs/>
          <w:sz w:val="20"/>
          <w:szCs w:val="20"/>
          <w:lang w:val="en-GB"/>
        </w:rPr>
        <w:t xml:space="preserve">Although </w:t>
      </w:r>
      <w:r w:rsidR="007920C6" w:rsidRPr="007F79F8">
        <w:rPr>
          <w:i/>
          <w:iCs/>
          <w:sz w:val="20"/>
          <w:szCs w:val="20"/>
          <w:lang w:val="en-GB"/>
        </w:rPr>
        <w:t xml:space="preserve">the </w:t>
      </w:r>
      <w:r w:rsidR="00DE1A3F" w:rsidRPr="007F79F8">
        <w:rPr>
          <w:i/>
          <w:iCs/>
          <w:sz w:val="20"/>
          <w:szCs w:val="20"/>
          <w:lang w:val="en-GB"/>
        </w:rPr>
        <w:t xml:space="preserve">investment </w:t>
      </w:r>
      <w:r w:rsidR="007920C6" w:rsidRPr="007F79F8">
        <w:rPr>
          <w:i/>
          <w:iCs/>
          <w:sz w:val="20"/>
          <w:szCs w:val="20"/>
          <w:lang w:val="en-GB"/>
        </w:rPr>
        <w:t>train</w:t>
      </w:r>
      <w:r w:rsidR="00B44E08" w:rsidRPr="007F79F8">
        <w:rPr>
          <w:i/>
          <w:iCs/>
          <w:sz w:val="20"/>
          <w:szCs w:val="20"/>
          <w:lang w:val="en-GB"/>
        </w:rPr>
        <w:t xml:space="preserve"> </w:t>
      </w:r>
      <w:r w:rsidR="00DE1A3F" w:rsidRPr="007F79F8">
        <w:rPr>
          <w:i/>
          <w:iCs/>
          <w:sz w:val="20"/>
          <w:szCs w:val="20"/>
          <w:lang w:val="en-GB"/>
        </w:rPr>
        <w:t xml:space="preserve">has been running </w:t>
      </w:r>
      <w:r w:rsidR="00B44E08" w:rsidRPr="007F79F8">
        <w:rPr>
          <w:i/>
          <w:iCs/>
          <w:sz w:val="20"/>
          <w:szCs w:val="20"/>
          <w:lang w:val="en-GB"/>
        </w:rPr>
        <w:t xml:space="preserve">at full steam </w:t>
      </w:r>
      <w:r w:rsidR="00DE1A3F" w:rsidRPr="007F79F8">
        <w:rPr>
          <w:i/>
          <w:iCs/>
          <w:sz w:val="20"/>
          <w:szCs w:val="20"/>
          <w:lang w:val="en-GB"/>
        </w:rPr>
        <w:t>since</w:t>
      </w:r>
      <w:r w:rsidR="00B44E08" w:rsidRPr="007F79F8">
        <w:rPr>
          <w:i/>
          <w:iCs/>
          <w:sz w:val="20"/>
          <w:szCs w:val="20"/>
          <w:lang w:val="en-GB"/>
        </w:rPr>
        <w:t xml:space="preserve"> last year, </w:t>
      </w:r>
      <w:r w:rsidR="00023C86" w:rsidRPr="007F79F8">
        <w:rPr>
          <w:i/>
          <w:iCs/>
          <w:sz w:val="20"/>
          <w:szCs w:val="20"/>
          <w:lang w:val="en-GB"/>
        </w:rPr>
        <w:t xml:space="preserve">a significant proportion of large-scale transactions </w:t>
      </w:r>
      <w:r w:rsidR="00C463C0" w:rsidRPr="007F79F8">
        <w:rPr>
          <w:i/>
          <w:iCs/>
          <w:sz w:val="20"/>
          <w:szCs w:val="20"/>
          <w:lang w:val="en-GB"/>
        </w:rPr>
        <w:t xml:space="preserve">is unlikely </w:t>
      </w:r>
      <w:r w:rsidR="00693DA2">
        <w:rPr>
          <w:i/>
          <w:iCs/>
          <w:sz w:val="20"/>
          <w:szCs w:val="20"/>
          <w:lang w:val="en-GB"/>
        </w:rPr>
        <w:t xml:space="preserve">to </w:t>
      </w:r>
      <w:r w:rsidR="00312256" w:rsidRPr="007F79F8">
        <w:rPr>
          <w:i/>
          <w:iCs/>
          <w:sz w:val="20"/>
          <w:szCs w:val="20"/>
          <w:lang w:val="en-GB"/>
        </w:rPr>
        <w:t>finalise</w:t>
      </w:r>
      <w:r w:rsidR="00116F1E" w:rsidRPr="007F79F8">
        <w:rPr>
          <w:i/>
          <w:iCs/>
          <w:sz w:val="20"/>
          <w:szCs w:val="20"/>
          <w:lang w:val="en-GB"/>
        </w:rPr>
        <w:t xml:space="preserve"> before</w:t>
      </w:r>
      <w:r w:rsidR="00023C86" w:rsidRPr="007F79F8">
        <w:rPr>
          <w:i/>
          <w:iCs/>
          <w:sz w:val="20"/>
          <w:szCs w:val="20"/>
          <w:lang w:val="en-GB"/>
        </w:rPr>
        <w:t xml:space="preserve"> the end of </w:t>
      </w:r>
      <w:r w:rsidR="00224AF9" w:rsidRPr="007F79F8">
        <w:rPr>
          <w:i/>
          <w:iCs/>
          <w:sz w:val="20"/>
          <w:szCs w:val="20"/>
          <w:lang w:val="en-GB"/>
        </w:rPr>
        <w:t xml:space="preserve">December, </w:t>
      </w:r>
      <w:r w:rsidR="00116F1E" w:rsidRPr="007F79F8">
        <w:rPr>
          <w:i/>
          <w:iCs/>
          <w:sz w:val="20"/>
          <w:szCs w:val="20"/>
          <w:lang w:val="en-GB"/>
        </w:rPr>
        <w:t xml:space="preserve">with </w:t>
      </w:r>
      <w:r w:rsidR="00224AF9" w:rsidRPr="007F79F8">
        <w:rPr>
          <w:i/>
          <w:iCs/>
          <w:sz w:val="20"/>
          <w:szCs w:val="20"/>
          <w:lang w:val="en-GB"/>
        </w:rPr>
        <w:t xml:space="preserve">their </w:t>
      </w:r>
      <w:r w:rsidR="00116F1E" w:rsidRPr="007F79F8">
        <w:rPr>
          <w:i/>
          <w:iCs/>
          <w:sz w:val="20"/>
          <w:szCs w:val="20"/>
          <w:lang w:val="en-GB"/>
        </w:rPr>
        <w:t xml:space="preserve">impact expected to </w:t>
      </w:r>
      <w:r w:rsidR="00224AF9" w:rsidRPr="007F79F8">
        <w:rPr>
          <w:i/>
          <w:iCs/>
          <w:sz w:val="20"/>
          <w:szCs w:val="20"/>
          <w:lang w:val="en-GB"/>
        </w:rPr>
        <w:t xml:space="preserve">carry </w:t>
      </w:r>
      <w:r w:rsidR="00116F1E" w:rsidRPr="007F79F8">
        <w:rPr>
          <w:i/>
          <w:iCs/>
          <w:sz w:val="20"/>
          <w:szCs w:val="20"/>
          <w:lang w:val="en-GB"/>
        </w:rPr>
        <w:t xml:space="preserve">over </w:t>
      </w:r>
      <w:r w:rsidR="00224AF9" w:rsidRPr="007F79F8">
        <w:rPr>
          <w:i/>
          <w:iCs/>
          <w:sz w:val="20"/>
          <w:szCs w:val="20"/>
          <w:lang w:val="en-GB"/>
        </w:rPr>
        <w:t xml:space="preserve">into </w:t>
      </w:r>
      <w:r w:rsidR="00DA033A" w:rsidRPr="007F79F8">
        <w:rPr>
          <w:i/>
          <w:iCs/>
          <w:sz w:val="20"/>
          <w:szCs w:val="20"/>
          <w:lang w:val="en-GB"/>
        </w:rPr>
        <w:t>2026’s investment volume</w:t>
      </w:r>
      <w:r w:rsidR="006668E9">
        <w:rPr>
          <w:i/>
          <w:iCs/>
          <w:sz w:val="20"/>
          <w:szCs w:val="20"/>
          <w:lang w:val="en-GB"/>
        </w:rPr>
        <w:t>s</w:t>
      </w:r>
      <w:r w:rsidR="00DA033A" w:rsidRPr="007F79F8">
        <w:rPr>
          <w:i/>
          <w:iCs/>
          <w:sz w:val="20"/>
          <w:szCs w:val="20"/>
          <w:lang w:val="en-GB"/>
        </w:rPr>
        <w:t xml:space="preserve">. </w:t>
      </w:r>
      <w:r w:rsidR="00312256" w:rsidRPr="007F79F8">
        <w:rPr>
          <w:i/>
          <w:iCs/>
          <w:sz w:val="20"/>
          <w:szCs w:val="20"/>
          <w:lang w:val="en-GB"/>
        </w:rPr>
        <w:t>As a result, w</w:t>
      </w:r>
      <w:r w:rsidR="00DA033A" w:rsidRPr="007F79F8">
        <w:rPr>
          <w:i/>
          <w:iCs/>
          <w:sz w:val="20"/>
          <w:szCs w:val="20"/>
          <w:lang w:val="en-GB"/>
        </w:rPr>
        <w:t xml:space="preserve">e </w:t>
      </w:r>
      <w:r w:rsidR="003E6D96" w:rsidRPr="007F79F8">
        <w:rPr>
          <w:i/>
          <w:iCs/>
          <w:sz w:val="20"/>
          <w:szCs w:val="20"/>
          <w:lang w:val="en-GB"/>
        </w:rPr>
        <w:t>anticipate that</w:t>
      </w:r>
      <w:r w:rsidR="00DA033A" w:rsidRPr="007F79F8">
        <w:rPr>
          <w:i/>
          <w:iCs/>
          <w:sz w:val="20"/>
          <w:szCs w:val="20"/>
          <w:lang w:val="en-GB"/>
        </w:rPr>
        <w:t xml:space="preserve"> 2025 will </w:t>
      </w:r>
      <w:r w:rsidR="00312256" w:rsidRPr="007F79F8">
        <w:rPr>
          <w:i/>
          <w:iCs/>
          <w:sz w:val="20"/>
          <w:szCs w:val="20"/>
          <w:lang w:val="en-GB"/>
        </w:rPr>
        <w:t>close</w:t>
      </w:r>
      <w:r w:rsidR="00DA033A" w:rsidRPr="007F79F8">
        <w:rPr>
          <w:i/>
          <w:iCs/>
          <w:sz w:val="20"/>
          <w:szCs w:val="20"/>
          <w:lang w:val="en-GB"/>
        </w:rPr>
        <w:t xml:space="preserve"> with approximately EUR 4 billion worth of deals</w:t>
      </w:r>
      <w:r w:rsidR="00F145DC" w:rsidRPr="007F79F8">
        <w:rPr>
          <w:i/>
          <w:iCs/>
          <w:sz w:val="20"/>
          <w:szCs w:val="20"/>
          <w:lang w:val="en-GB"/>
        </w:rPr>
        <w:t>,”</w:t>
      </w:r>
      <w:r w:rsidR="000B0C38" w:rsidRPr="007F79F8">
        <w:rPr>
          <w:sz w:val="20"/>
          <w:szCs w:val="20"/>
          <w:lang w:val="en-GB"/>
        </w:rPr>
        <w:t xml:space="preserve"> </w:t>
      </w:r>
      <w:r w:rsidR="00F145DC" w:rsidRPr="007F79F8">
        <w:rPr>
          <w:sz w:val="20"/>
          <w:szCs w:val="20"/>
          <w:lang w:val="en-GB"/>
        </w:rPr>
        <w:t>says</w:t>
      </w:r>
      <w:r w:rsidR="000B0C38" w:rsidRPr="007F79F8">
        <w:rPr>
          <w:sz w:val="20"/>
          <w:szCs w:val="20"/>
          <w:lang w:val="en-GB"/>
        </w:rPr>
        <w:t xml:space="preserve"> </w:t>
      </w:r>
      <w:r w:rsidR="000B0C38" w:rsidRPr="007F79F8">
        <w:rPr>
          <w:b/>
          <w:bCs/>
          <w:sz w:val="20"/>
          <w:szCs w:val="20"/>
          <w:lang w:val="en-GB"/>
        </w:rPr>
        <w:t>Paweł Partyka, Head of Capital Markets Poland, Cushman &amp; Wakefield.</w:t>
      </w:r>
    </w:p>
    <w:p w14:paraId="70AFAE30" w14:textId="77777777" w:rsidR="002C240D" w:rsidRPr="007F79F8" w:rsidRDefault="002C240D" w:rsidP="000B0C38">
      <w:pPr>
        <w:spacing w:after="0" w:line="240" w:lineRule="auto"/>
        <w:jc w:val="both"/>
        <w:rPr>
          <w:b/>
          <w:bCs/>
          <w:sz w:val="20"/>
          <w:szCs w:val="20"/>
          <w:lang w:val="en-GB"/>
        </w:rPr>
      </w:pPr>
    </w:p>
    <w:p w14:paraId="469410AC" w14:textId="03C2FCCD" w:rsidR="00F24E08" w:rsidRPr="007F79F8" w:rsidRDefault="00163676" w:rsidP="00EA3CC2">
      <w:pPr>
        <w:spacing w:after="0" w:line="240" w:lineRule="auto"/>
        <w:jc w:val="both"/>
        <w:rPr>
          <w:sz w:val="20"/>
          <w:szCs w:val="20"/>
          <w:lang w:val="en-GB"/>
        </w:rPr>
      </w:pPr>
      <w:r w:rsidRPr="007F79F8">
        <w:rPr>
          <w:sz w:val="20"/>
          <w:szCs w:val="20"/>
          <w:lang w:val="en-GB"/>
        </w:rPr>
        <w:t>The solid fu</w:t>
      </w:r>
      <w:r w:rsidR="006B40CA" w:rsidRPr="007F79F8">
        <w:rPr>
          <w:sz w:val="20"/>
          <w:szCs w:val="20"/>
          <w:lang w:val="en-GB"/>
        </w:rPr>
        <w:t>ndamentals of the Polish economy</w:t>
      </w:r>
      <w:r w:rsidR="000B0C22" w:rsidRPr="007F79F8">
        <w:rPr>
          <w:sz w:val="20"/>
          <w:szCs w:val="20"/>
          <w:lang w:val="en-GB"/>
        </w:rPr>
        <w:t xml:space="preserve"> </w:t>
      </w:r>
      <w:r w:rsidR="00C23490" w:rsidRPr="007F79F8">
        <w:rPr>
          <w:sz w:val="20"/>
          <w:szCs w:val="20"/>
          <w:lang w:val="en-GB"/>
        </w:rPr>
        <w:t xml:space="preserve">– </w:t>
      </w:r>
      <w:r w:rsidR="000B0C22" w:rsidRPr="007F79F8">
        <w:rPr>
          <w:sz w:val="20"/>
          <w:szCs w:val="20"/>
          <w:lang w:val="en-GB"/>
        </w:rPr>
        <w:t xml:space="preserve">and, </w:t>
      </w:r>
      <w:r w:rsidR="00C23490" w:rsidRPr="007F79F8">
        <w:rPr>
          <w:sz w:val="20"/>
          <w:szCs w:val="20"/>
          <w:lang w:val="en-GB"/>
        </w:rPr>
        <w:t>by extension</w:t>
      </w:r>
      <w:r w:rsidR="000B0C22" w:rsidRPr="007F79F8">
        <w:rPr>
          <w:sz w:val="20"/>
          <w:szCs w:val="20"/>
          <w:lang w:val="en-GB"/>
        </w:rPr>
        <w:t>,</w:t>
      </w:r>
      <w:r w:rsidR="00C23490" w:rsidRPr="007F79F8">
        <w:rPr>
          <w:sz w:val="20"/>
          <w:szCs w:val="20"/>
          <w:lang w:val="en-GB"/>
        </w:rPr>
        <w:t xml:space="preserve"> of the </w:t>
      </w:r>
      <w:r w:rsidR="008F582C" w:rsidRPr="007F79F8">
        <w:rPr>
          <w:sz w:val="20"/>
          <w:szCs w:val="20"/>
          <w:lang w:val="en-GB"/>
        </w:rPr>
        <w:t xml:space="preserve">domestic real estate market </w:t>
      </w:r>
      <w:r w:rsidR="000B0C22" w:rsidRPr="007F79F8">
        <w:rPr>
          <w:sz w:val="20"/>
          <w:szCs w:val="20"/>
          <w:lang w:val="en-GB"/>
        </w:rPr>
        <w:t xml:space="preserve">– </w:t>
      </w:r>
      <w:r w:rsidR="00333CE1" w:rsidRPr="007F79F8">
        <w:rPr>
          <w:sz w:val="20"/>
          <w:szCs w:val="20"/>
          <w:lang w:val="en-GB"/>
        </w:rPr>
        <w:t>are confirmed by data from Statistics Poland (GUS)</w:t>
      </w:r>
      <w:r w:rsidR="0075768F" w:rsidRPr="007F79F8">
        <w:rPr>
          <w:sz w:val="20"/>
          <w:szCs w:val="20"/>
          <w:lang w:val="en-GB"/>
        </w:rPr>
        <w:t xml:space="preserve"> showing a </w:t>
      </w:r>
      <w:r w:rsidR="001B6ECC" w:rsidRPr="007F79F8">
        <w:rPr>
          <w:sz w:val="20"/>
          <w:szCs w:val="20"/>
          <w:lang w:val="en-GB"/>
        </w:rPr>
        <w:t xml:space="preserve">3.4% </w:t>
      </w:r>
      <w:r w:rsidR="0075768F" w:rsidRPr="007F79F8">
        <w:rPr>
          <w:sz w:val="20"/>
          <w:szCs w:val="20"/>
          <w:lang w:val="en-GB"/>
        </w:rPr>
        <w:t>year-on-year expansion in Poland’s GDP</w:t>
      </w:r>
      <w:r w:rsidR="001B6ECC" w:rsidRPr="007F79F8">
        <w:rPr>
          <w:sz w:val="20"/>
          <w:szCs w:val="20"/>
          <w:lang w:val="en-GB"/>
        </w:rPr>
        <w:t xml:space="preserve"> in the second quarter of 2025.</w:t>
      </w:r>
    </w:p>
    <w:p w14:paraId="5BD2AA44" w14:textId="77777777" w:rsidR="00F24E08" w:rsidRPr="007F79F8" w:rsidRDefault="00F24E08" w:rsidP="000B0C38">
      <w:pPr>
        <w:spacing w:after="0" w:line="240" w:lineRule="auto"/>
        <w:jc w:val="both"/>
        <w:rPr>
          <w:b/>
          <w:bCs/>
          <w:sz w:val="20"/>
          <w:szCs w:val="20"/>
          <w:lang w:val="en-GB"/>
        </w:rPr>
      </w:pPr>
    </w:p>
    <w:p w14:paraId="4D014FB2" w14:textId="33A7AA17" w:rsidR="00F24E08" w:rsidRPr="007F79F8" w:rsidRDefault="00BA6DE2" w:rsidP="000B0C38">
      <w:pPr>
        <w:spacing w:after="0" w:line="240" w:lineRule="auto"/>
        <w:jc w:val="both"/>
        <w:rPr>
          <w:b/>
          <w:bCs/>
          <w:sz w:val="20"/>
          <w:szCs w:val="20"/>
          <w:lang w:val="en-GB"/>
        </w:rPr>
      </w:pPr>
      <w:r w:rsidRPr="007F79F8">
        <w:rPr>
          <w:i/>
          <w:iCs/>
          <w:sz w:val="20"/>
          <w:szCs w:val="20"/>
          <w:lang w:val="en-GB"/>
        </w:rPr>
        <w:t xml:space="preserve">“Against the backdrop of moderate growth across the European Union, Poland </w:t>
      </w:r>
      <w:r w:rsidR="00D55889" w:rsidRPr="007F79F8">
        <w:rPr>
          <w:i/>
          <w:iCs/>
          <w:sz w:val="20"/>
          <w:szCs w:val="20"/>
          <w:lang w:val="en-GB"/>
        </w:rPr>
        <w:t>remains at the forefront</w:t>
      </w:r>
      <w:r w:rsidR="00A91137" w:rsidRPr="007F79F8">
        <w:rPr>
          <w:i/>
          <w:iCs/>
          <w:sz w:val="20"/>
          <w:szCs w:val="20"/>
          <w:lang w:val="en-GB"/>
        </w:rPr>
        <w:t xml:space="preserve">, reinforcing positive investor sentiment. </w:t>
      </w:r>
      <w:r w:rsidR="004844C0" w:rsidRPr="007F79F8">
        <w:rPr>
          <w:i/>
          <w:iCs/>
          <w:sz w:val="20"/>
          <w:szCs w:val="20"/>
          <w:lang w:val="en-GB"/>
        </w:rPr>
        <w:t xml:space="preserve">The </w:t>
      </w:r>
      <w:r w:rsidR="00F926E0" w:rsidRPr="007F79F8">
        <w:rPr>
          <w:i/>
          <w:iCs/>
          <w:sz w:val="20"/>
          <w:szCs w:val="20"/>
          <w:lang w:val="en-GB"/>
        </w:rPr>
        <w:t>robust</w:t>
      </w:r>
      <w:r w:rsidR="004844C0" w:rsidRPr="007F79F8">
        <w:rPr>
          <w:i/>
          <w:iCs/>
          <w:sz w:val="20"/>
          <w:szCs w:val="20"/>
          <w:lang w:val="en-GB"/>
        </w:rPr>
        <w:t xml:space="preserve"> economy</w:t>
      </w:r>
      <w:r w:rsidR="009325BF" w:rsidRPr="007F79F8">
        <w:rPr>
          <w:i/>
          <w:iCs/>
          <w:sz w:val="20"/>
          <w:szCs w:val="20"/>
          <w:lang w:val="en-GB"/>
        </w:rPr>
        <w:t xml:space="preserve"> directly impacts the </w:t>
      </w:r>
      <w:r w:rsidR="00325D27" w:rsidRPr="007F79F8">
        <w:rPr>
          <w:i/>
          <w:iCs/>
          <w:sz w:val="20"/>
          <w:szCs w:val="20"/>
          <w:lang w:val="en-GB"/>
        </w:rPr>
        <w:t xml:space="preserve">capital market in the real estate sector, </w:t>
      </w:r>
      <w:r w:rsidR="00F926E0" w:rsidRPr="007F79F8">
        <w:rPr>
          <w:i/>
          <w:iCs/>
          <w:sz w:val="20"/>
          <w:szCs w:val="20"/>
          <w:lang w:val="en-GB"/>
        </w:rPr>
        <w:t>boosting</w:t>
      </w:r>
      <w:r w:rsidR="00325D27" w:rsidRPr="007F79F8">
        <w:rPr>
          <w:i/>
          <w:iCs/>
          <w:sz w:val="20"/>
          <w:szCs w:val="20"/>
          <w:lang w:val="en-GB"/>
        </w:rPr>
        <w:t xml:space="preserve"> confidence in our market’s stability and potential. In this environment, investors </w:t>
      </w:r>
      <w:r w:rsidR="00FE1BEA" w:rsidRPr="007F79F8">
        <w:rPr>
          <w:i/>
          <w:iCs/>
          <w:sz w:val="20"/>
          <w:szCs w:val="20"/>
          <w:lang w:val="en-GB"/>
        </w:rPr>
        <w:t>are more willing to finalise a</w:t>
      </w:r>
      <w:r w:rsidR="00EC3B48" w:rsidRPr="007F79F8">
        <w:rPr>
          <w:i/>
          <w:iCs/>
          <w:sz w:val="20"/>
          <w:szCs w:val="20"/>
          <w:lang w:val="en-GB"/>
        </w:rPr>
        <w:t>c</w:t>
      </w:r>
      <w:r w:rsidR="00FE1BEA" w:rsidRPr="007F79F8">
        <w:rPr>
          <w:i/>
          <w:iCs/>
          <w:sz w:val="20"/>
          <w:szCs w:val="20"/>
          <w:lang w:val="en-GB"/>
        </w:rPr>
        <w:t xml:space="preserve">quisitions and divestments, </w:t>
      </w:r>
      <w:r w:rsidR="008E2032" w:rsidRPr="007F79F8">
        <w:rPr>
          <w:i/>
          <w:iCs/>
          <w:sz w:val="20"/>
          <w:szCs w:val="20"/>
          <w:lang w:val="en-GB"/>
        </w:rPr>
        <w:t xml:space="preserve">while the growing activity in recent </w:t>
      </w:r>
      <w:r w:rsidR="00C75C7E">
        <w:rPr>
          <w:i/>
          <w:iCs/>
          <w:sz w:val="20"/>
          <w:szCs w:val="20"/>
          <w:lang w:val="en-GB"/>
        </w:rPr>
        <w:t>quarters</w:t>
      </w:r>
      <w:r w:rsidR="008E2032" w:rsidRPr="007F79F8">
        <w:rPr>
          <w:i/>
          <w:iCs/>
          <w:sz w:val="20"/>
          <w:szCs w:val="20"/>
          <w:lang w:val="en-GB"/>
        </w:rPr>
        <w:t xml:space="preserve"> </w:t>
      </w:r>
      <w:r w:rsidR="00EC3B48" w:rsidRPr="007F79F8">
        <w:rPr>
          <w:i/>
          <w:iCs/>
          <w:sz w:val="20"/>
          <w:szCs w:val="20"/>
          <w:lang w:val="en-GB"/>
        </w:rPr>
        <w:t>suggests</w:t>
      </w:r>
      <w:r w:rsidR="008E2032" w:rsidRPr="007F79F8">
        <w:rPr>
          <w:i/>
          <w:iCs/>
          <w:sz w:val="20"/>
          <w:szCs w:val="20"/>
          <w:lang w:val="en-GB"/>
        </w:rPr>
        <w:t xml:space="preserve"> that this trend will continue</w:t>
      </w:r>
      <w:r w:rsidR="00F145DC" w:rsidRPr="007F79F8">
        <w:rPr>
          <w:i/>
          <w:iCs/>
          <w:sz w:val="20"/>
          <w:szCs w:val="20"/>
          <w:lang w:val="en-GB"/>
        </w:rPr>
        <w:t>,”</w:t>
      </w:r>
      <w:r w:rsidR="00F24E08" w:rsidRPr="007F79F8">
        <w:rPr>
          <w:i/>
          <w:iCs/>
          <w:sz w:val="20"/>
          <w:szCs w:val="20"/>
          <w:lang w:val="en-GB"/>
        </w:rPr>
        <w:t xml:space="preserve"> </w:t>
      </w:r>
      <w:r w:rsidR="00F145DC" w:rsidRPr="007F79F8">
        <w:rPr>
          <w:sz w:val="20"/>
          <w:szCs w:val="20"/>
          <w:lang w:val="en-GB"/>
        </w:rPr>
        <w:t>adds</w:t>
      </w:r>
      <w:r w:rsidR="00F24E08" w:rsidRPr="007F79F8">
        <w:rPr>
          <w:b/>
          <w:bCs/>
          <w:sz w:val="20"/>
          <w:szCs w:val="20"/>
          <w:lang w:val="en-GB"/>
        </w:rPr>
        <w:t xml:space="preserve"> Krzysztof Misiak, Head of Cushman &amp; Wakefield Poland. </w:t>
      </w:r>
    </w:p>
    <w:p w14:paraId="68A493E8" w14:textId="77777777" w:rsidR="00F656E4" w:rsidRPr="007F79F8" w:rsidRDefault="00F656E4" w:rsidP="00F656E4">
      <w:pPr>
        <w:spacing w:after="0" w:line="240" w:lineRule="auto"/>
        <w:jc w:val="both"/>
        <w:rPr>
          <w:b/>
          <w:bCs/>
          <w:sz w:val="20"/>
          <w:szCs w:val="20"/>
          <w:lang w:val="en-GB"/>
        </w:rPr>
      </w:pPr>
    </w:p>
    <w:p w14:paraId="011985F6" w14:textId="1E3BD98D" w:rsidR="00CA6BEC" w:rsidRPr="007F79F8" w:rsidRDefault="00F13053" w:rsidP="00F656E4">
      <w:pPr>
        <w:spacing w:after="0" w:line="240" w:lineRule="auto"/>
        <w:jc w:val="both"/>
        <w:rPr>
          <w:b/>
          <w:bCs/>
          <w:sz w:val="20"/>
          <w:szCs w:val="20"/>
          <w:lang w:val="en-GB"/>
        </w:rPr>
      </w:pPr>
      <w:r w:rsidRPr="007F79F8">
        <w:rPr>
          <w:b/>
          <w:bCs/>
          <w:sz w:val="20"/>
          <w:szCs w:val="20"/>
          <w:lang w:val="en-GB"/>
        </w:rPr>
        <w:t xml:space="preserve">Domestic capital </w:t>
      </w:r>
      <w:r w:rsidR="005E2367" w:rsidRPr="007F79F8">
        <w:rPr>
          <w:b/>
          <w:bCs/>
          <w:sz w:val="20"/>
          <w:szCs w:val="20"/>
          <w:lang w:val="en-GB"/>
        </w:rPr>
        <w:t xml:space="preserve">growing </w:t>
      </w:r>
      <w:r w:rsidR="002801EE" w:rsidRPr="007F79F8">
        <w:rPr>
          <w:b/>
          <w:bCs/>
          <w:sz w:val="20"/>
          <w:szCs w:val="20"/>
          <w:lang w:val="en-GB"/>
        </w:rPr>
        <w:t>more confident</w:t>
      </w:r>
    </w:p>
    <w:p w14:paraId="763CBDDE" w14:textId="77777777" w:rsidR="00F656E4" w:rsidRPr="007F79F8" w:rsidRDefault="00F656E4" w:rsidP="00F656E4">
      <w:pPr>
        <w:spacing w:after="0" w:line="240" w:lineRule="auto"/>
        <w:jc w:val="both"/>
        <w:rPr>
          <w:b/>
          <w:bCs/>
          <w:sz w:val="20"/>
          <w:szCs w:val="20"/>
          <w:lang w:val="en-GB"/>
        </w:rPr>
      </w:pPr>
    </w:p>
    <w:p w14:paraId="5FB52D82" w14:textId="06C8BEDE" w:rsidR="00674C04" w:rsidRPr="007F79F8" w:rsidRDefault="002801EE" w:rsidP="00F656E4">
      <w:pPr>
        <w:spacing w:after="0" w:line="240" w:lineRule="auto"/>
        <w:jc w:val="both"/>
        <w:rPr>
          <w:sz w:val="20"/>
          <w:szCs w:val="20"/>
          <w:lang w:val="en-GB"/>
        </w:rPr>
      </w:pPr>
      <w:r w:rsidRPr="007F79F8">
        <w:rPr>
          <w:sz w:val="20"/>
          <w:szCs w:val="20"/>
          <w:lang w:val="en-GB"/>
        </w:rPr>
        <w:t xml:space="preserve">Poland’s office market is experiencing </w:t>
      </w:r>
      <w:r w:rsidR="003D19A5" w:rsidRPr="007F79F8">
        <w:rPr>
          <w:sz w:val="20"/>
          <w:szCs w:val="20"/>
          <w:lang w:val="en-GB"/>
        </w:rPr>
        <w:t xml:space="preserve">renewed investor interest. The first half of 2025 saw </w:t>
      </w:r>
      <w:r w:rsidR="008219DB" w:rsidRPr="007F79F8">
        <w:rPr>
          <w:sz w:val="20"/>
          <w:szCs w:val="20"/>
          <w:lang w:val="en-GB"/>
        </w:rPr>
        <w:t xml:space="preserve">transactions total </w:t>
      </w:r>
      <w:r w:rsidR="003D19A5" w:rsidRPr="007F79F8">
        <w:rPr>
          <w:sz w:val="20"/>
          <w:szCs w:val="20"/>
          <w:lang w:val="en-GB"/>
        </w:rPr>
        <w:t xml:space="preserve">nearly </w:t>
      </w:r>
      <w:r w:rsidR="008219DB" w:rsidRPr="007F79F8">
        <w:rPr>
          <w:sz w:val="20"/>
          <w:szCs w:val="20"/>
          <w:lang w:val="en-GB"/>
        </w:rPr>
        <w:t xml:space="preserve">EUR 400 million, </w:t>
      </w:r>
      <w:r w:rsidR="00404388" w:rsidRPr="007F79F8">
        <w:rPr>
          <w:sz w:val="20"/>
          <w:szCs w:val="20"/>
          <w:lang w:val="en-GB"/>
        </w:rPr>
        <w:t>including</w:t>
      </w:r>
      <w:r w:rsidR="008219DB" w:rsidRPr="007F79F8">
        <w:rPr>
          <w:sz w:val="20"/>
          <w:szCs w:val="20"/>
          <w:lang w:val="en-GB"/>
        </w:rPr>
        <w:t xml:space="preserve"> EUR 232 million </w:t>
      </w:r>
      <w:r w:rsidR="001035BC" w:rsidRPr="007F79F8">
        <w:rPr>
          <w:sz w:val="20"/>
          <w:szCs w:val="20"/>
          <w:lang w:val="en-GB"/>
        </w:rPr>
        <w:t>in the second quarter. Capital is flowing in from Germany, Belgium, the United Kingdom, Scandinavi</w:t>
      </w:r>
      <w:r w:rsidR="00B27E0C" w:rsidRPr="007F79F8">
        <w:rPr>
          <w:sz w:val="20"/>
          <w:szCs w:val="20"/>
          <w:lang w:val="en-GB"/>
        </w:rPr>
        <w:t>a</w:t>
      </w:r>
      <w:r w:rsidR="00A37EEC" w:rsidRPr="007F79F8">
        <w:rPr>
          <w:sz w:val="20"/>
          <w:szCs w:val="20"/>
          <w:lang w:val="en-GB"/>
        </w:rPr>
        <w:t xml:space="preserve"> – b</w:t>
      </w:r>
      <w:r w:rsidR="00B27E0C" w:rsidRPr="007F79F8">
        <w:rPr>
          <w:sz w:val="20"/>
          <w:szCs w:val="20"/>
          <w:lang w:val="en-GB"/>
        </w:rPr>
        <w:t>ut not only</w:t>
      </w:r>
      <w:r w:rsidR="00A37EEC" w:rsidRPr="007F79F8">
        <w:rPr>
          <w:sz w:val="20"/>
          <w:szCs w:val="20"/>
          <w:lang w:val="en-GB"/>
        </w:rPr>
        <w:t xml:space="preserve"> from abroad</w:t>
      </w:r>
      <w:r w:rsidR="00B27E0C" w:rsidRPr="007F79F8">
        <w:rPr>
          <w:sz w:val="20"/>
          <w:szCs w:val="20"/>
          <w:lang w:val="en-GB"/>
        </w:rPr>
        <w:t>.</w:t>
      </w:r>
      <w:r w:rsidR="00674C04" w:rsidRPr="007F79F8">
        <w:rPr>
          <w:sz w:val="20"/>
          <w:szCs w:val="20"/>
          <w:lang w:val="en-GB"/>
        </w:rPr>
        <w:t xml:space="preserve"> </w:t>
      </w:r>
    </w:p>
    <w:p w14:paraId="4032ADD3" w14:textId="77777777" w:rsidR="00674C04" w:rsidRPr="007F79F8" w:rsidRDefault="00674C04" w:rsidP="00F656E4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4CD1DC67" w14:textId="4BEBFF58" w:rsidR="00674C04" w:rsidRPr="007F79F8" w:rsidRDefault="00404388" w:rsidP="00F656E4">
      <w:pPr>
        <w:spacing w:after="0" w:line="240" w:lineRule="auto"/>
        <w:jc w:val="both"/>
        <w:rPr>
          <w:b/>
          <w:bCs/>
          <w:sz w:val="20"/>
          <w:szCs w:val="20"/>
          <w:lang w:val="en-GB"/>
        </w:rPr>
      </w:pPr>
      <w:r w:rsidRPr="007F79F8">
        <w:rPr>
          <w:i/>
          <w:iCs/>
          <w:sz w:val="20"/>
          <w:szCs w:val="20"/>
          <w:lang w:val="en-GB"/>
        </w:rPr>
        <w:t>“</w:t>
      </w:r>
      <w:r w:rsidR="00B27E0C" w:rsidRPr="007F79F8">
        <w:rPr>
          <w:i/>
          <w:iCs/>
          <w:sz w:val="20"/>
          <w:szCs w:val="20"/>
          <w:lang w:val="en-GB"/>
        </w:rPr>
        <w:t xml:space="preserve">Importantly, approximately 40% of </w:t>
      </w:r>
      <w:r w:rsidR="001A06CA" w:rsidRPr="007F79F8">
        <w:rPr>
          <w:i/>
          <w:iCs/>
          <w:sz w:val="20"/>
          <w:szCs w:val="20"/>
          <w:lang w:val="en-GB"/>
        </w:rPr>
        <w:t>office investment came from domestic investors who are increasingly targeting high-quality assets</w:t>
      </w:r>
      <w:r w:rsidR="00F546D3" w:rsidRPr="007F79F8">
        <w:rPr>
          <w:i/>
          <w:iCs/>
          <w:sz w:val="20"/>
          <w:szCs w:val="20"/>
          <w:lang w:val="en-GB"/>
        </w:rPr>
        <w:t xml:space="preserve"> and competing with international players</w:t>
      </w:r>
      <w:r w:rsidR="007D082F" w:rsidRPr="007F79F8">
        <w:rPr>
          <w:i/>
          <w:iCs/>
          <w:sz w:val="20"/>
          <w:szCs w:val="20"/>
          <w:lang w:val="en-GB"/>
        </w:rPr>
        <w:t xml:space="preserve"> both in </w:t>
      </w:r>
      <w:r w:rsidR="0092330E" w:rsidRPr="007F79F8">
        <w:rPr>
          <w:i/>
          <w:iCs/>
          <w:sz w:val="20"/>
          <w:szCs w:val="20"/>
          <w:lang w:val="en-GB"/>
        </w:rPr>
        <w:t>major</w:t>
      </w:r>
      <w:r w:rsidR="007D082F" w:rsidRPr="007F79F8">
        <w:rPr>
          <w:i/>
          <w:iCs/>
          <w:sz w:val="20"/>
          <w:szCs w:val="20"/>
          <w:lang w:val="en-GB"/>
        </w:rPr>
        <w:t xml:space="preserve"> cities and regional markets. This is a very positive signal</w:t>
      </w:r>
      <w:r w:rsidR="0092330E" w:rsidRPr="007F79F8">
        <w:rPr>
          <w:i/>
          <w:iCs/>
          <w:sz w:val="20"/>
          <w:szCs w:val="20"/>
          <w:lang w:val="en-GB"/>
        </w:rPr>
        <w:t>,</w:t>
      </w:r>
      <w:r w:rsidR="007D082F" w:rsidRPr="007F79F8">
        <w:rPr>
          <w:i/>
          <w:iCs/>
          <w:sz w:val="20"/>
          <w:szCs w:val="20"/>
          <w:lang w:val="en-GB"/>
        </w:rPr>
        <w:t xml:space="preserve"> showing that Polish capital is </w:t>
      </w:r>
      <w:r w:rsidR="00DD0C9D" w:rsidRPr="007F79F8">
        <w:rPr>
          <w:i/>
          <w:iCs/>
          <w:sz w:val="20"/>
          <w:szCs w:val="20"/>
          <w:lang w:val="en-GB"/>
        </w:rPr>
        <w:t xml:space="preserve">emerging as </w:t>
      </w:r>
      <w:r w:rsidR="007D082F" w:rsidRPr="007F79F8">
        <w:rPr>
          <w:i/>
          <w:iCs/>
          <w:sz w:val="20"/>
          <w:szCs w:val="20"/>
          <w:lang w:val="en-GB"/>
        </w:rPr>
        <w:t>a</w:t>
      </w:r>
      <w:r w:rsidR="00480EED" w:rsidRPr="007F79F8">
        <w:rPr>
          <w:i/>
          <w:iCs/>
          <w:sz w:val="20"/>
          <w:szCs w:val="20"/>
          <w:lang w:val="en-GB"/>
        </w:rPr>
        <w:t xml:space="preserve"> permanent and </w:t>
      </w:r>
      <w:r w:rsidR="0092330E" w:rsidRPr="007F79F8">
        <w:rPr>
          <w:i/>
          <w:iCs/>
          <w:sz w:val="20"/>
          <w:szCs w:val="20"/>
          <w:lang w:val="en-GB"/>
        </w:rPr>
        <w:t>significant</w:t>
      </w:r>
      <w:r w:rsidR="005E2367" w:rsidRPr="007F79F8">
        <w:rPr>
          <w:i/>
          <w:iCs/>
          <w:sz w:val="20"/>
          <w:szCs w:val="20"/>
          <w:lang w:val="en-GB"/>
        </w:rPr>
        <w:t xml:space="preserve"> part of the market</w:t>
      </w:r>
      <w:r w:rsidR="00F145DC" w:rsidRPr="007F79F8">
        <w:rPr>
          <w:i/>
          <w:iCs/>
          <w:sz w:val="20"/>
          <w:szCs w:val="20"/>
          <w:lang w:val="en-GB"/>
        </w:rPr>
        <w:t>,”</w:t>
      </w:r>
      <w:r w:rsidR="00674C04" w:rsidRPr="007F79F8">
        <w:rPr>
          <w:sz w:val="20"/>
          <w:szCs w:val="20"/>
          <w:lang w:val="en-GB"/>
        </w:rPr>
        <w:t xml:space="preserve"> </w:t>
      </w:r>
      <w:r w:rsidR="00F145DC" w:rsidRPr="007F79F8">
        <w:rPr>
          <w:sz w:val="20"/>
          <w:szCs w:val="20"/>
          <w:lang w:val="en-GB"/>
        </w:rPr>
        <w:t>comments</w:t>
      </w:r>
      <w:r w:rsidR="00674C04" w:rsidRPr="007F79F8">
        <w:rPr>
          <w:sz w:val="20"/>
          <w:szCs w:val="20"/>
          <w:lang w:val="en-GB"/>
        </w:rPr>
        <w:t xml:space="preserve"> </w:t>
      </w:r>
      <w:r w:rsidR="00674C04" w:rsidRPr="007F79F8">
        <w:rPr>
          <w:b/>
          <w:bCs/>
          <w:sz w:val="20"/>
          <w:szCs w:val="20"/>
          <w:lang w:val="en-GB"/>
        </w:rPr>
        <w:t xml:space="preserve">Marcin Kocerba, Partner, Capital Markets Poland, Cushman &amp; Wakefield. </w:t>
      </w:r>
    </w:p>
    <w:p w14:paraId="0C030F8A" w14:textId="77777777" w:rsidR="00674C04" w:rsidRPr="007F79F8" w:rsidRDefault="00674C04" w:rsidP="00F656E4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5712803C" w14:textId="423511CB" w:rsidR="008048FD" w:rsidRPr="007F79F8" w:rsidRDefault="004730F6" w:rsidP="00F656E4">
      <w:pPr>
        <w:spacing w:after="0" w:line="240" w:lineRule="auto"/>
        <w:jc w:val="both"/>
        <w:rPr>
          <w:sz w:val="20"/>
          <w:szCs w:val="20"/>
          <w:lang w:val="en-GB"/>
        </w:rPr>
      </w:pPr>
      <w:r w:rsidRPr="007F79F8">
        <w:rPr>
          <w:sz w:val="20"/>
          <w:szCs w:val="20"/>
          <w:lang w:val="en-GB"/>
        </w:rPr>
        <w:t xml:space="preserve">The largest </w:t>
      </w:r>
      <w:r w:rsidR="00FB23FB" w:rsidRPr="007F79F8">
        <w:rPr>
          <w:sz w:val="20"/>
          <w:szCs w:val="20"/>
          <w:lang w:val="en-GB"/>
        </w:rPr>
        <w:t xml:space="preserve">H1 </w:t>
      </w:r>
      <w:r w:rsidRPr="007F79F8">
        <w:rPr>
          <w:sz w:val="20"/>
          <w:szCs w:val="20"/>
          <w:lang w:val="en-GB"/>
        </w:rPr>
        <w:t xml:space="preserve">transactions </w:t>
      </w:r>
      <w:r w:rsidR="00FB23FB" w:rsidRPr="007F79F8">
        <w:rPr>
          <w:sz w:val="20"/>
          <w:szCs w:val="20"/>
          <w:lang w:val="en-GB"/>
        </w:rPr>
        <w:t>included the sale of tw</w:t>
      </w:r>
      <w:r w:rsidR="005D5099" w:rsidRPr="007F79F8">
        <w:rPr>
          <w:sz w:val="20"/>
          <w:szCs w:val="20"/>
          <w:lang w:val="en-GB"/>
        </w:rPr>
        <w:t xml:space="preserve">o buildings in the High5ive complex in Kraków to </w:t>
      </w:r>
      <w:r w:rsidR="00EE29AE" w:rsidRPr="007F79F8">
        <w:rPr>
          <w:sz w:val="20"/>
          <w:szCs w:val="20"/>
          <w:lang w:val="en-GB"/>
        </w:rPr>
        <w:t xml:space="preserve">the Swedish investor </w:t>
      </w:r>
      <w:r w:rsidR="00674C04" w:rsidRPr="007F79F8">
        <w:rPr>
          <w:sz w:val="20"/>
          <w:szCs w:val="20"/>
          <w:lang w:val="en-GB"/>
        </w:rPr>
        <w:t xml:space="preserve">Stena Real Estate, </w:t>
      </w:r>
      <w:r w:rsidR="00EE29AE" w:rsidRPr="007F79F8">
        <w:rPr>
          <w:sz w:val="20"/>
          <w:szCs w:val="20"/>
          <w:lang w:val="en-GB"/>
        </w:rPr>
        <w:t xml:space="preserve">the acquisition of the </w:t>
      </w:r>
      <w:proofErr w:type="spellStart"/>
      <w:r w:rsidR="00EE29AE" w:rsidRPr="007F79F8">
        <w:rPr>
          <w:sz w:val="20"/>
          <w:szCs w:val="20"/>
          <w:lang w:val="en-GB"/>
        </w:rPr>
        <w:t>Wronia</w:t>
      </w:r>
      <w:proofErr w:type="spellEnd"/>
      <w:r w:rsidR="00EE29AE" w:rsidRPr="007F79F8">
        <w:rPr>
          <w:sz w:val="20"/>
          <w:szCs w:val="20"/>
          <w:lang w:val="en-GB"/>
        </w:rPr>
        <w:t xml:space="preserve"> 31 office building in Warsaw by </w:t>
      </w:r>
      <w:proofErr w:type="spellStart"/>
      <w:r w:rsidR="00674C04" w:rsidRPr="007F79F8">
        <w:rPr>
          <w:sz w:val="20"/>
          <w:szCs w:val="20"/>
          <w:lang w:val="en-GB"/>
        </w:rPr>
        <w:t>Uniqa</w:t>
      </w:r>
      <w:proofErr w:type="spellEnd"/>
      <w:r w:rsidR="00674C04" w:rsidRPr="007F79F8">
        <w:rPr>
          <w:sz w:val="20"/>
          <w:szCs w:val="20"/>
          <w:lang w:val="en-GB"/>
        </w:rPr>
        <w:t xml:space="preserve"> Real Estate</w:t>
      </w:r>
      <w:r w:rsidR="00EE29AE" w:rsidRPr="007F79F8">
        <w:rPr>
          <w:sz w:val="20"/>
          <w:szCs w:val="20"/>
          <w:lang w:val="en-GB"/>
        </w:rPr>
        <w:t xml:space="preserve">, and the purchase of </w:t>
      </w:r>
      <w:proofErr w:type="spellStart"/>
      <w:r w:rsidR="00674C04" w:rsidRPr="007F79F8">
        <w:rPr>
          <w:sz w:val="20"/>
          <w:szCs w:val="20"/>
          <w:lang w:val="en-GB"/>
        </w:rPr>
        <w:t>Zauł</w:t>
      </w:r>
      <w:r w:rsidR="00EE29AE" w:rsidRPr="007F79F8">
        <w:rPr>
          <w:sz w:val="20"/>
          <w:szCs w:val="20"/>
          <w:lang w:val="en-GB"/>
        </w:rPr>
        <w:t>e</w:t>
      </w:r>
      <w:r w:rsidR="00674C04" w:rsidRPr="007F79F8">
        <w:rPr>
          <w:sz w:val="20"/>
          <w:szCs w:val="20"/>
          <w:lang w:val="en-GB"/>
        </w:rPr>
        <w:t>k</w:t>
      </w:r>
      <w:proofErr w:type="spellEnd"/>
      <w:r w:rsidR="00674C04" w:rsidRPr="007F79F8">
        <w:rPr>
          <w:sz w:val="20"/>
          <w:szCs w:val="20"/>
          <w:lang w:val="en-GB"/>
        </w:rPr>
        <w:t xml:space="preserve"> </w:t>
      </w:r>
      <w:proofErr w:type="spellStart"/>
      <w:r w:rsidR="00674C04" w:rsidRPr="007F79F8">
        <w:rPr>
          <w:sz w:val="20"/>
          <w:szCs w:val="20"/>
          <w:lang w:val="en-GB"/>
        </w:rPr>
        <w:t>Piękna</w:t>
      </w:r>
      <w:proofErr w:type="spellEnd"/>
      <w:r w:rsidR="00674C04" w:rsidRPr="007F79F8">
        <w:rPr>
          <w:sz w:val="20"/>
          <w:szCs w:val="20"/>
          <w:lang w:val="en-GB"/>
        </w:rPr>
        <w:t xml:space="preserve"> </w:t>
      </w:r>
      <w:r w:rsidR="00EE29AE" w:rsidRPr="007F79F8">
        <w:rPr>
          <w:sz w:val="20"/>
          <w:szCs w:val="20"/>
          <w:lang w:val="en-GB"/>
        </w:rPr>
        <w:t>by</w:t>
      </w:r>
      <w:r w:rsidR="00674C04" w:rsidRPr="007F79F8">
        <w:rPr>
          <w:sz w:val="20"/>
          <w:szCs w:val="20"/>
          <w:lang w:val="en-GB"/>
        </w:rPr>
        <w:t xml:space="preserve"> Syrena Real Estate. </w:t>
      </w:r>
      <w:r w:rsidR="00B52360" w:rsidRPr="007F79F8">
        <w:rPr>
          <w:sz w:val="20"/>
          <w:szCs w:val="20"/>
          <w:lang w:val="en-GB"/>
        </w:rPr>
        <w:t xml:space="preserve">As </w:t>
      </w:r>
      <w:r w:rsidR="00674C04" w:rsidRPr="007F79F8">
        <w:rPr>
          <w:sz w:val="20"/>
          <w:szCs w:val="20"/>
          <w:lang w:val="en-GB"/>
        </w:rPr>
        <w:t>Cushman &amp; Wakefield</w:t>
      </w:r>
      <w:r w:rsidR="00B52360" w:rsidRPr="007F79F8">
        <w:rPr>
          <w:sz w:val="20"/>
          <w:szCs w:val="20"/>
          <w:lang w:val="en-GB"/>
        </w:rPr>
        <w:t xml:space="preserve"> experts note</w:t>
      </w:r>
      <w:r w:rsidR="00674C04" w:rsidRPr="007F79F8">
        <w:rPr>
          <w:sz w:val="20"/>
          <w:szCs w:val="20"/>
          <w:lang w:val="en-GB"/>
        </w:rPr>
        <w:t xml:space="preserve">, </w:t>
      </w:r>
      <w:r w:rsidR="00B52360" w:rsidRPr="007F79F8">
        <w:rPr>
          <w:sz w:val="20"/>
          <w:szCs w:val="20"/>
          <w:lang w:val="en-GB"/>
        </w:rPr>
        <w:t xml:space="preserve">investors are </w:t>
      </w:r>
      <w:r w:rsidR="002E7B64" w:rsidRPr="007F79F8">
        <w:rPr>
          <w:sz w:val="20"/>
          <w:szCs w:val="20"/>
          <w:lang w:val="en-GB"/>
        </w:rPr>
        <w:t xml:space="preserve">currently seeking </w:t>
      </w:r>
      <w:r w:rsidR="001D0064">
        <w:rPr>
          <w:sz w:val="20"/>
          <w:szCs w:val="20"/>
          <w:lang w:val="en-GB"/>
        </w:rPr>
        <w:t>various</w:t>
      </w:r>
      <w:r w:rsidR="002E7B64" w:rsidRPr="007F79F8">
        <w:rPr>
          <w:sz w:val="20"/>
          <w:szCs w:val="20"/>
          <w:lang w:val="en-GB"/>
        </w:rPr>
        <w:t xml:space="preserve"> opportunities</w:t>
      </w:r>
      <w:r w:rsidR="00F52598" w:rsidRPr="007F79F8">
        <w:rPr>
          <w:sz w:val="20"/>
          <w:szCs w:val="20"/>
          <w:lang w:val="en-GB"/>
        </w:rPr>
        <w:t xml:space="preserve"> – </w:t>
      </w:r>
      <w:r w:rsidR="002E7B64" w:rsidRPr="007F79F8">
        <w:rPr>
          <w:sz w:val="20"/>
          <w:szCs w:val="20"/>
          <w:lang w:val="en-GB"/>
        </w:rPr>
        <w:t>from prestigious projects in the centre of the Polish capital</w:t>
      </w:r>
      <w:r w:rsidR="00C14C0F" w:rsidRPr="007F79F8">
        <w:rPr>
          <w:sz w:val="20"/>
          <w:szCs w:val="20"/>
          <w:lang w:val="en-GB"/>
        </w:rPr>
        <w:t xml:space="preserve"> to value-add assets and properties outside the core of the C</w:t>
      </w:r>
      <w:r w:rsidR="001F7BAF" w:rsidRPr="007F79F8">
        <w:rPr>
          <w:sz w:val="20"/>
          <w:szCs w:val="20"/>
          <w:lang w:val="en-GB"/>
        </w:rPr>
        <w:t>B</w:t>
      </w:r>
      <w:r w:rsidR="00C14C0F" w:rsidRPr="007F79F8">
        <w:rPr>
          <w:sz w:val="20"/>
          <w:szCs w:val="20"/>
          <w:lang w:val="en-GB"/>
        </w:rPr>
        <w:t>D.</w:t>
      </w:r>
      <w:r w:rsidR="00674C04" w:rsidRPr="007F79F8">
        <w:rPr>
          <w:sz w:val="20"/>
          <w:szCs w:val="20"/>
          <w:lang w:val="en-GB"/>
        </w:rPr>
        <w:t xml:space="preserve"> </w:t>
      </w:r>
    </w:p>
    <w:p w14:paraId="3907373A" w14:textId="77777777" w:rsidR="008048FD" w:rsidRPr="007F79F8" w:rsidRDefault="008048FD" w:rsidP="00F656E4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664228E5" w14:textId="77FD3BF4" w:rsidR="00F656E4" w:rsidRPr="007F79F8" w:rsidRDefault="00A506AE" w:rsidP="00F656E4">
      <w:pPr>
        <w:spacing w:after="0" w:line="240" w:lineRule="auto"/>
        <w:jc w:val="both"/>
        <w:rPr>
          <w:b/>
          <w:bCs/>
          <w:sz w:val="20"/>
          <w:szCs w:val="20"/>
          <w:lang w:val="en-GB"/>
        </w:rPr>
      </w:pPr>
      <w:r w:rsidRPr="007F79F8">
        <w:rPr>
          <w:i/>
          <w:iCs/>
          <w:sz w:val="20"/>
          <w:szCs w:val="20"/>
          <w:lang w:val="en-GB"/>
        </w:rPr>
        <w:t xml:space="preserve">“The stellar performance in the first half of the year is </w:t>
      </w:r>
      <w:r w:rsidR="00B86154" w:rsidRPr="007F79F8">
        <w:rPr>
          <w:i/>
          <w:iCs/>
          <w:sz w:val="20"/>
          <w:szCs w:val="20"/>
          <w:lang w:val="en-GB"/>
        </w:rPr>
        <w:t xml:space="preserve">a </w:t>
      </w:r>
      <w:r w:rsidRPr="007F79F8">
        <w:rPr>
          <w:i/>
          <w:iCs/>
          <w:sz w:val="20"/>
          <w:szCs w:val="20"/>
          <w:lang w:val="en-GB"/>
        </w:rPr>
        <w:t xml:space="preserve">testament to the growing confidence in the </w:t>
      </w:r>
      <w:r w:rsidR="00FF187B" w:rsidRPr="007F79F8">
        <w:rPr>
          <w:i/>
          <w:iCs/>
          <w:sz w:val="20"/>
          <w:szCs w:val="20"/>
          <w:lang w:val="en-GB"/>
        </w:rPr>
        <w:t>potential of the Polish market and the increasing diversification of investment strategies</w:t>
      </w:r>
      <w:r w:rsidR="00B86154" w:rsidRPr="007F79F8">
        <w:rPr>
          <w:i/>
          <w:iCs/>
          <w:sz w:val="20"/>
          <w:szCs w:val="20"/>
          <w:lang w:val="en-GB"/>
        </w:rPr>
        <w:t>, with</w:t>
      </w:r>
      <w:r w:rsidR="005A19C2" w:rsidRPr="007F79F8">
        <w:rPr>
          <w:i/>
          <w:iCs/>
          <w:sz w:val="20"/>
          <w:szCs w:val="20"/>
          <w:lang w:val="en-GB"/>
        </w:rPr>
        <w:t xml:space="preserve"> </w:t>
      </w:r>
      <w:r w:rsidR="00C47E7E" w:rsidRPr="007F79F8">
        <w:rPr>
          <w:i/>
          <w:iCs/>
          <w:sz w:val="20"/>
          <w:szCs w:val="20"/>
          <w:lang w:val="en-GB"/>
        </w:rPr>
        <w:t xml:space="preserve">regional markets playing an </w:t>
      </w:r>
      <w:r w:rsidR="000B004E" w:rsidRPr="007F79F8">
        <w:rPr>
          <w:i/>
          <w:iCs/>
          <w:sz w:val="20"/>
          <w:szCs w:val="20"/>
          <w:lang w:val="en-GB"/>
        </w:rPr>
        <w:t xml:space="preserve">ever more </w:t>
      </w:r>
      <w:r w:rsidR="0076430E" w:rsidRPr="007F79F8">
        <w:rPr>
          <w:i/>
          <w:iCs/>
          <w:sz w:val="20"/>
          <w:szCs w:val="20"/>
          <w:lang w:val="en-GB"/>
        </w:rPr>
        <w:t xml:space="preserve">important role alongside Warsaw. The sale of the VIBE office building in Warsaw closed in August and </w:t>
      </w:r>
      <w:r w:rsidR="006B6D64" w:rsidRPr="007F79F8">
        <w:rPr>
          <w:i/>
          <w:iCs/>
          <w:sz w:val="20"/>
          <w:szCs w:val="20"/>
          <w:lang w:val="en-GB"/>
        </w:rPr>
        <w:t xml:space="preserve">ongoing negotiations </w:t>
      </w:r>
      <w:r w:rsidR="002A6569" w:rsidRPr="007F79F8">
        <w:rPr>
          <w:i/>
          <w:iCs/>
          <w:sz w:val="20"/>
          <w:szCs w:val="20"/>
          <w:lang w:val="en-GB"/>
        </w:rPr>
        <w:t xml:space="preserve">suggest that </w:t>
      </w:r>
      <w:r w:rsidR="006B6D64" w:rsidRPr="007F79F8">
        <w:rPr>
          <w:i/>
          <w:iCs/>
          <w:sz w:val="20"/>
          <w:szCs w:val="20"/>
          <w:lang w:val="en-GB"/>
        </w:rPr>
        <w:t>investment volume</w:t>
      </w:r>
      <w:r w:rsidR="00AF315C" w:rsidRPr="007F79F8">
        <w:rPr>
          <w:i/>
          <w:iCs/>
          <w:sz w:val="20"/>
          <w:szCs w:val="20"/>
          <w:lang w:val="en-GB"/>
        </w:rPr>
        <w:t>s</w:t>
      </w:r>
      <w:r w:rsidR="006B6D64" w:rsidRPr="007F79F8">
        <w:rPr>
          <w:i/>
          <w:iCs/>
          <w:sz w:val="20"/>
          <w:szCs w:val="20"/>
          <w:lang w:val="en-GB"/>
        </w:rPr>
        <w:t xml:space="preserve"> </w:t>
      </w:r>
      <w:r w:rsidR="00E11E46" w:rsidRPr="007F79F8">
        <w:rPr>
          <w:i/>
          <w:iCs/>
          <w:sz w:val="20"/>
          <w:szCs w:val="20"/>
          <w:lang w:val="en-GB"/>
        </w:rPr>
        <w:t xml:space="preserve">in </w:t>
      </w:r>
      <w:r w:rsidR="006B6D64" w:rsidRPr="007F79F8">
        <w:rPr>
          <w:i/>
          <w:iCs/>
          <w:sz w:val="20"/>
          <w:szCs w:val="20"/>
          <w:lang w:val="en-GB"/>
        </w:rPr>
        <w:t xml:space="preserve">the </w:t>
      </w:r>
      <w:r w:rsidR="000C4330" w:rsidRPr="007F79F8">
        <w:rPr>
          <w:i/>
          <w:iCs/>
          <w:sz w:val="20"/>
          <w:szCs w:val="20"/>
          <w:lang w:val="en-GB"/>
        </w:rPr>
        <w:t>second</w:t>
      </w:r>
      <w:r w:rsidR="006B6D64" w:rsidRPr="007F79F8">
        <w:rPr>
          <w:i/>
          <w:iCs/>
          <w:sz w:val="20"/>
          <w:szCs w:val="20"/>
          <w:lang w:val="en-GB"/>
        </w:rPr>
        <w:t xml:space="preserve"> half of the year</w:t>
      </w:r>
      <w:r w:rsidR="00D16840" w:rsidRPr="007F79F8">
        <w:rPr>
          <w:i/>
          <w:iCs/>
          <w:sz w:val="20"/>
          <w:szCs w:val="20"/>
          <w:lang w:val="en-GB"/>
        </w:rPr>
        <w:t xml:space="preserve"> could rise even further</w:t>
      </w:r>
      <w:r w:rsidR="009F2A16" w:rsidRPr="007F79F8">
        <w:rPr>
          <w:i/>
          <w:iCs/>
          <w:sz w:val="20"/>
          <w:szCs w:val="20"/>
          <w:lang w:val="en-GB"/>
        </w:rPr>
        <w:t>,”</w:t>
      </w:r>
      <w:r w:rsidR="008048FD" w:rsidRPr="007F79F8">
        <w:rPr>
          <w:sz w:val="20"/>
          <w:szCs w:val="20"/>
          <w:lang w:val="en-GB"/>
        </w:rPr>
        <w:t xml:space="preserve"> </w:t>
      </w:r>
      <w:r w:rsidR="009F2A16" w:rsidRPr="007F79F8">
        <w:rPr>
          <w:sz w:val="20"/>
          <w:szCs w:val="20"/>
          <w:lang w:val="en-GB"/>
        </w:rPr>
        <w:t>adds</w:t>
      </w:r>
      <w:r w:rsidR="008048FD" w:rsidRPr="007F79F8">
        <w:rPr>
          <w:sz w:val="20"/>
          <w:szCs w:val="20"/>
          <w:lang w:val="en-GB"/>
        </w:rPr>
        <w:t xml:space="preserve"> </w:t>
      </w:r>
      <w:r w:rsidR="008048FD" w:rsidRPr="007F79F8">
        <w:rPr>
          <w:b/>
          <w:bCs/>
          <w:sz w:val="20"/>
          <w:szCs w:val="20"/>
          <w:lang w:val="en-GB"/>
        </w:rPr>
        <w:t>Marcin Kocerba.</w:t>
      </w:r>
    </w:p>
    <w:p w14:paraId="37818122" w14:textId="77777777" w:rsidR="00100923" w:rsidRPr="007F79F8" w:rsidRDefault="00100923" w:rsidP="00F656E4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48EEFFDE" w14:textId="1FB33CB8" w:rsidR="008048FD" w:rsidRPr="007F79F8" w:rsidRDefault="005709B3" w:rsidP="00F656E4">
      <w:pPr>
        <w:spacing w:after="0" w:line="240" w:lineRule="auto"/>
        <w:jc w:val="both"/>
        <w:rPr>
          <w:b/>
          <w:bCs/>
          <w:sz w:val="20"/>
          <w:szCs w:val="20"/>
          <w:lang w:val="en-GB"/>
        </w:rPr>
      </w:pPr>
      <w:r w:rsidRPr="007F79F8">
        <w:rPr>
          <w:b/>
          <w:bCs/>
          <w:sz w:val="20"/>
          <w:szCs w:val="20"/>
          <w:lang w:val="en-GB"/>
        </w:rPr>
        <w:t xml:space="preserve">Warehouses in </w:t>
      </w:r>
      <w:r w:rsidR="00AB1BFE" w:rsidRPr="007F79F8">
        <w:rPr>
          <w:b/>
          <w:bCs/>
          <w:sz w:val="20"/>
          <w:szCs w:val="20"/>
          <w:lang w:val="en-GB"/>
        </w:rPr>
        <w:t>high demand</w:t>
      </w:r>
    </w:p>
    <w:p w14:paraId="08BE5001" w14:textId="77777777" w:rsidR="00100923" w:rsidRPr="007F79F8" w:rsidRDefault="00100923" w:rsidP="00F656E4">
      <w:pPr>
        <w:spacing w:after="0" w:line="240" w:lineRule="auto"/>
        <w:jc w:val="both"/>
        <w:rPr>
          <w:b/>
          <w:bCs/>
          <w:sz w:val="20"/>
          <w:szCs w:val="20"/>
          <w:lang w:val="en-GB"/>
        </w:rPr>
      </w:pPr>
    </w:p>
    <w:p w14:paraId="5625D224" w14:textId="03C5864D" w:rsidR="00380BF7" w:rsidRPr="007F79F8" w:rsidRDefault="003968FB" w:rsidP="00380BF7">
      <w:pPr>
        <w:spacing w:after="0" w:line="240" w:lineRule="auto"/>
        <w:jc w:val="both"/>
        <w:rPr>
          <w:sz w:val="20"/>
          <w:szCs w:val="20"/>
          <w:lang w:val="en-GB"/>
        </w:rPr>
      </w:pPr>
      <w:r w:rsidRPr="007F79F8">
        <w:rPr>
          <w:sz w:val="20"/>
          <w:szCs w:val="20"/>
          <w:lang w:val="en-GB"/>
        </w:rPr>
        <w:t xml:space="preserve">In the first half of 2025, warehouse investment activity in Poland accelerated strongly, with </w:t>
      </w:r>
      <w:r w:rsidR="005A67F8" w:rsidRPr="007F79F8">
        <w:rPr>
          <w:sz w:val="20"/>
          <w:szCs w:val="20"/>
          <w:lang w:val="en-GB"/>
        </w:rPr>
        <w:t>investment volume reaching EUR 694 million</w:t>
      </w:r>
      <w:r w:rsidR="00B47035" w:rsidRPr="007F79F8">
        <w:rPr>
          <w:sz w:val="20"/>
          <w:szCs w:val="20"/>
          <w:lang w:val="en-GB"/>
        </w:rPr>
        <w:t xml:space="preserve"> – </w:t>
      </w:r>
      <w:r w:rsidR="00AF3EF4" w:rsidRPr="007F79F8">
        <w:rPr>
          <w:sz w:val="20"/>
          <w:szCs w:val="20"/>
          <w:lang w:val="en-GB"/>
        </w:rPr>
        <w:t xml:space="preserve">a </w:t>
      </w:r>
      <w:r w:rsidR="00B47035" w:rsidRPr="007F79F8">
        <w:rPr>
          <w:sz w:val="20"/>
          <w:szCs w:val="20"/>
          <w:lang w:val="en-GB"/>
        </w:rPr>
        <w:t xml:space="preserve">more </w:t>
      </w:r>
      <w:r w:rsidR="00AF3EF4" w:rsidRPr="007F79F8">
        <w:rPr>
          <w:sz w:val="20"/>
          <w:szCs w:val="20"/>
          <w:lang w:val="en-GB"/>
        </w:rPr>
        <w:t>than twofold</w:t>
      </w:r>
      <w:r w:rsidR="00CE06AF" w:rsidRPr="007F79F8">
        <w:rPr>
          <w:sz w:val="20"/>
          <w:szCs w:val="20"/>
          <w:lang w:val="en-GB"/>
        </w:rPr>
        <w:t xml:space="preserve"> year-on-year increase. The second quarter proved a turning point</w:t>
      </w:r>
      <w:r w:rsidR="00CC03ED" w:rsidRPr="007F79F8">
        <w:rPr>
          <w:sz w:val="20"/>
          <w:szCs w:val="20"/>
          <w:lang w:val="en-GB"/>
        </w:rPr>
        <w:t xml:space="preserve"> with </w:t>
      </w:r>
      <w:r w:rsidR="000707F5" w:rsidRPr="007F79F8">
        <w:rPr>
          <w:sz w:val="20"/>
          <w:szCs w:val="20"/>
          <w:lang w:val="en-GB"/>
        </w:rPr>
        <w:t xml:space="preserve">a </w:t>
      </w:r>
      <w:r w:rsidR="00CC03ED" w:rsidRPr="007F79F8">
        <w:rPr>
          <w:sz w:val="20"/>
          <w:szCs w:val="20"/>
          <w:lang w:val="en-GB"/>
        </w:rPr>
        <w:t xml:space="preserve">EUR 250 million </w:t>
      </w:r>
      <w:r w:rsidR="00ED5762" w:rsidRPr="007F79F8">
        <w:rPr>
          <w:sz w:val="20"/>
          <w:szCs w:val="20"/>
          <w:lang w:val="en-GB"/>
        </w:rPr>
        <w:t xml:space="preserve">transaction </w:t>
      </w:r>
      <w:r w:rsidR="00CC03ED" w:rsidRPr="007F79F8">
        <w:rPr>
          <w:sz w:val="20"/>
          <w:szCs w:val="20"/>
          <w:lang w:val="en-GB"/>
        </w:rPr>
        <w:t>completed.</w:t>
      </w:r>
      <w:r w:rsidR="00380BF7" w:rsidRPr="007F79F8">
        <w:rPr>
          <w:sz w:val="20"/>
          <w:szCs w:val="20"/>
          <w:lang w:val="en-GB"/>
        </w:rPr>
        <w:t xml:space="preserve"> </w:t>
      </w:r>
    </w:p>
    <w:p w14:paraId="64F9C2F2" w14:textId="77777777" w:rsidR="00380BF7" w:rsidRPr="007F79F8" w:rsidRDefault="00380BF7" w:rsidP="00380BF7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45BAE75D" w14:textId="08F85FA2" w:rsidR="00380BF7" w:rsidRPr="007F79F8" w:rsidRDefault="00537231" w:rsidP="00380BF7">
      <w:pPr>
        <w:spacing w:after="0" w:line="240" w:lineRule="auto"/>
        <w:jc w:val="both"/>
        <w:rPr>
          <w:sz w:val="20"/>
          <w:szCs w:val="20"/>
          <w:lang w:val="en-GB"/>
        </w:rPr>
      </w:pPr>
      <w:r w:rsidRPr="007F79F8">
        <w:rPr>
          <w:i/>
          <w:iCs/>
          <w:sz w:val="20"/>
          <w:szCs w:val="20"/>
          <w:lang w:val="en-GB"/>
        </w:rPr>
        <w:t>“</w:t>
      </w:r>
      <w:r w:rsidR="00EB2319" w:rsidRPr="007F79F8">
        <w:rPr>
          <w:i/>
          <w:iCs/>
          <w:sz w:val="20"/>
          <w:szCs w:val="20"/>
          <w:lang w:val="en-GB"/>
        </w:rPr>
        <w:t xml:space="preserve">After a very successful </w:t>
      </w:r>
      <w:r w:rsidRPr="007F79F8">
        <w:rPr>
          <w:i/>
          <w:iCs/>
          <w:sz w:val="20"/>
          <w:szCs w:val="20"/>
          <w:lang w:val="en-GB"/>
        </w:rPr>
        <w:t>year for the logistics sector in 2024, 2025 has brought a</w:t>
      </w:r>
      <w:r w:rsidR="00681848" w:rsidRPr="007F79F8">
        <w:rPr>
          <w:i/>
          <w:iCs/>
          <w:sz w:val="20"/>
          <w:szCs w:val="20"/>
          <w:lang w:val="en-GB"/>
        </w:rPr>
        <w:t xml:space="preserve"> </w:t>
      </w:r>
      <w:r w:rsidR="00CF6C89">
        <w:rPr>
          <w:i/>
          <w:iCs/>
          <w:sz w:val="20"/>
          <w:szCs w:val="20"/>
          <w:lang w:val="en-GB"/>
        </w:rPr>
        <w:t>notable</w:t>
      </w:r>
      <w:r w:rsidR="00681848" w:rsidRPr="007F79F8">
        <w:rPr>
          <w:i/>
          <w:iCs/>
          <w:sz w:val="20"/>
          <w:szCs w:val="20"/>
          <w:lang w:val="en-GB"/>
        </w:rPr>
        <w:t xml:space="preserve"> increase in </w:t>
      </w:r>
      <w:r w:rsidR="00D63BB4" w:rsidRPr="007F79F8">
        <w:rPr>
          <w:i/>
          <w:iCs/>
          <w:sz w:val="20"/>
          <w:szCs w:val="20"/>
          <w:lang w:val="en-GB"/>
        </w:rPr>
        <w:t xml:space="preserve">the value of </w:t>
      </w:r>
      <w:r w:rsidR="008A020F" w:rsidRPr="007F79F8">
        <w:rPr>
          <w:i/>
          <w:iCs/>
          <w:sz w:val="20"/>
          <w:szCs w:val="20"/>
          <w:lang w:val="en-GB"/>
        </w:rPr>
        <w:t>individual</w:t>
      </w:r>
      <w:r w:rsidR="00D63BB4" w:rsidRPr="007F79F8">
        <w:rPr>
          <w:i/>
          <w:iCs/>
          <w:sz w:val="20"/>
          <w:szCs w:val="20"/>
          <w:lang w:val="en-GB"/>
        </w:rPr>
        <w:t xml:space="preserve"> transactions, send</w:t>
      </w:r>
      <w:r w:rsidR="008A020F" w:rsidRPr="007F79F8">
        <w:rPr>
          <w:i/>
          <w:iCs/>
          <w:sz w:val="20"/>
          <w:szCs w:val="20"/>
          <w:lang w:val="en-GB"/>
        </w:rPr>
        <w:t>ing</w:t>
      </w:r>
      <w:r w:rsidR="00D63BB4" w:rsidRPr="007F79F8">
        <w:rPr>
          <w:i/>
          <w:iCs/>
          <w:sz w:val="20"/>
          <w:szCs w:val="20"/>
          <w:lang w:val="en-GB"/>
        </w:rPr>
        <w:t xml:space="preserve"> a </w:t>
      </w:r>
      <w:r w:rsidR="008A020F" w:rsidRPr="007F79F8">
        <w:rPr>
          <w:i/>
          <w:iCs/>
          <w:sz w:val="20"/>
          <w:szCs w:val="20"/>
          <w:lang w:val="en-GB"/>
        </w:rPr>
        <w:t>very</w:t>
      </w:r>
      <w:r w:rsidR="00C50AE9" w:rsidRPr="007F79F8">
        <w:rPr>
          <w:i/>
          <w:iCs/>
          <w:sz w:val="20"/>
          <w:szCs w:val="20"/>
          <w:lang w:val="en-GB"/>
        </w:rPr>
        <w:t xml:space="preserve"> positive signal to the market. The nature of transactions</w:t>
      </w:r>
      <w:r w:rsidR="003F385A" w:rsidRPr="007F79F8">
        <w:rPr>
          <w:i/>
          <w:iCs/>
          <w:sz w:val="20"/>
          <w:szCs w:val="20"/>
          <w:lang w:val="en-GB"/>
        </w:rPr>
        <w:t xml:space="preserve"> has also </w:t>
      </w:r>
      <w:r w:rsidR="008A020F" w:rsidRPr="007F79F8">
        <w:rPr>
          <w:i/>
          <w:iCs/>
          <w:sz w:val="20"/>
          <w:szCs w:val="20"/>
          <w:lang w:val="en-GB"/>
        </w:rPr>
        <w:t>evolved</w:t>
      </w:r>
      <w:r w:rsidR="003F385A" w:rsidRPr="007F79F8">
        <w:rPr>
          <w:i/>
          <w:iCs/>
          <w:sz w:val="20"/>
          <w:szCs w:val="20"/>
          <w:lang w:val="en-GB"/>
        </w:rPr>
        <w:t xml:space="preserve">. </w:t>
      </w:r>
      <w:r w:rsidR="003A5481" w:rsidRPr="007F79F8">
        <w:rPr>
          <w:i/>
          <w:iCs/>
          <w:sz w:val="20"/>
          <w:szCs w:val="20"/>
          <w:lang w:val="en-GB"/>
        </w:rPr>
        <w:t xml:space="preserve">Last year, investors focused primarily on properties with </w:t>
      </w:r>
      <w:r w:rsidR="00B328AA" w:rsidRPr="007F79F8">
        <w:rPr>
          <w:i/>
          <w:iCs/>
          <w:sz w:val="20"/>
          <w:szCs w:val="20"/>
          <w:lang w:val="en-GB"/>
        </w:rPr>
        <w:t xml:space="preserve">rents below market levels, offering </w:t>
      </w:r>
      <w:r w:rsidR="00026DBC" w:rsidRPr="007F79F8">
        <w:rPr>
          <w:i/>
          <w:iCs/>
          <w:sz w:val="20"/>
          <w:szCs w:val="20"/>
          <w:lang w:val="en-GB"/>
        </w:rPr>
        <w:t>value-add</w:t>
      </w:r>
      <w:r w:rsidR="00E9715B" w:rsidRPr="007F79F8">
        <w:rPr>
          <w:i/>
          <w:iCs/>
          <w:sz w:val="20"/>
          <w:szCs w:val="20"/>
          <w:lang w:val="en-GB"/>
        </w:rPr>
        <w:t xml:space="preserve"> potential</w:t>
      </w:r>
      <w:r w:rsidR="008A70FA" w:rsidRPr="007F79F8">
        <w:rPr>
          <w:i/>
          <w:iCs/>
          <w:sz w:val="20"/>
          <w:szCs w:val="20"/>
          <w:lang w:val="en-GB"/>
        </w:rPr>
        <w:t xml:space="preserve">. </w:t>
      </w:r>
      <w:r w:rsidR="00E9715B" w:rsidRPr="007F79F8">
        <w:rPr>
          <w:i/>
          <w:iCs/>
          <w:sz w:val="20"/>
          <w:szCs w:val="20"/>
          <w:lang w:val="en-GB"/>
        </w:rPr>
        <w:t xml:space="preserve">Today, although </w:t>
      </w:r>
      <w:r w:rsidR="000C009A" w:rsidRPr="007F79F8">
        <w:rPr>
          <w:i/>
          <w:iCs/>
          <w:sz w:val="20"/>
          <w:szCs w:val="20"/>
          <w:lang w:val="en-GB"/>
        </w:rPr>
        <w:t xml:space="preserve">strategies </w:t>
      </w:r>
      <w:r w:rsidR="00426F30" w:rsidRPr="007F79F8">
        <w:rPr>
          <w:i/>
          <w:iCs/>
          <w:sz w:val="20"/>
          <w:szCs w:val="20"/>
          <w:lang w:val="en-GB"/>
        </w:rPr>
        <w:t xml:space="preserve">targeting upside potential </w:t>
      </w:r>
      <w:r w:rsidR="000C009A" w:rsidRPr="007F79F8">
        <w:rPr>
          <w:i/>
          <w:iCs/>
          <w:sz w:val="20"/>
          <w:szCs w:val="20"/>
          <w:lang w:val="en-GB"/>
        </w:rPr>
        <w:t xml:space="preserve">remain </w:t>
      </w:r>
      <w:r w:rsidR="00912D93">
        <w:rPr>
          <w:i/>
          <w:iCs/>
          <w:sz w:val="20"/>
          <w:szCs w:val="20"/>
          <w:lang w:val="en-GB"/>
        </w:rPr>
        <w:t>relevant</w:t>
      </w:r>
      <w:r w:rsidR="005963FC" w:rsidRPr="007F79F8">
        <w:rPr>
          <w:i/>
          <w:iCs/>
          <w:sz w:val="20"/>
          <w:szCs w:val="20"/>
          <w:lang w:val="en-GB"/>
        </w:rPr>
        <w:t>, we are observing a clearly renewed interest in assets with long-term leases and core transactions</w:t>
      </w:r>
      <w:r w:rsidR="00F93609" w:rsidRPr="007F79F8">
        <w:rPr>
          <w:i/>
          <w:iCs/>
          <w:sz w:val="20"/>
          <w:szCs w:val="20"/>
          <w:lang w:val="en-GB"/>
        </w:rPr>
        <w:t xml:space="preserve"> in prime locations</w:t>
      </w:r>
      <w:r w:rsidR="009F2A16" w:rsidRPr="007F79F8">
        <w:rPr>
          <w:i/>
          <w:iCs/>
          <w:sz w:val="20"/>
          <w:szCs w:val="20"/>
          <w:lang w:val="en-GB"/>
        </w:rPr>
        <w:t>,”</w:t>
      </w:r>
      <w:r w:rsidR="00380BF7" w:rsidRPr="007F79F8">
        <w:rPr>
          <w:sz w:val="20"/>
          <w:szCs w:val="20"/>
          <w:lang w:val="en-GB"/>
        </w:rPr>
        <w:t xml:space="preserve"> </w:t>
      </w:r>
      <w:r w:rsidR="009F2A16" w:rsidRPr="007F79F8">
        <w:rPr>
          <w:sz w:val="20"/>
          <w:szCs w:val="20"/>
          <w:lang w:val="en-GB"/>
        </w:rPr>
        <w:t>adds</w:t>
      </w:r>
      <w:r w:rsidR="00380BF7" w:rsidRPr="007F79F8">
        <w:rPr>
          <w:sz w:val="20"/>
          <w:szCs w:val="20"/>
          <w:lang w:val="en-GB"/>
        </w:rPr>
        <w:t xml:space="preserve"> </w:t>
      </w:r>
      <w:r w:rsidR="00380BF7" w:rsidRPr="007F79F8">
        <w:rPr>
          <w:b/>
          <w:bCs/>
          <w:sz w:val="20"/>
          <w:szCs w:val="20"/>
          <w:lang w:val="en-GB"/>
        </w:rPr>
        <w:t xml:space="preserve">Paweł Partyka. </w:t>
      </w:r>
    </w:p>
    <w:p w14:paraId="004B6EF8" w14:textId="77777777" w:rsidR="00380BF7" w:rsidRPr="007F79F8" w:rsidRDefault="00380BF7" w:rsidP="00380BF7">
      <w:pPr>
        <w:spacing w:after="0" w:line="240" w:lineRule="auto"/>
        <w:jc w:val="both"/>
        <w:rPr>
          <w:b/>
          <w:bCs/>
          <w:sz w:val="20"/>
          <w:szCs w:val="20"/>
          <w:lang w:val="en-GB"/>
        </w:rPr>
      </w:pPr>
    </w:p>
    <w:p w14:paraId="54D0C6C2" w14:textId="24AAB992" w:rsidR="00380BF7" w:rsidRPr="007F79F8" w:rsidRDefault="006D69D7" w:rsidP="00380BF7">
      <w:pPr>
        <w:spacing w:after="0" w:line="240" w:lineRule="auto"/>
        <w:jc w:val="both"/>
        <w:rPr>
          <w:b/>
          <w:bCs/>
          <w:sz w:val="20"/>
          <w:szCs w:val="20"/>
          <w:lang w:val="en-GB"/>
        </w:rPr>
      </w:pPr>
      <w:r w:rsidRPr="007F79F8">
        <w:rPr>
          <w:b/>
          <w:bCs/>
          <w:sz w:val="20"/>
          <w:szCs w:val="20"/>
          <w:lang w:val="en-GB"/>
        </w:rPr>
        <w:t xml:space="preserve">Retail </w:t>
      </w:r>
      <w:r w:rsidR="00A06403" w:rsidRPr="007F79F8">
        <w:rPr>
          <w:b/>
          <w:bCs/>
          <w:sz w:val="20"/>
          <w:szCs w:val="20"/>
          <w:lang w:val="en-GB"/>
        </w:rPr>
        <w:t xml:space="preserve">gains momentum </w:t>
      </w:r>
      <w:r w:rsidR="0066772F" w:rsidRPr="007F79F8">
        <w:rPr>
          <w:b/>
          <w:bCs/>
          <w:sz w:val="20"/>
          <w:szCs w:val="20"/>
          <w:lang w:val="en-GB"/>
        </w:rPr>
        <w:t>ahead of</w:t>
      </w:r>
      <w:r w:rsidR="00A209A3" w:rsidRPr="007F79F8">
        <w:rPr>
          <w:b/>
          <w:bCs/>
          <w:sz w:val="20"/>
          <w:szCs w:val="20"/>
          <w:lang w:val="en-GB"/>
        </w:rPr>
        <w:t xml:space="preserve"> the autumn and winter season</w:t>
      </w:r>
    </w:p>
    <w:p w14:paraId="3B2D32FB" w14:textId="77777777" w:rsidR="006015FE" w:rsidRPr="007F79F8" w:rsidRDefault="006015FE" w:rsidP="00380BF7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7D53CDC8" w14:textId="663043A3" w:rsidR="002C240D" w:rsidRPr="007F79F8" w:rsidRDefault="00F1782C" w:rsidP="002C240D">
      <w:pPr>
        <w:spacing w:after="0" w:line="240" w:lineRule="auto"/>
        <w:jc w:val="both"/>
        <w:rPr>
          <w:sz w:val="20"/>
          <w:szCs w:val="20"/>
          <w:lang w:val="en-GB"/>
        </w:rPr>
      </w:pPr>
      <w:r w:rsidRPr="007F79F8">
        <w:rPr>
          <w:sz w:val="20"/>
          <w:szCs w:val="20"/>
          <w:lang w:val="en-GB"/>
        </w:rPr>
        <w:t>Poland’s retail investment volume hit EUR 320 million in the first half of 2025</w:t>
      </w:r>
      <w:r w:rsidR="00B52A09">
        <w:rPr>
          <w:sz w:val="20"/>
          <w:szCs w:val="20"/>
          <w:lang w:val="en-GB"/>
        </w:rPr>
        <w:t xml:space="preserve">. </w:t>
      </w:r>
      <w:r w:rsidR="00246CB6">
        <w:rPr>
          <w:sz w:val="20"/>
          <w:szCs w:val="20"/>
          <w:lang w:val="en-GB"/>
        </w:rPr>
        <w:t xml:space="preserve">A total of </w:t>
      </w:r>
      <w:r w:rsidR="004763BF" w:rsidRPr="007F79F8">
        <w:rPr>
          <w:sz w:val="20"/>
          <w:szCs w:val="20"/>
          <w:lang w:val="en-GB"/>
        </w:rPr>
        <w:t xml:space="preserve">21 transactions </w:t>
      </w:r>
      <w:r w:rsidR="00246CB6">
        <w:rPr>
          <w:sz w:val="20"/>
          <w:szCs w:val="20"/>
          <w:lang w:val="en-GB"/>
        </w:rPr>
        <w:t>were comple</w:t>
      </w:r>
      <w:r w:rsidR="006E381A">
        <w:rPr>
          <w:sz w:val="20"/>
          <w:szCs w:val="20"/>
          <w:lang w:val="en-GB"/>
        </w:rPr>
        <w:t>t</w:t>
      </w:r>
      <w:r w:rsidR="00246CB6">
        <w:rPr>
          <w:sz w:val="20"/>
          <w:szCs w:val="20"/>
          <w:lang w:val="en-GB"/>
        </w:rPr>
        <w:t>ed</w:t>
      </w:r>
      <w:r w:rsidR="006E381A">
        <w:rPr>
          <w:sz w:val="20"/>
          <w:szCs w:val="20"/>
          <w:lang w:val="en-GB"/>
        </w:rPr>
        <w:t xml:space="preserve">, </w:t>
      </w:r>
      <w:r w:rsidR="004763BF" w:rsidRPr="007F79F8">
        <w:rPr>
          <w:sz w:val="20"/>
          <w:szCs w:val="20"/>
          <w:lang w:val="en-GB"/>
        </w:rPr>
        <w:t xml:space="preserve">10 </w:t>
      </w:r>
      <w:r w:rsidR="00E47449" w:rsidRPr="007F79F8">
        <w:rPr>
          <w:sz w:val="20"/>
          <w:szCs w:val="20"/>
          <w:lang w:val="en-GB"/>
        </w:rPr>
        <w:t xml:space="preserve">of which </w:t>
      </w:r>
      <w:r w:rsidR="004763BF" w:rsidRPr="007F79F8">
        <w:rPr>
          <w:sz w:val="20"/>
          <w:szCs w:val="20"/>
          <w:lang w:val="en-GB"/>
        </w:rPr>
        <w:t>exceed</w:t>
      </w:r>
      <w:r w:rsidR="00E47449" w:rsidRPr="007F79F8">
        <w:rPr>
          <w:sz w:val="20"/>
          <w:szCs w:val="20"/>
          <w:lang w:val="en-GB"/>
        </w:rPr>
        <w:t>ed</w:t>
      </w:r>
      <w:r w:rsidR="004763BF" w:rsidRPr="007F79F8">
        <w:rPr>
          <w:sz w:val="20"/>
          <w:szCs w:val="20"/>
          <w:lang w:val="en-GB"/>
        </w:rPr>
        <w:t xml:space="preserve"> EUR 10 million. This </w:t>
      </w:r>
      <w:r w:rsidR="006E381A">
        <w:rPr>
          <w:sz w:val="20"/>
          <w:szCs w:val="20"/>
          <w:lang w:val="en-GB"/>
        </w:rPr>
        <w:t>marks</w:t>
      </w:r>
      <w:r w:rsidR="004763BF" w:rsidRPr="007F79F8">
        <w:rPr>
          <w:sz w:val="20"/>
          <w:szCs w:val="20"/>
          <w:lang w:val="en-GB"/>
        </w:rPr>
        <w:t xml:space="preserve"> the </w:t>
      </w:r>
      <w:r w:rsidR="006E381A">
        <w:rPr>
          <w:sz w:val="20"/>
          <w:szCs w:val="20"/>
          <w:lang w:val="en-GB"/>
        </w:rPr>
        <w:t xml:space="preserve">strongest </w:t>
      </w:r>
      <w:r w:rsidR="0005728C" w:rsidRPr="006E381A">
        <w:rPr>
          <w:sz w:val="20"/>
          <w:szCs w:val="20"/>
          <w:lang w:val="en-GB"/>
        </w:rPr>
        <w:t>performance in five years,</w:t>
      </w:r>
      <w:r w:rsidR="0005728C" w:rsidRPr="007F79F8">
        <w:rPr>
          <w:sz w:val="20"/>
          <w:szCs w:val="20"/>
          <w:lang w:val="en-GB"/>
        </w:rPr>
        <w:t xml:space="preserve"> clearly </w:t>
      </w:r>
      <w:r w:rsidR="0046724E">
        <w:rPr>
          <w:sz w:val="20"/>
          <w:szCs w:val="20"/>
          <w:lang w:val="en-GB"/>
        </w:rPr>
        <w:t>demonstrating</w:t>
      </w:r>
      <w:r w:rsidR="0005728C" w:rsidRPr="007F79F8">
        <w:rPr>
          <w:sz w:val="20"/>
          <w:szCs w:val="20"/>
          <w:lang w:val="en-GB"/>
        </w:rPr>
        <w:t xml:space="preserve"> growing investor activity in this segment. Although the </w:t>
      </w:r>
      <w:r w:rsidR="0005728C" w:rsidRPr="005C35CB">
        <w:rPr>
          <w:sz w:val="20"/>
          <w:szCs w:val="20"/>
          <w:lang w:val="en-GB"/>
        </w:rPr>
        <w:t>total investment volume was 35%</w:t>
      </w:r>
      <w:r w:rsidR="00CC0328" w:rsidRPr="005C35CB">
        <w:rPr>
          <w:sz w:val="20"/>
          <w:szCs w:val="20"/>
          <w:lang w:val="en-GB"/>
        </w:rPr>
        <w:t xml:space="preserve"> </w:t>
      </w:r>
      <w:r w:rsidR="00CC0328" w:rsidRPr="0015183B">
        <w:rPr>
          <w:sz w:val="20"/>
          <w:szCs w:val="20"/>
          <w:lang w:val="en-GB"/>
        </w:rPr>
        <w:t>lower than</w:t>
      </w:r>
      <w:r w:rsidR="00CC0328" w:rsidRPr="005C35CB">
        <w:rPr>
          <w:sz w:val="20"/>
          <w:szCs w:val="20"/>
          <w:lang w:val="en-GB"/>
        </w:rPr>
        <w:t xml:space="preserve"> in the same period in 2024, the first half of 2025 saw no </w:t>
      </w:r>
      <w:r w:rsidR="00AF1458" w:rsidRPr="005C35CB">
        <w:rPr>
          <w:sz w:val="20"/>
          <w:szCs w:val="20"/>
          <w:lang w:val="en-GB"/>
        </w:rPr>
        <w:t xml:space="preserve">single </w:t>
      </w:r>
      <w:r w:rsidR="00CC0328" w:rsidRPr="005C35CB">
        <w:rPr>
          <w:sz w:val="20"/>
          <w:szCs w:val="20"/>
          <w:lang w:val="en-GB"/>
        </w:rPr>
        <w:t>de</w:t>
      </w:r>
      <w:r w:rsidR="00CC0328" w:rsidRPr="007F79F8">
        <w:rPr>
          <w:sz w:val="20"/>
          <w:szCs w:val="20"/>
          <w:lang w:val="en-GB"/>
        </w:rPr>
        <w:t xml:space="preserve">al </w:t>
      </w:r>
      <w:r w:rsidR="009A5164">
        <w:rPr>
          <w:sz w:val="20"/>
          <w:szCs w:val="20"/>
          <w:lang w:val="en-GB"/>
        </w:rPr>
        <w:t>above</w:t>
      </w:r>
      <w:r w:rsidR="00CC0328" w:rsidRPr="007F79F8">
        <w:rPr>
          <w:sz w:val="20"/>
          <w:szCs w:val="20"/>
          <w:lang w:val="en-GB"/>
        </w:rPr>
        <w:t xml:space="preserve"> EUR 60 million. </w:t>
      </w:r>
      <w:r w:rsidR="00AF1458" w:rsidRPr="007F79F8">
        <w:rPr>
          <w:sz w:val="20"/>
          <w:szCs w:val="20"/>
          <w:lang w:val="en-GB"/>
        </w:rPr>
        <w:t>Viewed in this context</w:t>
      </w:r>
      <w:r w:rsidR="00A44910" w:rsidRPr="007F79F8">
        <w:rPr>
          <w:sz w:val="20"/>
          <w:szCs w:val="20"/>
          <w:lang w:val="en-GB"/>
        </w:rPr>
        <w:t xml:space="preserve">, </w:t>
      </w:r>
      <w:r w:rsidR="003D16BD">
        <w:rPr>
          <w:sz w:val="20"/>
          <w:szCs w:val="20"/>
          <w:lang w:val="en-GB"/>
        </w:rPr>
        <w:t>the result can be considered very strong</w:t>
      </w:r>
      <w:r w:rsidR="002C240D" w:rsidRPr="007F79F8">
        <w:rPr>
          <w:sz w:val="20"/>
          <w:szCs w:val="20"/>
          <w:lang w:val="en-GB"/>
        </w:rPr>
        <w:t>.</w:t>
      </w:r>
    </w:p>
    <w:p w14:paraId="127E90DD" w14:textId="77777777" w:rsidR="00D83E86" w:rsidRPr="007F79F8" w:rsidRDefault="00D83E86" w:rsidP="002C240D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130A69EB" w14:textId="649FB5CE" w:rsidR="002C240D" w:rsidRPr="007F79F8" w:rsidRDefault="00814315" w:rsidP="00057B15">
      <w:pPr>
        <w:spacing w:after="0" w:line="240" w:lineRule="auto"/>
        <w:jc w:val="both"/>
        <w:rPr>
          <w:sz w:val="20"/>
          <w:szCs w:val="20"/>
          <w:lang w:val="en-GB"/>
        </w:rPr>
      </w:pPr>
      <w:r w:rsidRPr="007F79F8">
        <w:rPr>
          <w:sz w:val="20"/>
          <w:szCs w:val="20"/>
          <w:lang w:val="en-GB"/>
        </w:rPr>
        <w:t>Besides the unwavering</w:t>
      </w:r>
      <w:r w:rsidR="000D01B2" w:rsidRPr="007F79F8">
        <w:rPr>
          <w:sz w:val="20"/>
          <w:szCs w:val="20"/>
          <w:lang w:val="en-GB"/>
        </w:rPr>
        <w:t xml:space="preserve"> demand for retail parks, investment activity was </w:t>
      </w:r>
      <w:r w:rsidR="00164B7F">
        <w:rPr>
          <w:sz w:val="20"/>
          <w:szCs w:val="20"/>
          <w:lang w:val="en-GB"/>
        </w:rPr>
        <w:t xml:space="preserve">significantly </w:t>
      </w:r>
      <w:r w:rsidR="00763FC3" w:rsidRPr="007F79F8">
        <w:rPr>
          <w:sz w:val="20"/>
          <w:szCs w:val="20"/>
          <w:lang w:val="en-GB"/>
        </w:rPr>
        <w:t xml:space="preserve">driven by the markedly improved liquidity </w:t>
      </w:r>
      <w:r w:rsidR="008F7E93" w:rsidRPr="007F79F8">
        <w:rPr>
          <w:sz w:val="20"/>
          <w:szCs w:val="20"/>
          <w:lang w:val="en-GB"/>
        </w:rPr>
        <w:t xml:space="preserve">of smaller shopping centres – a key difference </w:t>
      </w:r>
      <w:r w:rsidR="00F335B8" w:rsidRPr="007F79F8">
        <w:rPr>
          <w:sz w:val="20"/>
          <w:szCs w:val="20"/>
          <w:lang w:val="en-GB"/>
        </w:rPr>
        <w:t xml:space="preserve">compared with </w:t>
      </w:r>
      <w:r w:rsidR="008F7E93" w:rsidRPr="007F79F8">
        <w:rPr>
          <w:sz w:val="20"/>
          <w:szCs w:val="20"/>
          <w:lang w:val="en-GB"/>
        </w:rPr>
        <w:t xml:space="preserve">prior years. </w:t>
      </w:r>
      <w:r w:rsidR="00B3793B" w:rsidRPr="007F79F8">
        <w:rPr>
          <w:sz w:val="20"/>
          <w:szCs w:val="20"/>
          <w:lang w:val="en-GB"/>
        </w:rPr>
        <w:t>All</w:t>
      </w:r>
      <w:r w:rsidR="00821E44" w:rsidRPr="007F79F8">
        <w:rPr>
          <w:sz w:val="20"/>
          <w:szCs w:val="20"/>
          <w:lang w:val="en-GB"/>
        </w:rPr>
        <w:t xml:space="preserve"> of</w:t>
      </w:r>
      <w:r w:rsidR="00B3793B" w:rsidRPr="007F79F8">
        <w:rPr>
          <w:sz w:val="20"/>
          <w:szCs w:val="20"/>
          <w:lang w:val="en-GB"/>
        </w:rPr>
        <w:t xml:space="preserve"> this suggests that </w:t>
      </w:r>
      <w:r w:rsidR="009675F1" w:rsidRPr="007F79F8">
        <w:rPr>
          <w:sz w:val="20"/>
          <w:szCs w:val="20"/>
          <w:lang w:val="en-GB"/>
        </w:rPr>
        <w:t>the second half of the year will be even more interesting.</w:t>
      </w:r>
    </w:p>
    <w:p w14:paraId="5EC014FF" w14:textId="77777777" w:rsidR="00EE3165" w:rsidRPr="007F79F8" w:rsidRDefault="00EE3165" w:rsidP="00380BF7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35B5C369" w14:textId="04AD2BC0" w:rsidR="00EE3165" w:rsidRPr="007F79F8" w:rsidRDefault="00EE3165" w:rsidP="00380BF7">
      <w:pPr>
        <w:spacing w:after="0" w:line="240" w:lineRule="auto"/>
        <w:jc w:val="both"/>
        <w:rPr>
          <w:b/>
          <w:bCs/>
          <w:sz w:val="20"/>
          <w:szCs w:val="20"/>
          <w:lang w:val="en-GB"/>
        </w:rPr>
      </w:pPr>
      <w:r w:rsidRPr="007F79F8">
        <w:rPr>
          <w:b/>
          <w:bCs/>
          <w:sz w:val="20"/>
          <w:szCs w:val="20"/>
          <w:lang w:val="en-GB"/>
        </w:rPr>
        <w:t>Hotel</w:t>
      </w:r>
      <w:r w:rsidR="00EE1B06" w:rsidRPr="007F79F8">
        <w:rPr>
          <w:b/>
          <w:bCs/>
          <w:sz w:val="20"/>
          <w:szCs w:val="20"/>
          <w:lang w:val="en-GB"/>
        </w:rPr>
        <w:t>s make a comeback</w:t>
      </w:r>
    </w:p>
    <w:p w14:paraId="26E5F5D5" w14:textId="77777777" w:rsidR="00EE3165" w:rsidRPr="007F79F8" w:rsidRDefault="00EE3165" w:rsidP="00380BF7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017AD62C" w14:textId="5FDBE34B" w:rsidR="00EE3165" w:rsidRPr="007F79F8" w:rsidRDefault="00EF24AB" w:rsidP="00EE3165">
      <w:pPr>
        <w:spacing w:after="0" w:line="240" w:lineRule="auto"/>
        <w:jc w:val="both"/>
        <w:rPr>
          <w:sz w:val="20"/>
          <w:szCs w:val="20"/>
          <w:lang w:val="en-GB"/>
        </w:rPr>
      </w:pPr>
      <w:r w:rsidRPr="007F79F8">
        <w:rPr>
          <w:sz w:val="20"/>
          <w:szCs w:val="20"/>
          <w:lang w:val="en-GB"/>
        </w:rPr>
        <w:t>W</w:t>
      </w:r>
      <w:r w:rsidR="0082480B" w:rsidRPr="007F79F8">
        <w:rPr>
          <w:sz w:val="20"/>
          <w:szCs w:val="20"/>
          <w:lang w:val="en-GB"/>
        </w:rPr>
        <w:t>ith hotel investment volume reaching EUR 81 million</w:t>
      </w:r>
      <w:r w:rsidR="00D1466F" w:rsidRPr="007F79F8">
        <w:rPr>
          <w:sz w:val="20"/>
          <w:szCs w:val="20"/>
          <w:lang w:val="en-GB"/>
        </w:rPr>
        <w:t>,</w:t>
      </w:r>
      <w:r w:rsidR="00EE3165" w:rsidRPr="007F79F8">
        <w:rPr>
          <w:sz w:val="20"/>
          <w:szCs w:val="20"/>
          <w:lang w:val="en-GB"/>
        </w:rPr>
        <w:t xml:space="preserve"> Pol</w:t>
      </w:r>
      <w:r w:rsidR="00D1466F" w:rsidRPr="007F79F8">
        <w:rPr>
          <w:sz w:val="20"/>
          <w:szCs w:val="20"/>
          <w:lang w:val="en-GB"/>
        </w:rPr>
        <w:t xml:space="preserve">and came second in the CEE region </w:t>
      </w:r>
      <w:r w:rsidRPr="007F79F8">
        <w:rPr>
          <w:sz w:val="20"/>
          <w:szCs w:val="20"/>
          <w:lang w:val="en-GB"/>
        </w:rPr>
        <w:t>in the first half of 2025.</w:t>
      </w:r>
      <w:r w:rsidR="0082480B" w:rsidRPr="007F79F8">
        <w:rPr>
          <w:sz w:val="20"/>
          <w:szCs w:val="20"/>
          <w:lang w:val="en-GB"/>
        </w:rPr>
        <w:t xml:space="preserve"> </w:t>
      </w:r>
      <w:r w:rsidRPr="007F79F8">
        <w:rPr>
          <w:sz w:val="20"/>
          <w:szCs w:val="20"/>
          <w:lang w:val="en-GB"/>
        </w:rPr>
        <w:t xml:space="preserve">The market recorded </w:t>
      </w:r>
      <w:r w:rsidR="008B7656" w:rsidRPr="007F79F8">
        <w:rPr>
          <w:sz w:val="20"/>
          <w:szCs w:val="20"/>
          <w:lang w:val="en-GB"/>
        </w:rPr>
        <w:t xml:space="preserve">portfolio transactions involving two </w:t>
      </w:r>
      <w:r w:rsidR="007266E1" w:rsidRPr="007F79F8">
        <w:rPr>
          <w:sz w:val="20"/>
          <w:szCs w:val="20"/>
          <w:lang w:val="en-GB"/>
        </w:rPr>
        <w:t xml:space="preserve">serviced apartment properties under the Noli Studios brand in </w:t>
      </w:r>
      <w:proofErr w:type="spellStart"/>
      <w:r w:rsidR="007266E1" w:rsidRPr="007F79F8">
        <w:rPr>
          <w:sz w:val="20"/>
          <w:szCs w:val="20"/>
          <w:lang w:val="en-GB"/>
        </w:rPr>
        <w:t>Gdańsk</w:t>
      </w:r>
      <w:proofErr w:type="spellEnd"/>
      <w:r w:rsidR="007266E1" w:rsidRPr="007F79F8">
        <w:rPr>
          <w:sz w:val="20"/>
          <w:szCs w:val="20"/>
          <w:lang w:val="en-GB"/>
        </w:rPr>
        <w:t xml:space="preserve"> and </w:t>
      </w:r>
      <w:r w:rsidR="002A7360" w:rsidRPr="007F79F8">
        <w:rPr>
          <w:sz w:val="20"/>
          <w:szCs w:val="20"/>
          <w:lang w:val="en-GB"/>
        </w:rPr>
        <w:t>four B&amp;B HOTELS in</w:t>
      </w:r>
      <w:r w:rsidR="00EE3165" w:rsidRPr="007F79F8">
        <w:rPr>
          <w:sz w:val="20"/>
          <w:szCs w:val="20"/>
          <w:lang w:val="en-GB"/>
        </w:rPr>
        <w:t xml:space="preserve"> Warsaw, Krak</w:t>
      </w:r>
      <w:r w:rsidR="002A7360" w:rsidRPr="007F79F8">
        <w:rPr>
          <w:sz w:val="20"/>
          <w:szCs w:val="20"/>
          <w:lang w:val="en-GB"/>
        </w:rPr>
        <w:t>ó</w:t>
      </w:r>
      <w:r w:rsidR="00EE3165" w:rsidRPr="007F79F8">
        <w:rPr>
          <w:sz w:val="20"/>
          <w:szCs w:val="20"/>
          <w:lang w:val="en-GB"/>
        </w:rPr>
        <w:t>w, Lubli</w:t>
      </w:r>
      <w:r w:rsidR="002A7360" w:rsidRPr="007F79F8">
        <w:rPr>
          <w:sz w:val="20"/>
          <w:szCs w:val="20"/>
          <w:lang w:val="en-GB"/>
        </w:rPr>
        <w:t>n, and</w:t>
      </w:r>
      <w:r w:rsidR="00EE3165" w:rsidRPr="007F79F8">
        <w:rPr>
          <w:sz w:val="20"/>
          <w:szCs w:val="20"/>
          <w:lang w:val="en-GB"/>
        </w:rPr>
        <w:t xml:space="preserve"> Ł</w:t>
      </w:r>
      <w:r w:rsidR="002A7360" w:rsidRPr="007F79F8">
        <w:rPr>
          <w:sz w:val="20"/>
          <w:szCs w:val="20"/>
          <w:lang w:val="en-GB"/>
        </w:rPr>
        <w:t>ódź</w:t>
      </w:r>
      <w:r w:rsidR="00EE3165" w:rsidRPr="007F79F8">
        <w:rPr>
          <w:sz w:val="20"/>
          <w:szCs w:val="20"/>
          <w:lang w:val="en-GB"/>
        </w:rPr>
        <w:t xml:space="preserve">. </w:t>
      </w:r>
    </w:p>
    <w:p w14:paraId="5225C05E" w14:textId="77777777" w:rsidR="00EE3165" w:rsidRPr="007F79F8" w:rsidRDefault="00EE3165" w:rsidP="00EE3165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65B0BCC6" w14:textId="3A506083" w:rsidR="00EE3165" w:rsidRPr="007F79F8" w:rsidRDefault="00087685" w:rsidP="00EE3165">
      <w:pPr>
        <w:spacing w:after="0" w:line="240" w:lineRule="auto"/>
        <w:jc w:val="both"/>
        <w:rPr>
          <w:b/>
          <w:bCs/>
          <w:sz w:val="20"/>
          <w:szCs w:val="20"/>
          <w:lang w:val="en-GB"/>
        </w:rPr>
      </w:pPr>
      <w:r>
        <w:rPr>
          <w:i/>
          <w:iCs/>
          <w:sz w:val="20"/>
          <w:szCs w:val="20"/>
          <w:lang w:val="en-GB"/>
        </w:rPr>
        <w:t>“</w:t>
      </w:r>
      <w:r w:rsidR="002A7360" w:rsidRPr="007F79F8">
        <w:rPr>
          <w:i/>
          <w:iCs/>
          <w:sz w:val="20"/>
          <w:szCs w:val="20"/>
          <w:lang w:val="en-GB"/>
        </w:rPr>
        <w:t xml:space="preserve">The first half of the year </w:t>
      </w:r>
      <w:r w:rsidR="007277EE">
        <w:rPr>
          <w:i/>
          <w:iCs/>
          <w:sz w:val="20"/>
          <w:szCs w:val="20"/>
          <w:lang w:val="en-GB"/>
        </w:rPr>
        <w:t>saw</w:t>
      </w:r>
      <w:r w:rsidR="00CB28D7" w:rsidRPr="007F79F8">
        <w:rPr>
          <w:i/>
          <w:iCs/>
          <w:sz w:val="20"/>
          <w:szCs w:val="20"/>
          <w:lang w:val="en-GB"/>
        </w:rPr>
        <w:t xml:space="preserve"> investor activity </w:t>
      </w:r>
      <w:r w:rsidR="007277EE">
        <w:rPr>
          <w:i/>
          <w:iCs/>
          <w:sz w:val="20"/>
          <w:szCs w:val="20"/>
          <w:lang w:val="en-GB"/>
        </w:rPr>
        <w:t xml:space="preserve">reach levels </w:t>
      </w:r>
      <w:r w:rsidR="00CB28D7" w:rsidRPr="007F79F8">
        <w:rPr>
          <w:i/>
          <w:iCs/>
          <w:sz w:val="20"/>
          <w:szCs w:val="20"/>
          <w:lang w:val="en-GB"/>
        </w:rPr>
        <w:t xml:space="preserve">not seen since 2019, with Poland standing out </w:t>
      </w:r>
      <w:r w:rsidR="008266FC">
        <w:rPr>
          <w:i/>
          <w:iCs/>
          <w:sz w:val="20"/>
          <w:szCs w:val="20"/>
          <w:lang w:val="en-GB"/>
        </w:rPr>
        <w:t xml:space="preserve">thanks to </w:t>
      </w:r>
      <w:r w:rsidR="00CB28D7" w:rsidRPr="007F79F8">
        <w:rPr>
          <w:i/>
          <w:iCs/>
          <w:sz w:val="20"/>
          <w:szCs w:val="20"/>
          <w:lang w:val="en-GB"/>
        </w:rPr>
        <w:t xml:space="preserve">a significant increase in transaction volumes. This </w:t>
      </w:r>
      <w:r w:rsidR="002752E0">
        <w:rPr>
          <w:i/>
          <w:iCs/>
          <w:sz w:val="20"/>
          <w:szCs w:val="20"/>
          <w:lang w:val="en-GB"/>
        </w:rPr>
        <w:t>highlights</w:t>
      </w:r>
      <w:r w:rsidR="00CB28D7" w:rsidRPr="007F79F8">
        <w:rPr>
          <w:i/>
          <w:iCs/>
          <w:sz w:val="20"/>
          <w:szCs w:val="20"/>
          <w:lang w:val="en-GB"/>
        </w:rPr>
        <w:t xml:space="preserve"> </w:t>
      </w:r>
      <w:r w:rsidR="00BD2A9E" w:rsidRPr="007F79F8">
        <w:rPr>
          <w:i/>
          <w:iCs/>
          <w:sz w:val="20"/>
          <w:szCs w:val="20"/>
          <w:lang w:val="en-GB"/>
        </w:rPr>
        <w:t xml:space="preserve">the growing appeal </w:t>
      </w:r>
      <w:r w:rsidR="00432003">
        <w:rPr>
          <w:i/>
          <w:iCs/>
          <w:sz w:val="20"/>
          <w:szCs w:val="20"/>
          <w:lang w:val="en-GB"/>
        </w:rPr>
        <w:t xml:space="preserve">and maturity </w:t>
      </w:r>
      <w:r w:rsidR="00BD2A9E" w:rsidRPr="007F79F8">
        <w:rPr>
          <w:i/>
          <w:iCs/>
          <w:sz w:val="20"/>
          <w:szCs w:val="20"/>
          <w:lang w:val="en-GB"/>
        </w:rPr>
        <w:t>of Poland’s hotel market</w:t>
      </w:r>
      <w:r w:rsidR="009F2A16" w:rsidRPr="007F79F8">
        <w:rPr>
          <w:i/>
          <w:iCs/>
          <w:sz w:val="20"/>
          <w:szCs w:val="20"/>
          <w:lang w:val="en-GB"/>
        </w:rPr>
        <w:t>,”</w:t>
      </w:r>
      <w:r w:rsidR="00EE3165" w:rsidRPr="007F79F8">
        <w:rPr>
          <w:sz w:val="20"/>
          <w:szCs w:val="20"/>
          <w:lang w:val="en-GB"/>
        </w:rPr>
        <w:t xml:space="preserve"> </w:t>
      </w:r>
      <w:r w:rsidR="009F2A16" w:rsidRPr="007F79F8">
        <w:rPr>
          <w:sz w:val="20"/>
          <w:szCs w:val="20"/>
          <w:lang w:val="en-GB"/>
        </w:rPr>
        <w:t>comments</w:t>
      </w:r>
      <w:r w:rsidR="00EE3165" w:rsidRPr="007F79F8">
        <w:rPr>
          <w:sz w:val="20"/>
          <w:szCs w:val="20"/>
          <w:lang w:val="en-GB"/>
        </w:rPr>
        <w:t xml:space="preserve"> </w:t>
      </w:r>
      <w:r w:rsidR="00EE3165" w:rsidRPr="007F79F8">
        <w:rPr>
          <w:b/>
          <w:bCs/>
          <w:sz w:val="20"/>
          <w:szCs w:val="20"/>
          <w:lang w:val="en-GB"/>
        </w:rPr>
        <w:t>Marcin Kocerba.</w:t>
      </w:r>
    </w:p>
    <w:p w14:paraId="33272F6A" w14:textId="77777777" w:rsidR="00EE3165" w:rsidRPr="007F79F8" w:rsidRDefault="00EE3165" w:rsidP="00EE3165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62E401F7" w14:textId="49AEEC21" w:rsidR="00EE3165" w:rsidRPr="004756C9" w:rsidRDefault="00EE3165" w:rsidP="00D1734E">
      <w:pPr>
        <w:spacing w:after="0" w:line="240" w:lineRule="auto"/>
        <w:jc w:val="both"/>
        <w:rPr>
          <w:i/>
          <w:iCs/>
          <w:sz w:val="20"/>
          <w:szCs w:val="20"/>
          <w:lang w:val="en-GB"/>
        </w:rPr>
      </w:pPr>
      <w:r w:rsidRPr="004756C9">
        <w:rPr>
          <w:i/>
          <w:iCs/>
          <w:sz w:val="20"/>
          <w:szCs w:val="20"/>
          <w:lang w:val="en-GB"/>
        </w:rPr>
        <w:t xml:space="preserve">Warsaw </w:t>
      </w:r>
      <w:r w:rsidR="00EC2DB7" w:rsidRPr="004756C9">
        <w:rPr>
          <w:i/>
          <w:iCs/>
          <w:sz w:val="20"/>
          <w:szCs w:val="20"/>
          <w:lang w:val="en-GB"/>
        </w:rPr>
        <w:t>led the way for new supply, with four hotels</w:t>
      </w:r>
      <w:r w:rsidR="001A2DC7" w:rsidRPr="004756C9">
        <w:rPr>
          <w:i/>
          <w:iCs/>
          <w:sz w:val="20"/>
          <w:szCs w:val="20"/>
          <w:lang w:val="en-GB"/>
        </w:rPr>
        <w:t xml:space="preserve"> – </w:t>
      </w:r>
      <w:r w:rsidR="00E71ACB" w:rsidRPr="004756C9">
        <w:rPr>
          <w:i/>
          <w:iCs/>
          <w:sz w:val="20"/>
          <w:szCs w:val="20"/>
          <w:lang w:val="en-GB"/>
        </w:rPr>
        <w:t>including Moxy Warsaw City and Puro Warsaw Old Town</w:t>
      </w:r>
      <w:r w:rsidR="001A2DC7" w:rsidRPr="004756C9">
        <w:rPr>
          <w:i/>
          <w:iCs/>
          <w:sz w:val="20"/>
          <w:szCs w:val="20"/>
          <w:lang w:val="en-GB"/>
        </w:rPr>
        <w:t xml:space="preserve"> – adding </w:t>
      </w:r>
      <w:r w:rsidR="00E71ACB" w:rsidRPr="004756C9">
        <w:rPr>
          <w:i/>
          <w:iCs/>
          <w:sz w:val="20"/>
          <w:szCs w:val="20"/>
          <w:lang w:val="en-GB"/>
        </w:rPr>
        <w:t xml:space="preserve">a total of 647 rooms </w:t>
      </w:r>
      <w:r w:rsidR="00CB1B3F" w:rsidRPr="004756C9">
        <w:rPr>
          <w:i/>
          <w:iCs/>
          <w:sz w:val="20"/>
          <w:szCs w:val="20"/>
          <w:lang w:val="en-GB"/>
        </w:rPr>
        <w:t>to the market in the first six months of 2025. Warsaw</w:t>
      </w:r>
      <w:r w:rsidR="00E8106F" w:rsidRPr="004756C9">
        <w:rPr>
          <w:i/>
          <w:iCs/>
          <w:sz w:val="20"/>
          <w:szCs w:val="20"/>
          <w:lang w:val="en-GB"/>
        </w:rPr>
        <w:t xml:space="preserve">’s hotel stock </w:t>
      </w:r>
      <w:r w:rsidR="005A27DD" w:rsidRPr="004756C9">
        <w:rPr>
          <w:i/>
          <w:iCs/>
          <w:sz w:val="20"/>
          <w:szCs w:val="20"/>
          <w:lang w:val="en-GB"/>
        </w:rPr>
        <w:t>grew</w:t>
      </w:r>
      <w:r w:rsidR="00E8106F" w:rsidRPr="004756C9">
        <w:rPr>
          <w:i/>
          <w:iCs/>
          <w:sz w:val="20"/>
          <w:szCs w:val="20"/>
          <w:lang w:val="en-GB"/>
        </w:rPr>
        <w:t xml:space="preserve"> by </w:t>
      </w:r>
      <w:r w:rsidRPr="004756C9">
        <w:rPr>
          <w:i/>
          <w:iCs/>
          <w:sz w:val="20"/>
          <w:szCs w:val="20"/>
          <w:lang w:val="en-GB"/>
        </w:rPr>
        <w:t>3</w:t>
      </w:r>
      <w:r w:rsidR="00E8106F" w:rsidRPr="004756C9">
        <w:rPr>
          <w:i/>
          <w:iCs/>
          <w:sz w:val="20"/>
          <w:szCs w:val="20"/>
          <w:lang w:val="en-GB"/>
        </w:rPr>
        <w:t>.</w:t>
      </w:r>
      <w:r w:rsidRPr="004756C9">
        <w:rPr>
          <w:i/>
          <w:iCs/>
          <w:sz w:val="20"/>
          <w:szCs w:val="20"/>
          <w:lang w:val="en-GB"/>
        </w:rPr>
        <w:t xml:space="preserve">8% </w:t>
      </w:r>
      <w:r w:rsidR="00E8106F" w:rsidRPr="004756C9">
        <w:rPr>
          <w:i/>
          <w:iCs/>
          <w:sz w:val="20"/>
          <w:szCs w:val="20"/>
          <w:lang w:val="en-GB"/>
        </w:rPr>
        <w:t>year-on-year</w:t>
      </w:r>
      <w:r w:rsidRPr="004756C9">
        <w:rPr>
          <w:i/>
          <w:iCs/>
          <w:sz w:val="20"/>
          <w:szCs w:val="20"/>
          <w:lang w:val="en-GB"/>
        </w:rPr>
        <w:t xml:space="preserve">, </w:t>
      </w:r>
      <w:r w:rsidR="00A74800">
        <w:rPr>
          <w:i/>
          <w:iCs/>
          <w:sz w:val="20"/>
          <w:szCs w:val="20"/>
          <w:lang w:val="en-GB"/>
        </w:rPr>
        <w:t>placing</w:t>
      </w:r>
      <w:r w:rsidR="00E8106F" w:rsidRPr="004756C9">
        <w:rPr>
          <w:i/>
          <w:iCs/>
          <w:sz w:val="20"/>
          <w:szCs w:val="20"/>
          <w:lang w:val="en-GB"/>
        </w:rPr>
        <w:t xml:space="preserve"> the </w:t>
      </w:r>
      <w:r w:rsidR="00F35650" w:rsidRPr="004756C9">
        <w:rPr>
          <w:i/>
          <w:iCs/>
          <w:sz w:val="20"/>
          <w:szCs w:val="20"/>
          <w:lang w:val="en-GB"/>
        </w:rPr>
        <w:t>city</w:t>
      </w:r>
      <w:r w:rsidR="00E8106F" w:rsidRPr="004756C9">
        <w:rPr>
          <w:i/>
          <w:iCs/>
          <w:sz w:val="20"/>
          <w:szCs w:val="20"/>
          <w:lang w:val="en-GB"/>
        </w:rPr>
        <w:t xml:space="preserve"> ahead of other </w:t>
      </w:r>
      <w:r w:rsidR="00A60265" w:rsidRPr="004756C9">
        <w:rPr>
          <w:i/>
          <w:iCs/>
          <w:sz w:val="20"/>
          <w:szCs w:val="20"/>
          <w:lang w:val="en-GB"/>
        </w:rPr>
        <w:t>capitals</w:t>
      </w:r>
      <w:r w:rsidR="00F35650" w:rsidRPr="004756C9">
        <w:rPr>
          <w:i/>
          <w:iCs/>
          <w:sz w:val="20"/>
          <w:szCs w:val="20"/>
          <w:lang w:val="en-GB"/>
        </w:rPr>
        <w:t xml:space="preserve"> in the region</w:t>
      </w:r>
      <w:r w:rsidR="00A60265" w:rsidRPr="004756C9">
        <w:rPr>
          <w:i/>
          <w:iCs/>
          <w:sz w:val="20"/>
          <w:szCs w:val="20"/>
          <w:lang w:val="en-GB"/>
        </w:rPr>
        <w:t xml:space="preserve">. The market also showed a marked </w:t>
      </w:r>
      <w:r w:rsidR="00A60265" w:rsidRPr="004756C9">
        <w:rPr>
          <w:i/>
          <w:iCs/>
          <w:sz w:val="20"/>
          <w:szCs w:val="20"/>
          <w:lang w:val="en-GB"/>
        </w:rPr>
        <w:lastRenderedPageBreak/>
        <w:t xml:space="preserve">improvement in </w:t>
      </w:r>
      <w:r w:rsidR="00584B9B">
        <w:rPr>
          <w:i/>
          <w:iCs/>
          <w:sz w:val="20"/>
          <w:szCs w:val="20"/>
          <w:lang w:val="en-GB"/>
        </w:rPr>
        <w:t xml:space="preserve">key </w:t>
      </w:r>
      <w:r w:rsidR="00CD7252" w:rsidRPr="004756C9">
        <w:rPr>
          <w:i/>
          <w:iCs/>
          <w:sz w:val="20"/>
          <w:szCs w:val="20"/>
          <w:lang w:val="en-GB"/>
        </w:rPr>
        <w:t>performance</w:t>
      </w:r>
      <w:r w:rsidR="00A60265" w:rsidRPr="004756C9">
        <w:rPr>
          <w:i/>
          <w:iCs/>
          <w:sz w:val="20"/>
          <w:szCs w:val="20"/>
          <w:lang w:val="en-GB"/>
        </w:rPr>
        <w:t xml:space="preserve"> </w:t>
      </w:r>
      <w:r w:rsidR="00584B9B">
        <w:rPr>
          <w:i/>
          <w:iCs/>
          <w:sz w:val="20"/>
          <w:szCs w:val="20"/>
          <w:lang w:val="en-GB"/>
        </w:rPr>
        <w:t>indicators</w:t>
      </w:r>
      <w:r w:rsidR="00736991" w:rsidRPr="004756C9">
        <w:rPr>
          <w:i/>
          <w:iCs/>
          <w:sz w:val="20"/>
          <w:szCs w:val="20"/>
          <w:lang w:val="en-GB"/>
        </w:rPr>
        <w:t xml:space="preserve"> </w:t>
      </w:r>
      <w:r w:rsidRPr="004756C9">
        <w:rPr>
          <w:i/>
          <w:iCs/>
          <w:sz w:val="20"/>
          <w:szCs w:val="20"/>
          <w:lang w:val="en-GB"/>
        </w:rPr>
        <w:t xml:space="preserve">– </w:t>
      </w:r>
      <w:r w:rsidR="00584B9B">
        <w:rPr>
          <w:i/>
          <w:iCs/>
          <w:sz w:val="20"/>
          <w:szCs w:val="20"/>
          <w:lang w:val="en-GB"/>
        </w:rPr>
        <w:t xml:space="preserve">Warsaw’s </w:t>
      </w:r>
      <w:r w:rsidRPr="004756C9">
        <w:rPr>
          <w:i/>
          <w:iCs/>
          <w:sz w:val="20"/>
          <w:szCs w:val="20"/>
          <w:lang w:val="en-GB"/>
        </w:rPr>
        <w:t xml:space="preserve">RevPAR </w:t>
      </w:r>
      <w:r w:rsidR="007E3A62" w:rsidRPr="004756C9">
        <w:rPr>
          <w:i/>
          <w:iCs/>
          <w:sz w:val="20"/>
          <w:szCs w:val="20"/>
          <w:lang w:val="en-GB"/>
        </w:rPr>
        <w:t xml:space="preserve">took first spot in the region, reaching </w:t>
      </w:r>
      <w:r w:rsidR="00E72F79" w:rsidRPr="004756C9">
        <w:rPr>
          <w:i/>
          <w:iCs/>
          <w:sz w:val="20"/>
          <w:szCs w:val="20"/>
          <w:lang w:val="en-GB"/>
        </w:rPr>
        <w:t xml:space="preserve">138.9% of </w:t>
      </w:r>
      <w:r w:rsidR="00212D44" w:rsidRPr="004756C9">
        <w:rPr>
          <w:i/>
          <w:iCs/>
          <w:sz w:val="20"/>
          <w:szCs w:val="20"/>
          <w:lang w:val="en-GB"/>
        </w:rPr>
        <w:t>its</w:t>
      </w:r>
      <w:r w:rsidR="00E72F79" w:rsidRPr="004756C9">
        <w:rPr>
          <w:i/>
          <w:iCs/>
          <w:sz w:val="20"/>
          <w:szCs w:val="20"/>
          <w:lang w:val="en-GB"/>
        </w:rPr>
        <w:t xml:space="preserve"> pre-pandemic value and outpacing Prague and So</w:t>
      </w:r>
      <w:r w:rsidR="00A74800">
        <w:rPr>
          <w:i/>
          <w:iCs/>
          <w:sz w:val="20"/>
          <w:szCs w:val="20"/>
          <w:lang w:val="en-GB"/>
        </w:rPr>
        <w:t>f</w:t>
      </w:r>
      <w:r w:rsidR="00E72F79" w:rsidRPr="004756C9">
        <w:rPr>
          <w:i/>
          <w:iCs/>
          <w:sz w:val="20"/>
          <w:szCs w:val="20"/>
          <w:lang w:val="en-GB"/>
        </w:rPr>
        <w:t>ia.</w:t>
      </w:r>
    </w:p>
    <w:p w14:paraId="0483A8D1" w14:textId="77777777" w:rsidR="0037722C" w:rsidRPr="007F79F8" w:rsidRDefault="0037722C" w:rsidP="0037722C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0CB8183F" w14:textId="77777777" w:rsidR="00C413A2" w:rsidRPr="007F79F8" w:rsidRDefault="00C413A2" w:rsidP="00AC5B79">
      <w:pPr>
        <w:spacing w:after="0" w:line="240" w:lineRule="auto"/>
        <w:jc w:val="both"/>
        <w:rPr>
          <w:b/>
          <w:sz w:val="16"/>
          <w:szCs w:val="16"/>
          <w:lang w:val="en-GB"/>
        </w:rPr>
      </w:pPr>
    </w:p>
    <w:p w14:paraId="50B9473C" w14:textId="6D5D3AC2" w:rsidR="00FB52C5" w:rsidRPr="007F79F8" w:rsidRDefault="00BD1725" w:rsidP="00FB52C5">
      <w:pPr>
        <w:spacing w:after="0" w:line="240" w:lineRule="auto"/>
        <w:jc w:val="both"/>
        <w:rPr>
          <w:b/>
          <w:bCs/>
          <w:sz w:val="16"/>
          <w:szCs w:val="16"/>
          <w:lang w:val="en-GB"/>
        </w:rPr>
      </w:pPr>
      <w:r w:rsidRPr="007F79F8">
        <w:rPr>
          <w:b/>
          <w:bCs/>
          <w:sz w:val="16"/>
          <w:szCs w:val="16"/>
          <w:lang w:val="en-GB"/>
        </w:rPr>
        <w:t>About</w:t>
      </w:r>
      <w:r w:rsidR="00FB52C5" w:rsidRPr="007F79F8">
        <w:rPr>
          <w:b/>
          <w:bCs/>
          <w:sz w:val="16"/>
          <w:szCs w:val="16"/>
          <w:lang w:val="en-GB"/>
        </w:rPr>
        <w:t xml:space="preserve"> Cushman &amp; Wakefield</w:t>
      </w:r>
    </w:p>
    <w:p w14:paraId="6EEEAA6D" w14:textId="77777777" w:rsidR="00FB52C5" w:rsidRPr="007F79F8" w:rsidRDefault="00FB52C5" w:rsidP="00FB52C5">
      <w:pPr>
        <w:spacing w:after="0" w:line="240" w:lineRule="auto"/>
        <w:jc w:val="both"/>
        <w:rPr>
          <w:b/>
          <w:sz w:val="16"/>
          <w:szCs w:val="16"/>
          <w:lang w:val="en-GB"/>
        </w:rPr>
      </w:pPr>
    </w:p>
    <w:p w14:paraId="550D0B70" w14:textId="1CFBDF7A" w:rsidR="00FB52C5" w:rsidRPr="007F79F8" w:rsidRDefault="00BD1725" w:rsidP="00FB52C5">
      <w:pPr>
        <w:spacing w:line="240" w:lineRule="auto"/>
        <w:jc w:val="both"/>
        <w:rPr>
          <w:sz w:val="16"/>
          <w:szCs w:val="16"/>
          <w:lang w:val="en-GB"/>
        </w:rPr>
      </w:pPr>
      <w:r w:rsidRPr="007F79F8">
        <w:rPr>
          <w:sz w:val="16"/>
          <w:szCs w:val="16"/>
          <w:lang w:val="en-GB"/>
        </w:rPr>
        <w:t>Cushman &amp; Wakefield (NYSE: CWK) is a leading global commercial real estate services firm for property owners and occupiers with approximately 52,000 employees in nearly 400 offices and 60 countries. In 2024, the firm reported revenue of $9.4 billion across its core service lines of Services, Leasing, Capital markets, and Valuation and other. Built around the belief that </w:t>
      </w:r>
      <w:r w:rsidRPr="007F79F8">
        <w:rPr>
          <w:i/>
          <w:iCs/>
          <w:sz w:val="16"/>
          <w:szCs w:val="16"/>
          <w:lang w:val="en-GB"/>
        </w:rPr>
        <w:t>Better never settles</w:t>
      </w:r>
      <w:r w:rsidRPr="007F79F8">
        <w:rPr>
          <w:sz w:val="16"/>
          <w:szCs w:val="16"/>
          <w:lang w:val="en-GB"/>
        </w:rPr>
        <w:t>, the firm receives numerous industry and business accolades for its award-winning culture. For additional information, visit</w:t>
      </w:r>
      <w:r w:rsidR="00FB52C5" w:rsidRPr="007F79F8">
        <w:rPr>
          <w:sz w:val="16"/>
          <w:szCs w:val="16"/>
          <w:lang w:val="en-GB"/>
        </w:rPr>
        <w:t> </w:t>
      </w:r>
      <w:hyperlink r:id="rId8" w:tgtFrame="_blank" w:tooltip="http://www.cushmanwakefield.com" w:history="1">
        <w:r w:rsidR="00FB52C5" w:rsidRPr="007F79F8">
          <w:rPr>
            <w:rStyle w:val="Hipercze"/>
            <w:sz w:val="16"/>
            <w:szCs w:val="16"/>
            <w:lang w:val="en-GB"/>
          </w:rPr>
          <w:t>www.cushmanwakefield.com</w:t>
        </w:r>
      </w:hyperlink>
      <w:r w:rsidR="00FB52C5" w:rsidRPr="007F79F8">
        <w:rPr>
          <w:sz w:val="16"/>
          <w:szCs w:val="16"/>
          <w:lang w:val="en-GB"/>
        </w:rPr>
        <w:t>.</w:t>
      </w:r>
    </w:p>
    <w:p w14:paraId="2AAC03FF" w14:textId="77777777" w:rsidR="00C413A2" w:rsidRPr="007F79F8" w:rsidRDefault="00C413A2" w:rsidP="0017521E">
      <w:pPr>
        <w:jc w:val="center"/>
        <w:rPr>
          <w:sz w:val="16"/>
          <w:szCs w:val="16"/>
          <w:lang w:val="en-GB"/>
        </w:rPr>
      </w:pPr>
    </w:p>
    <w:sectPr w:rsidR="00C413A2" w:rsidRPr="007F79F8">
      <w:headerReference w:type="default" r:id="rId9"/>
      <w:footerReference w:type="default" r:id="rId10"/>
      <w:headerReference w:type="first" r:id="rId11"/>
      <w:footerReference w:type="first" r:id="rId12"/>
      <w:pgSz w:w="11907" w:h="16839"/>
      <w:pgMar w:top="3600" w:right="1008" w:bottom="2880" w:left="1224" w:header="1800" w:footer="43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E8DE7" w14:textId="77777777" w:rsidR="005B00C7" w:rsidRDefault="005B00C7">
      <w:pPr>
        <w:spacing w:after="0" w:line="240" w:lineRule="auto"/>
      </w:pPr>
      <w:r>
        <w:separator/>
      </w:r>
    </w:p>
  </w:endnote>
  <w:endnote w:type="continuationSeparator" w:id="0">
    <w:p w14:paraId="5A310B18" w14:textId="77777777" w:rsidR="005B00C7" w:rsidRDefault="005B00C7">
      <w:pPr>
        <w:spacing w:after="0" w:line="240" w:lineRule="auto"/>
      </w:pPr>
      <w:r>
        <w:continuationSeparator/>
      </w:r>
    </w:p>
  </w:endnote>
  <w:endnote w:type="continuationNotice" w:id="1">
    <w:p w14:paraId="1E5A2D96" w14:textId="77777777" w:rsidR="005B00C7" w:rsidRDefault="005B00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00"/>
    </w:tblGrid>
    <w:tr w:rsidR="004E63E3" w:rsidRPr="005B2397" w14:paraId="2AD926AD" w14:textId="77777777" w:rsidTr="004E63E3">
      <w:trPr>
        <w:trHeight w:val="630"/>
      </w:trPr>
      <w:tc>
        <w:tcPr>
          <w:tcW w:w="8931" w:type="dxa"/>
          <w:vAlign w:val="bottom"/>
        </w:tcPr>
        <w:p w14:paraId="46F11C58" w14:textId="02C7C675" w:rsidR="00025C81" w:rsidRPr="00C8277A" w:rsidRDefault="00BD1725" w:rsidP="004E63E3">
          <w:pPr>
            <w:pStyle w:val="Nagwek2"/>
            <w:rPr>
              <w:rFonts w:ascii="Arial" w:hAnsi="Arial" w:cs="Arial"/>
              <w:color w:val="000000" w:themeColor="text1"/>
            </w:rPr>
          </w:pPr>
          <w:r w:rsidRPr="00BD1725">
            <w:rPr>
              <w:rFonts w:ascii="Arial" w:hAnsi="Arial" w:cs="Arial"/>
              <w:color w:val="000000" w:themeColor="text1"/>
              <w:lang w:val="en-GB"/>
            </w:rPr>
            <w:t>For Further Information Contact</w:t>
          </w:r>
          <w:r w:rsidR="001A4929" w:rsidRPr="00C8277A">
            <w:rPr>
              <w:rFonts w:ascii="Arial" w:hAnsi="Arial" w:cs="Arial"/>
              <w:color w:val="000000" w:themeColor="text1"/>
            </w:rPr>
            <w:t>:</w:t>
          </w:r>
        </w:p>
      </w:tc>
    </w:tr>
    <w:tr w:rsidR="004E63E3" w:rsidRPr="004756C9" w14:paraId="2F690183" w14:textId="77777777" w:rsidTr="004E63E3">
      <w:trPr>
        <w:trHeight w:val="1260"/>
      </w:trPr>
      <w:tc>
        <w:tcPr>
          <w:tcW w:w="8931" w:type="dxa"/>
        </w:tcPr>
        <w:tbl>
          <w:tblPr>
            <w:tblStyle w:val="PlainTable41"/>
            <w:tblW w:w="9811" w:type="dxa"/>
            <w:tblLayout w:type="fixed"/>
            <w:tblLook w:val="04A0" w:firstRow="1" w:lastRow="0" w:firstColumn="1" w:lastColumn="0" w:noHBand="0" w:noVBand="1"/>
          </w:tblPr>
          <w:tblGrid>
            <w:gridCol w:w="3467"/>
            <w:gridCol w:w="3479"/>
            <w:gridCol w:w="2865"/>
          </w:tblGrid>
          <w:tr w:rsidR="004E63E3" w:rsidRPr="004756C9" w14:paraId="73319B5E" w14:textId="77777777" w:rsidTr="00517B59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16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67" w:type="dxa"/>
              </w:tcPr>
              <w:tbl>
                <w:tblPr>
                  <w:tblStyle w:val="Tabela-Siatka"/>
                  <w:tblW w:w="24344" w:type="dxa"/>
                  <w:tblInd w:w="27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6086"/>
                  <w:gridCol w:w="6086"/>
                  <w:gridCol w:w="6086"/>
                  <w:gridCol w:w="6086"/>
                </w:tblGrid>
                <w:tr w:rsidR="004E63E3" w:rsidRPr="004756C9" w14:paraId="32B5F073" w14:textId="77777777" w:rsidTr="00B77D91">
                  <w:trPr>
                    <w:trHeight w:val="738"/>
                  </w:trPr>
                  <w:tc>
                    <w:tcPr>
                      <w:tcW w:w="6086" w:type="dxa"/>
                    </w:tcPr>
                    <w:p w14:paraId="67AD71FE" w14:textId="02F68497" w:rsidR="00025C81" w:rsidRPr="00BD1725" w:rsidRDefault="00AF11EE" w:rsidP="004E63E3">
                      <w:pPr>
                        <w:pStyle w:val="ContactName"/>
                        <w:spacing w:line="240" w:lineRule="auto"/>
                        <w:rPr>
                          <w:color w:val="696B6B"/>
                          <w:szCs w:val="18"/>
                          <w:u w:color="696B6B"/>
                          <w:lang w:val="pl-PL"/>
                        </w:rPr>
                      </w:pPr>
                      <w:r w:rsidRPr="00BD1725">
                        <w:rPr>
                          <w:color w:val="696B6B"/>
                          <w:szCs w:val="18"/>
                          <w:u w:color="696B6B"/>
                          <w:lang w:val="pl-PL"/>
                        </w:rPr>
                        <w:t xml:space="preserve">Karolina </w:t>
                      </w:r>
                      <w:proofErr w:type="spellStart"/>
                      <w:r w:rsidRPr="00BD1725">
                        <w:rPr>
                          <w:color w:val="696B6B"/>
                          <w:szCs w:val="18"/>
                          <w:u w:color="696B6B"/>
                          <w:lang w:val="pl-PL"/>
                        </w:rPr>
                        <w:t>Samczyńska-Fiślak</w:t>
                      </w:r>
                      <w:proofErr w:type="spellEnd"/>
                    </w:p>
                    <w:p w14:paraId="03FB117E" w14:textId="77777777" w:rsidR="00025C81" w:rsidRPr="00BD1725" w:rsidRDefault="001A4929" w:rsidP="004E63E3">
                      <w:pPr>
                        <w:pStyle w:val="ContactName"/>
                        <w:spacing w:line="240" w:lineRule="auto"/>
                        <w:rPr>
                          <w:b w:val="0"/>
                          <w:bCs w:val="0"/>
                          <w:color w:val="696B6B"/>
                          <w:szCs w:val="18"/>
                          <w:u w:color="696B6B"/>
                          <w:lang w:val="pl-PL"/>
                        </w:rPr>
                      </w:pPr>
                      <w:r w:rsidRPr="00BD1725">
                        <w:rPr>
                          <w:b w:val="0"/>
                          <w:bCs w:val="0"/>
                          <w:color w:val="696B6B"/>
                          <w:szCs w:val="18"/>
                          <w:u w:color="696B6B"/>
                          <w:lang w:val="pl-PL"/>
                        </w:rPr>
                        <w:t xml:space="preserve">Cushman &amp; Wakefield </w:t>
                      </w:r>
                    </w:p>
                    <w:p w14:paraId="51DAB7AF" w14:textId="799868C8" w:rsidR="00025C81" w:rsidRPr="00BD1725" w:rsidRDefault="001A4929" w:rsidP="004E63E3">
                      <w:pPr>
                        <w:rPr>
                          <w:rFonts w:ascii="Calibri" w:eastAsia="Times New Roman" w:hAnsi="Calibri"/>
                          <w:sz w:val="18"/>
                          <w:szCs w:val="18"/>
                          <w:lang w:val="pl-PL"/>
                        </w:rPr>
                      </w:pPr>
                      <w:r w:rsidRPr="00BD1725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  <w:lang w:val="pl-PL"/>
                        </w:rPr>
                        <w:t xml:space="preserve">Tel: + 48 22 820 20 20; </w:t>
                      </w:r>
                      <w:r w:rsidR="00AF11EE" w:rsidRPr="00BD1725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  <w:lang w:val="pl-PL"/>
                        </w:rPr>
                        <w:t>691 060 202</w:t>
                      </w:r>
                    </w:p>
                    <w:p w14:paraId="4EC59528" w14:textId="77777777" w:rsidR="00025C81" w:rsidRPr="009D1ABC" w:rsidRDefault="001A4929" w:rsidP="004E63E3">
                      <w:pPr>
                        <w:pStyle w:val="ContactName"/>
                        <w:tabs>
                          <w:tab w:val="right" w:pos="4688"/>
                        </w:tabs>
                        <w:spacing w:line="240" w:lineRule="auto"/>
                        <w:rPr>
                          <w:color w:val="696B6B"/>
                          <w:u w:color="696B6B"/>
                          <w:lang w:val="de-DE"/>
                        </w:rPr>
                      </w:pPr>
                      <w:proofErr w:type="spellStart"/>
                      <w:r w:rsidRPr="009D1ABC">
                        <w:rPr>
                          <w:color w:val="696B6B"/>
                          <w:u w:color="696B6B"/>
                          <w:lang w:val="de-DE"/>
                        </w:rPr>
                        <w:t>e-mail</w:t>
                      </w:r>
                      <w:proofErr w:type="spellEnd"/>
                      <w:r w:rsidRPr="009D1ABC">
                        <w:rPr>
                          <w:color w:val="696B6B"/>
                          <w:u w:color="696B6B"/>
                          <w:lang w:val="de-DE"/>
                        </w:rPr>
                        <w:t xml:space="preserve">: </w:t>
                      </w:r>
                      <w:hyperlink r:id="rId1" w:history="1">
                        <w:r w:rsidRPr="009D1ABC">
                          <w:rPr>
                            <w:rStyle w:val="Hyperlink0"/>
                            <w:lang w:val="de-AT"/>
                          </w:rPr>
                          <w:t>media.poland@cushwake.pl</w:t>
                        </w:r>
                      </w:hyperlink>
                    </w:p>
                  </w:tc>
                  <w:tc>
                    <w:tcPr>
                      <w:tcW w:w="6086" w:type="dxa"/>
                    </w:tcPr>
                    <w:p w14:paraId="0CF7FE8B" w14:textId="77777777" w:rsidR="00025C81" w:rsidRPr="009D1ABC" w:rsidRDefault="00025C81" w:rsidP="004E63E3">
                      <w:pPr>
                        <w:pStyle w:val="ContactDetail"/>
                        <w:spacing w:line="240" w:lineRule="auto"/>
                        <w:rPr>
                          <w:color w:val="696B6B"/>
                          <w:u w:color="696B6B"/>
                          <w:lang w:val="de-DE"/>
                        </w:rPr>
                      </w:pPr>
                    </w:p>
                  </w:tc>
                  <w:tc>
                    <w:tcPr>
                      <w:tcW w:w="6086" w:type="dxa"/>
                    </w:tcPr>
                    <w:p w14:paraId="20ECDA43" w14:textId="77777777" w:rsidR="00025C81" w:rsidRPr="00167436" w:rsidRDefault="00025C81" w:rsidP="004E63E3">
                      <w:pPr>
                        <w:pStyle w:val="ContactName"/>
                        <w:spacing w:line="240" w:lineRule="auto"/>
                        <w:rPr>
                          <w:rStyle w:val="Brak"/>
                          <w:color w:val="696B6B"/>
                          <w:u w:color="696B6B"/>
                          <w:lang w:val="de-DE"/>
                        </w:rPr>
                      </w:pPr>
                    </w:p>
                  </w:tc>
                  <w:tc>
                    <w:tcPr>
                      <w:tcW w:w="6086" w:type="dxa"/>
                    </w:tcPr>
                    <w:p w14:paraId="397E05EC" w14:textId="77777777" w:rsidR="00025C81" w:rsidRPr="00167436" w:rsidRDefault="00025C81" w:rsidP="004E63E3">
                      <w:pPr>
                        <w:pStyle w:val="ContactName"/>
                        <w:spacing w:line="240" w:lineRule="auto"/>
                        <w:rPr>
                          <w:rStyle w:val="Brak"/>
                          <w:color w:val="696B6B"/>
                          <w:u w:color="696B6B"/>
                          <w:lang w:val="de-DE"/>
                        </w:rPr>
                      </w:pPr>
                    </w:p>
                  </w:tc>
                </w:tr>
              </w:tbl>
              <w:p w14:paraId="08D62AB9" w14:textId="77777777" w:rsidR="00025C81" w:rsidRPr="009D1ABC" w:rsidRDefault="00025C81" w:rsidP="004E63E3">
                <w:pPr>
                  <w:pStyle w:val="ContactDetail"/>
                  <w:rPr>
                    <w:rFonts w:asciiTheme="minorHAnsi" w:hAnsiTheme="minorHAnsi" w:cstheme="minorHAnsi"/>
                    <w:color w:val="000000" w:themeColor="text1"/>
                    <w:lang w:val="es-ES_tradnl"/>
                  </w:rPr>
                </w:pPr>
              </w:p>
            </w:tc>
            <w:tc>
              <w:tcPr>
                <w:tcW w:w="3479" w:type="dxa"/>
              </w:tcPr>
              <w:p w14:paraId="4ED69CDE" w14:textId="77777777" w:rsidR="00025C81" w:rsidRPr="004D7DE0" w:rsidRDefault="00025C81" w:rsidP="00DD60AB">
                <w:pPr>
                  <w:pStyle w:val="ContactDetail"/>
                  <w:spacing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Style w:val="Brak"/>
                    <w:color w:val="696B6B"/>
                    <w:u w:color="696B6B"/>
                    <w:lang w:val="de-AT"/>
                  </w:rPr>
                </w:pPr>
              </w:p>
            </w:tc>
            <w:tc>
              <w:tcPr>
                <w:tcW w:w="2865" w:type="dxa"/>
              </w:tcPr>
              <w:p w14:paraId="1A4CBD3A" w14:textId="77777777" w:rsidR="00025C81" w:rsidRPr="004D7DE0" w:rsidRDefault="00025C81" w:rsidP="004E63E3">
                <w:pPr>
                  <w:pStyle w:val="ContactDetail"/>
                  <w:spacing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lang w:val="de-AT"/>
                  </w:rPr>
                </w:pPr>
              </w:p>
              <w:p w14:paraId="0D0425FA" w14:textId="77777777" w:rsidR="00025C81" w:rsidRPr="004D7DE0" w:rsidRDefault="00025C81" w:rsidP="004E63E3">
                <w:pPr>
                  <w:pStyle w:val="ContactDetail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 w:themeColor="text1"/>
                    <w:lang w:val="de-AT"/>
                  </w:rPr>
                </w:pPr>
              </w:p>
            </w:tc>
          </w:tr>
        </w:tbl>
        <w:p w14:paraId="51226427" w14:textId="794B06BC" w:rsidR="00025C81" w:rsidRPr="004D7DE0" w:rsidRDefault="00025C81" w:rsidP="004E63E3">
          <w:pPr>
            <w:pStyle w:val="ContactDetail"/>
            <w:rPr>
              <w:rFonts w:asciiTheme="minorHAnsi" w:hAnsiTheme="minorHAnsi" w:cstheme="minorHAnsi"/>
              <w:color w:val="000000" w:themeColor="text1"/>
              <w:lang w:val="de-AT"/>
            </w:rPr>
          </w:pPr>
        </w:p>
      </w:tc>
    </w:tr>
  </w:tbl>
  <w:p w14:paraId="6A6BD428" w14:textId="77777777" w:rsidR="00025C81" w:rsidRPr="004D7DE0" w:rsidRDefault="00025C81">
    <w:pPr>
      <w:pStyle w:val="Stopka"/>
      <w:rPr>
        <w:lang w:val="de-A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44E79" w14:textId="77777777" w:rsidR="00025C81" w:rsidRDefault="00025C81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W w:w="9000" w:type="dxa"/>
      <w:tblLayout w:type="fixed"/>
      <w:tblLook w:val="0400" w:firstRow="0" w:lastRow="0" w:firstColumn="0" w:lastColumn="0" w:noHBand="0" w:noVBand="1"/>
    </w:tblPr>
    <w:tblGrid>
      <w:gridCol w:w="5670"/>
      <w:gridCol w:w="3330"/>
    </w:tblGrid>
    <w:tr w:rsidR="004E63E3" w14:paraId="57A23F18" w14:textId="77777777">
      <w:trPr>
        <w:trHeight w:val="630"/>
      </w:trPr>
      <w:tc>
        <w:tcPr>
          <w:tcW w:w="5670" w:type="dxa"/>
          <w:vAlign w:val="bottom"/>
        </w:tcPr>
        <w:p w14:paraId="00233554" w14:textId="77777777" w:rsidR="00025C81" w:rsidRDefault="001A4929">
          <w:pPr>
            <w:pStyle w:val="Nagwek2"/>
            <w:rPr>
              <w:rFonts w:ascii="Arial" w:eastAsia="Arial" w:hAnsi="Arial" w:cs="Arial"/>
              <w:color w:val="696B6B"/>
            </w:rPr>
          </w:pPr>
          <w:r>
            <w:rPr>
              <w:rFonts w:ascii="Arial" w:eastAsia="Arial" w:hAnsi="Arial" w:cs="Arial"/>
              <w:color w:val="696B6B"/>
            </w:rPr>
            <w:t xml:space="preserve">Media </w:t>
          </w:r>
          <w:proofErr w:type="spellStart"/>
          <w:r>
            <w:rPr>
              <w:rFonts w:ascii="Arial" w:eastAsia="Arial" w:hAnsi="Arial" w:cs="Arial"/>
              <w:color w:val="696B6B"/>
            </w:rPr>
            <w:t>Contact</w:t>
          </w:r>
          <w:proofErr w:type="spellEnd"/>
          <w:r>
            <w:rPr>
              <w:rFonts w:ascii="Arial" w:eastAsia="Arial" w:hAnsi="Arial" w:cs="Arial"/>
              <w:color w:val="696B6B"/>
            </w:rPr>
            <w:t>:</w:t>
          </w:r>
        </w:p>
      </w:tc>
      <w:tc>
        <w:tcPr>
          <w:tcW w:w="3330" w:type="dxa"/>
          <w:vAlign w:val="bottom"/>
        </w:tcPr>
        <w:p w14:paraId="61C181ED" w14:textId="77777777" w:rsidR="00025C81" w:rsidRDefault="00025C81">
          <w:pPr>
            <w:spacing w:after="100" w:line="240" w:lineRule="auto"/>
            <w:rPr>
              <w:b/>
              <w:color w:val="696B6B"/>
              <w:sz w:val="18"/>
              <w:szCs w:val="18"/>
            </w:rPr>
          </w:pPr>
        </w:p>
      </w:tc>
    </w:tr>
    <w:tr w:rsidR="004E63E3" w:rsidRPr="004756C9" w14:paraId="17458FA5" w14:textId="77777777">
      <w:trPr>
        <w:trHeight w:val="1260"/>
      </w:trPr>
      <w:tc>
        <w:tcPr>
          <w:tcW w:w="5670" w:type="dxa"/>
          <w:vAlign w:val="bottom"/>
        </w:tcPr>
        <w:p w14:paraId="065B4F91" w14:textId="77777777" w:rsidR="00025C81" w:rsidRPr="00C8277A" w:rsidRDefault="001A4929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696B6B"/>
              <w:sz w:val="18"/>
              <w:szCs w:val="18"/>
              <w:lang w:val="en-GB"/>
            </w:rPr>
          </w:pPr>
          <w:r w:rsidRPr="00C8277A">
            <w:rPr>
              <w:b/>
              <w:color w:val="696B6B"/>
              <w:sz w:val="18"/>
              <w:szCs w:val="18"/>
              <w:lang w:val="en-GB"/>
            </w:rPr>
            <w:t>Name</w:t>
          </w:r>
        </w:p>
        <w:p w14:paraId="78082AF7" w14:textId="77777777" w:rsidR="00025C81" w:rsidRPr="00C8277A" w:rsidRDefault="001A492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r w:rsidRPr="00C8277A">
            <w:rPr>
              <w:color w:val="696B6B"/>
              <w:sz w:val="18"/>
              <w:szCs w:val="18"/>
              <w:lang w:val="en-GB"/>
            </w:rPr>
            <w:t>Title</w:t>
          </w:r>
        </w:p>
        <w:p w14:paraId="6C6535E5" w14:textId="77777777" w:rsidR="00025C81" w:rsidRPr="00C8277A" w:rsidRDefault="001A492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r w:rsidRPr="00C8277A">
            <w:rPr>
              <w:color w:val="696B6B"/>
              <w:sz w:val="18"/>
              <w:szCs w:val="18"/>
              <w:lang w:val="en-GB"/>
            </w:rPr>
            <w:t>+1 000 000 0000</w:t>
          </w:r>
        </w:p>
        <w:p w14:paraId="01D18F40" w14:textId="7E1FEC25" w:rsidR="00025C81" w:rsidRPr="00C8277A" w:rsidRDefault="00B77D9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hyperlink r:id="rId1" w:history="1">
            <w:r w:rsidRPr="00D4241D">
              <w:rPr>
                <w:rStyle w:val="Hipercze"/>
                <w:sz w:val="18"/>
                <w:szCs w:val="18"/>
                <w:lang w:val="en-GB"/>
              </w:rPr>
              <w:t>first.last@cushwake.com</w:t>
            </w:r>
          </w:hyperlink>
          <w:r w:rsidR="001A4929" w:rsidRPr="00C8277A">
            <w:rPr>
              <w:color w:val="696B6B"/>
              <w:sz w:val="18"/>
              <w:szCs w:val="18"/>
              <w:lang w:val="en-GB"/>
            </w:rPr>
            <w:t xml:space="preserve"> </w:t>
          </w:r>
        </w:p>
      </w:tc>
      <w:tc>
        <w:tcPr>
          <w:tcW w:w="3330" w:type="dxa"/>
          <w:vAlign w:val="bottom"/>
        </w:tcPr>
        <w:p w14:paraId="5F7143DE" w14:textId="77777777" w:rsidR="00025C81" w:rsidRPr="00C8277A" w:rsidRDefault="00025C8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</w:p>
      </w:tc>
    </w:tr>
  </w:tbl>
  <w:p w14:paraId="62A457F3" w14:textId="77777777" w:rsidR="00025C81" w:rsidRPr="00C8277A" w:rsidRDefault="00025C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195AC" w14:textId="77777777" w:rsidR="005B00C7" w:rsidRDefault="005B00C7">
      <w:pPr>
        <w:spacing w:after="0" w:line="240" w:lineRule="auto"/>
      </w:pPr>
      <w:r>
        <w:separator/>
      </w:r>
    </w:p>
  </w:footnote>
  <w:footnote w:type="continuationSeparator" w:id="0">
    <w:p w14:paraId="5812323B" w14:textId="77777777" w:rsidR="005B00C7" w:rsidRDefault="005B00C7">
      <w:pPr>
        <w:spacing w:after="0" w:line="240" w:lineRule="auto"/>
      </w:pPr>
      <w:r>
        <w:continuationSeparator/>
      </w:r>
    </w:p>
  </w:footnote>
  <w:footnote w:type="continuationNotice" w:id="1">
    <w:p w14:paraId="0DFEB7C5" w14:textId="77777777" w:rsidR="005B00C7" w:rsidRDefault="005B00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7E98D" w14:textId="77777777" w:rsidR="00025C81" w:rsidRDefault="001A49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6384EC7" wp14:editId="2933026F">
          <wp:simplePos x="0" y="0"/>
          <wp:positionH relativeFrom="column">
            <wp:posOffset>43133</wp:posOffset>
          </wp:positionH>
          <wp:positionV relativeFrom="paragraph">
            <wp:posOffset>-154975</wp:posOffset>
          </wp:positionV>
          <wp:extent cx="1933575" cy="40767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F1D7A" w14:textId="77777777" w:rsidR="00025C81" w:rsidRDefault="001A49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24F12382" wp14:editId="51EBFB22">
          <wp:simplePos x="0" y="0"/>
          <wp:positionH relativeFrom="column">
            <wp:posOffset>3811</wp:posOffset>
          </wp:positionH>
          <wp:positionV relativeFrom="paragraph">
            <wp:posOffset>-201294</wp:posOffset>
          </wp:positionV>
          <wp:extent cx="1933575" cy="40767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7968"/>
    <w:multiLevelType w:val="hybridMultilevel"/>
    <w:tmpl w:val="C66CC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60A9"/>
    <w:multiLevelType w:val="multilevel"/>
    <w:tmpl w:val="E8D2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6922B5"/>
    <w:multiLevelType w:val="hybridMultilevel"/>
    <w:tmpl w:val="EEF01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974D6"/>
    <w:multiLevelType w:val="hybridMultilevel"/>
    <w:tmpl w:val="4D4E3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206642">
    <w:abstractNumId w:val="3"/>
  </w:num>
  <w:num w:numId="2" w16cid:durableId="676083883">
    <w:abstractNumId w:val="0"/>
  </w:num>
  <w:num w:numId="3" w16cid:durableId="415589865">
    <w:abstractNumId w:val="2"/>
  </w:num>
  <w:num w:numId="4" w16cid:durableId="1659384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2D"/>
    <w:rsid w:val="0000150C"/>
    <w:rsid w:val="00001D62"/>
    <w:rsid w:val="00005FD5"/>
    <w:rsid w:val="00007243"/>
    <w:rsid w:val="00013F59"/>
    <w:rsid w:val="00014721"/>
    <w:rsid w:val="00016371"/>
    <w:rsid w:val="000203A2"/>
    <w:rsid w:val="00023C86"/>
    <w:rsid w:val="000251E4"/>
    <w:rsid w:val="00025C81"/>
    <w:rsid w:val="00026DBC"/>
    <w:rsid w:val="00027F57"/>
    <w:rsid w:val="00031E3A"/>
    <w:rsid w:val="0003245E"/>
    <w:rsid w:val="00044C5B"/>
    <w:rsid w:val="0005435D"/>
    <w:rsid w:val="0005728C"/>
    <w:rsid w:val="00057B15"/>
    <w:rsid w:val="00067F97"/>
    <w:rsid w:val="00067FD0"/>
    <w:rsid w:val="000700E2"/>
    <w:rsid w:val="000707F5"/>
    <w:rsid w:val="000720F5"/>
    <w:rsid w:val="00073A77"/>
    <w:rsid w:val="0008371E"/>
    <w:rsid w:val="00083BEE"/>
    <w:rsid w:val="00083F43"/>
    <w:rsid w:val="00086C80"/>
    <w:rsid w:val="0008700C"/>
    <w:rsid w:val="00087685"/>
    <w:rsid w:val="00090851"/>
    <w:rsid w:val="00092C27"/>
    <w:rsid w:val="00093540"/>
    <w:rsid w:val="000A54A7"/>
    <w:rsid w:val="000A5587"/>
    <w:rsid w:val="000A622E"/>
    <w:rsid w:val="000B004E"/>
    <w:rsid w:val="000B02EC"/>
    <w:rsid w:val="000B0C22"/>
    <w:rsid w:val="000B0C38"/>
    <w:rsid w:val="000B142D"/>
    <w:rsid w:val="000B29DE"/>
    <w:rsid w:val="000B3DFA"/>
    <w:rsid w:val="000B7377"/>
    <w:rsid w:val="000B73FF"/>
    <w:rsid w:val="000C009A"/>
    <w:rsid w:val="000C30AD"/>
    <w:rsid w:val="000C4210"/>
    <w:rsid w:val="000C4330"/>
    <w:rsid w:val="000C585C"/>
    <w:rsid w:val="000C6CF2"/>
    <w:rsid w:val="000D01B2"/>
    <w:rsid w:val="000D43E3"/>
    <w:rsid w:val="000D4656"/>
    <w:rsid w:val="000D5790"/>
    <w:rsid w:val="000D5FED"/>
    <w:rsid w:val="000D685B"/>
    <w:rsid w:val="000D7839"/>
    <w:rsid w:val="000F64E0"/>
    <w:rsid w:val="000F7964"/>
    <w:rsid w:val="00100923"/>
    <w:rsid w:val="001013AF"/>
    <w:rsid w:val="001035BC"/>
    <w:rsid w:val="00105682"/>
    <w:rsid w:val="001058E4"/>
    <w:rsid w:val="00111135"/>
    <w:rsid w:val="001141D8"/>
    <w:rsid w:val="001146DD"/>
    <w:rsid w:val="0011559A"/>
    <w:rsid w:val="001158A4"/>
    <w:rsid w:val="00115C66"/>
    <w:rsid w:val="00116F1E"/>
    <w:rsid w:val="00122668"/>
    <w:rsid w:val="0012676F"/>
    <w:rsid w:val="00132CB9"/>
    <w:rsid w:val="00132F07"/>
    <w:rsid w:val="001351E5"/>
    <w:rsid w:val="00140D8B"/>
    <w:rsid w:val="00150F3F"/>
    <w:rsid w:val="0015183B"/>
    <w:rsid w:val="00154C87"/>
    <w:rsid w:val="00156F9C"/>
    <w:rsid w:val="001635F6"/>
    <w:rsid w:val="00163676"/>
    <w:rsid w:val="00164B7F"/>
    <w:rsid w:val="00166861"/>
    <w:rsid w:val="00167436"/>
    <w:rsid w:val="00170A8A"/>
    <w:rsid w:val="00174EBA"/>
    <w:rsid w:val="00174FFD"/>
    <w:rsid w:val="0017521E"/>
    <w:rsid w:val="00175FB4"/>
    <w:rsid w:val="00181672"/>
    <w:rsid w:val="00182C4F"/>
    <w:rsid w:val="00185695"/>
    <w:rsid w:val="00185967"/>
    <w:rsid w:val="0018688B"/>
    <w:rsid w:val="00190FB3"/>
    <w:rsid w:val="001A026F"/>
    <w:rsid w:val="001A060A"/>
    <w:rsid w:val="001A06CA"/>
    <w:rsid w:val="001A2B21"/>
    <w:rsid w:val="001A2DC7"/>
    <w:rsid w:val="001A4929"/>
    <w:rsid w:val="001A56D9"/>
    <w:rsid w:val="001A614C"/>
    <w:rsid w:val="001A7844"/>
    <w:rsid w:val="001B5FA0"/>
    <w:rsid w:val="001B6ECC"/>
    <w:rsid w:val="001B7AE3"/>
    <w:rsid w:val="001C0591"/>
    <w:rsid w:val="001C3B01"/>
    <w:rsid w:val="001C3F46"/>
    <w:rsid w:val="001C7005"/>
    <w:rsid w:val="001D0064"/>
    <w:rsid w:val="001D08F3"/>
    <w:rsid w:val="001D401E"/>
    <w:rsid w:val="001E0E42"/>
    <w:rsid w:val="001E16E8"/>
    <w:rsid w:val="001E3C79"/>
    <w:rsid w:val="001E4E45"/>
    <w:rsid w:val="001F7BAF"/>
    <w:rsid w:val="001F7E37"/>
    <w:rsid w:val="00204A4D"/>
    <w:rsid w:val="00206001"/>
    <w:rsid w:val="002117B9"/>
    <w:rsid w:val="002125FE"/>
    <w:rsid w:val="00212D44"/>
    <w:rsid w:val="002137BD"/>
    <w:rsid w:val="00213EFC"/>
    <w:rsid w:val="002157F3"/>
    <w:rsid w:val="00217BD6"/>
    <w:rsid w:val="00222AC9"/>
    <w:rsid w:val="002240B1"/>
    <w:rsid w:val="00224AF9"/>
    <w:rsid w:val="00236B04"/>
    <w:rsid w:val="002426EF"/>
    <w:rsid w:val="00246115"/>
    <w:rsid w:val="00246CB6"/>
    <w:rsid w:val="00251824"/>
    <w:rsid w:val="00251F00"/>
    <w:rsid w:val="00257ED3"/>
    <w:rsid w:val="0026004F"/>
    <w:rsid w:val="002608C3"/>
    <w:rsid w:val="00260C7D"/>
    <w:rsid w:val="00261AA0"/>
    <w:rsid w:val="00263951"/>
    <w:rsid w:val="00263B66"/>
    <w:rsid w:val="0026615D"/>
    <w:rsid w:val="00267222"/>
    <w:rsid w:val="00271889"/>
    <w:rsid w:val="002730A2"/>
    <w:rsid w:val="002752E0"/>
    <w:rsid w:val="00275982"/>
    <w:rsid w:val="00275F1E"/>
    <w:rsid w:val="00275FDC"/>
    <w:rsid w:val="002801EE"/>
    <w:rsid w:val="0028046B"/>
    <w:rsid w:val="0028076A"/>
    <w:rsid w:val="0028223D"/>
    <w:rsid w:val="00282FB7"/>
    <w:rsid w:val="00283CCB"/>
    <w:rsid w:val="00284E92"/>
    <w:rsid w:val="00285282"/>
    <w:rsid w:val="00285DB8"/>
    <w:rsid w:val="00286DC7"/>
    <w:rsid w:val="0029133F"/>
    <w:rsid w:val="00293086"/>
    <w:rsid w:val="00293ED2"/>
    <w:rsid w:val="002958EB"/>
    <w:rsid w:val="002963EF"/>
    <w:rsid w:val="0029652C"/>
    <w:rsid w:val="002967FF"/>
    <w:rsid w:val="002A37FC"/>
    <w:rsid w:val="002A6569"/>
    <w:rsid w:val="002A6707"/>
    <w:rsid w:val="002A7360"/>
    <w:rsid w:val="002B2ABA"/>
    <w:rsid w:val="002B381B"/>
    <w:rsid w:val="002B4716"/>
    <w:rsid w:val="002B6B39"/>
    <w:rsid w:val="002B6BD8"/>
    <w:rsid w:val="002B7BDF"/>
    <w:rsid w:val="002C1DFF"/>
    <w:rsid w:val="002C224D"/>
    <w:rsid w:val="002C240D"/>
    <w:rsid w:val="002C2FEA"/>
    <w:rsid w:val="002C480C"/>
    <w:rsid w:val="002C5887"/>
    <w:rsid w:val="002D0B42"/>
    <w:rsid w:val="002D4EC6"/>
    <w:rsid w:val="002D5829"/>
    <w:rsid w:val="002D58E8"/>
    <w:rsid w:val="002D5DC7"/>
    <w:rsid w:val="002D7779"/>
    <w:rsid w:val="002E0BB0"/>
    <w:rsid w:val="002E1729"/>
    <w:rsid w:val="002E2D30"/>
    <w:rsid w:val="002E3B0A"/>
    <w:rsid w:val="002E67F5"/>
    <w:rsid w:val="002E7B64"/>
    <w:rsid w:val="002F08E1"/>
    <w:rsid w:val="002F0F48"/>
    <w:rsid w:val="002F3239"/>
    <w:rsid w:val="002F4378"/>
    <w:rsid w:val="002F45B0"/>
    <w:rsid w:val="002F49EB"/>
    <w:rsid w:val="00300BC4"/>
    <w:rsid w:val="00302886"/>
    <w:rsid w:val="00306BFA"/>
    <w:rsid w:val="00310390"/>
    <w:rsid w:val="00310D2A"/>
    <w:rsid w:val="00312016"/>
    <w:rsid w:val="00312256"/>
    <w:rsid w:val="0031251D"/>
    <w:rsid w:val="0032157F"/>
    <w:rsid w:val="0032389F"/>
    <w:rsid w:val="0032403B"/>
    <w:rsid w:val="00325D27"/>
    <w:rsid w:val="00330F0E"/>
    <w:rsid w:val="00333CE1"/>
    <w:rsid w:val="003362F7"/>
    <w:rsid w:val="0034418D"/>
    <w:rsid w:val="00344D2C"/>
    <w:rsid w:val="00345D04"/>
    <w:rsid w:val="00345D09"/>
    <w:rsid w:val="00351FC7"/>
    <w:rsid w:val="003520C8"/>
    <w:rsid w:val="0035284E"/>
    <w:rsid w:val="0035396B"/>
    <w:rsid w:val="003540C5"/>
    <w:rsid w:val="0036151B"/>
    <w:rsid w:val="00364117"/>
    <w:rsid w:val="003669B8"/>
    <w:rsid w:val="00367F57"/>
    <w:rsid w:val="00370600"/>
    <w:rsid w:val="00371AFD"/>
    <w:rsid w:val="00372F66"/>
    <w:rsid w:val="00374DB8"/>
    <w:rsid w:val="0037639C"/>
    <w:rsid w:val="0037722C"/>
    <w:rsid w:val="00380BF7"/>
    <w:rsid w:val="00385CB8"/>
    <w:rsid w:val="0038604F"/>
    <w:rsid w:val="00386657"/>
    <w:rsid w:val="00386993"/>
    <w:rsid w:val="00387CAF"/>
    <w:rsid w:val="003936DF"/>
    <w:rsid w:val="00393F37"/>
    <w:rsid w:val="00395788"/>
    <w:rsid w:val="00395B48"/>
    <w:rsid w:val="0039669F"/>
    <w:rsid w:val="003968FB"/>
    <w:rsid w:val="00396C9E"/>
    <w:rsid w:val="003A058E"/>
    <w:rsid w:val="003A24D4"/>
    <w:rsid w:val="003A2BAE"/>
    <w:rsid w:val="003A48E0"/>
    <w:rsid w:val="003A5481"/>
    <w:rsid w:val="003A70E2"/>
    <w:rsid w:val="003B3560"/>
    <w:rsid w:val="003B48AD"/>
    <w:rsid w:val="003B78C7"/>
    <w:rsid w:val="003C1BBA"/>
    <w:rsid w:val="003C1D8D"/>
    <w:rsid w:val="003C1E58"/>
    <w:rsid w:val="003C2958"/>
    <w:rsid w:val="003C5B29"/>
    <w:rsid w:val="003C791A"/>
    <w:rsid w:val="003D1104"/>
    <w:rsid w:val="003D16BD"/>
    <w:rsid w:val="003D19A5"/>
    <w:rsid w:val="003E0201"/>
    <w:rsid w:val="003E191B"/>
    <w:rsid w:val="003E3C58"/>
    <w:rsid w:val="003E3F99"/>
    <w:rsid w:val="003E6D96"/>
    <w:rsid w:val="003F24F3"/>
    <w:rsid w:val="003F385A"/>
    <w:rsid w:val="003F4AAD"/>
    <w:rsid w:val="003F5926"/>
    <w:rsid w:val="003F60EA"/>
    <w:rsid w:val="004001BC"/>
    <w:rsid w:val="00403626"/>
    <w:rsid w:val="00404388"/>
    <w:rsid w:val="004048DF"/>
    <w:rsid w:val="00406BFA"/>
    <w:rsid w:val="0040781C"/>
    <w:rsid w:val="004112C0"/>
    <w:rsid w:val="0042092E"/>
    <w:rsid w:val="0042183C"/>
    <w:rsid w:val="00426F30"/>
    <w:rsid w:val="00432003"/>
    <w:rsid w:val="004329C4"/>
    <w:rsid w:val="00432ACA"/>
    <w:rsid w:val="0043767F"/>
    <w:rsid w:val="00437FFE"/>
    <w:rsid w:val="00440D65"/>
    <w:rsid w:val="00443EFE"/>
    <w:rsid w:val="004523FB"/>
    <w:rsid w:val="00454311"/>
    <w:rsid w:val="00457545"/>
    <w:rsid w:val="00461B2F"/>
    <w:rsid w:val="00462B62"/>
    <w:rsid w:val="00464434"/>
    <w:rsid w:val="00464B72"/>
    <w:rsid w:val="00466300"/>
    <w:rsid w:val="00466ABC"/>
    <w:rsid w:val="0046724E"/>
    <w:rsid w:val="004678CA"/>
    <w:rsid w:val="004718FA"/>
    <w:rsid w:val="00471A22"/>
    <w:rsid w:val="004730F6"/>
    <w:rsid w:val="004756C9"/>
    <w:rsid w:val="004763BF"/>
    <w:rsid w:val="00480EED"/>
    <w:rsid w:val="004844C0"/>
    <w:rsid w:val="004900F3"/>
    <w:rsid w:val="00490581"/>
    <w:rsid w:val="00491EA1"/>
    <w:rsid w:val="0049367E"/>
    <w:rsid w:val="00494B75"/>
    <w:rsid w:val="004A1160"/>
    <w:rsid w:val="004A507B"/>
    <w:rsid w:val="004A5B66"/>
    <w:rsid w:val="004B0979"/>
    <w:rsid w:val="004B1844"/>
    <w:rsid w:val="004B2960"/>
    <w:rsid w:val="004B2BD4"/>
    <w:rsid w:val="004B38B6"/>
    <w:rsid w:val="004B3D1A"/>
    <w:rsid w:val="004C2C37"/>
    <w:rsid w:val="004C65A9"/>
    <w:rsid w:val="004D0292"/>
    <w:rsid w:val="004D07CC"/>
    <w:rsid w:val="004D16D5"/>
    <w:rsid w:val="004D68AD"/>
    <w:rsid w:val="004D6A3C"/>
    <w:rsid w:val="004D6DA4"/>
    <w:rsid w:val="004D70B7"/>
    <w:rsid w:val="004D7C3B"/>
    <w:rsid w:val="004D7DE0"/>
    <w:rsid w:val="004E0237"/>
    <w:rsid w:val="004E0671"/>
    <w:rsid w:val="004E1A90"/>
    <w:rsid w:val="004E254C"/>
    <w:rsid w:val="004E46E9"/>
    <w:rsid w:val="004E5409"/>
    <w:rsid w:val="004E5A7E"/>
    <w:rsid w:val="004E63E3"/>
    <w:rsid w:val="004E70B6"/>
    <w:rsid w:val="004E7185"/>
    <w:rsid w:val="004E75ED"/>
    <w:rsid w:val="004F0551"/>
    <w:rsid w:val="004F0AE8"/>
    <w:rsid w:val="004F721D"/>
    <w:rsid w:val="00501170"/>
    <w:rsid w:val="00502E72"/>
    <w:rsid w:val="00510EB7"/>
    <w:rsid w:val="00510F16"/>
    <w:rsid w:val="00511A57"/>
    <w:rsid w:val="00512047"/>
    <w:rsid w:val="00512ADF"/>
    <w:rsid w:val="0051329D"/>
    <w:rsid w:val="00513D3B"/>
    <w:rsid w:val="0051644B"/>
    <w:rsid w:val="00517B59"/>
    <w:rsid w:val="00520076"/>
    <w:rsid w:val="005229AB"/>
    <w:rsid w:val="00525C00"/>
    <w:rsid w:val="00526F09"/>
    <w:rsid w:val="005303A1"/>
    <w:rsid w:val="00531CF4"/>
    <w:rsid w:val="00531E77"/>
    <w:rsid w:val="005323BE"/>
    <w:rsid w:val="00535E7F"/>
    <w:rsid w:val="005369D7"/>
    <w:rsid w:val="00537231"/>
    <w:rsid w:val="00537747"/>
    <w:rsid w:val="00541459"/>
    <w:rsid w:val="00541D5B"/>
    <w:rsid w:val="0054534D"/>
    <w:rsid w:val="00552477"/>
    <w:rsid w:val="0055434C"/>
    <w:rsid w:val="005553AE"/>
    <w:rsid w:val="00561829"/>
    <w:rsid w:val="0056271E"/>
    <w:rsid w:val="00562F20"/>
    <w:rsid w:val="0056431E"/>
    <w:rsid w:val="00566AB7"/>
    <w:rsid w:val="005709B3"/>
    <w:rsid w:val="00577005"/>
    <w:rsid w:val="00580A25"/>
    <w:rsid w:val="0058421C"/>
    <w:rsid w:val="00584B9B"/>
    <w:rsid w:val="00585A4F"/>
    <w:rsid w:val="005878DD"/>
    <w:rsid w:val="00591DBB"/>
    <w:rsid w:val="00592299"/>
    <w:rsid w:val="005963FC"/>
    <w:rsid w:val="005A19C2"/>
    <w:rsid w:val="005A27DD"/>
    <w:rsid w:val="005A4560"/>
    <w:rsid w:val="005A52A1"/>
    <w:rsid w:val="005A67F8"/>
    <w:rsid w:val="005A75A4"/>
    <w:rsid w:val="005A790C"/>
    <w:rsid w:val="005B00C7"/>
    <w:rsid w:val="005B3518"/>
    <w:rsid w:val="005C01D2"/>
    <w:rsid w:val="005C1CBA"/>
    <w:rsid w:val="005C35CB"/>
    <w:rsid w:val="005C4360"/>
    <w:rsid w:val="005C6332"/>
    <w:rsid w:val="005C72CD"/>
    <w:rsid w:val="005D06CC"/>
    <w:rsid w:val="005D1087"/>
    <w:rsid w:val="005D3204"/>
    <w:rsid w:val="005D4DD1"/>
    <w:rsid w:val="005D5099"/>
    <w:rsid w:val="005D5EEB"/>
    <w:rsid w:val="005D7498"/>
    <w:rsid w:val="005E2367"/>
    <w:rsid w:val="005E2C9B"/>
    <w:rsid w:val="005E2EC7"/>
    <w:rsid w:val="005E36C1"/>
    <w:rsid w:val="005E49BA"/>
    <w:rsid w:val="005E6A1B"/>
    <w:rsid w:val="005F0B46"/>
    <w:rsid w:val="005F1B4B"/>
    <w:rsid w:val="005F2BE0"/>
    <w:rsid w:val="005F709A"/>
    <w:rsid w:val="006015FE"/>
    <w:rsid w:val="00601B86"/>
    <w:rsid w:val="006020AF"/>
    <w:rsid w:val="00603782"/>
    <w:rsid w:val="00605E91"/>
    <w:rsid w:val="00606E7D"/>
    <w:rsid w:val="00612A79"/>
    <w:rsid w:val="0061516B"/>
    <w:rsid w:val="0061690F"/>
    <w:rsid w:val="00617929"/>
    <w:rsid w:val="00624E73"/>
    <w:rsid w:val="00625DBC"/>
    <w:rsid w:val="00626706"/>
    <w:rsid w:val="0063089E"/>
    <w:rsid w:val="00634853"/>
    <w:rsid w:val="00634A82"/>
    <w:rsid w:val="006367C0"/>
    <w:rsid w:val="00637B40"/>
    <w:rsid w:val="00647BF0"/>
    <w:rsid w:val="0065417F"/>
    <w:rsid w:val="00654588"/>
    <w:rsid w:val="00655594"/>
    <w:rsid w:val="006578B8"/>
    <w:rsid w:val="00657919"/>
    <w:rsid w:val="00661892"/>
    <w:rsid w:val="00662194"/>
    <w:rsid w:val="0066365A"/>
    <w:rsid w:val="006668E9"/>
    <w:rsid w:val="0066772F"/>
    <w:rsid w:val="00667E55"/>
    <w:rsid w:val="00670CB1"/>
    <w:rsid w:val="006714A0"/>
    <w:rsid w:val="00674476"/>
    <w:rsid w:val="00674692"/>
    <w:rsid w:val="00674AAF"/>
    <w:rsid w:val="00674C04"/>
    <w:rsid w:val="0067607F"/>
    <w:rsid w:val="006775A6"/>
    <w:rsid w:val="006807CC"/>
    <w:rsid w:val="00681848"/>
    <w:rsid w:val="00682F1F"/>
    <w:rsid w:val="00683345"/>
    <w:rsid w:val="0068616F"/>
    <w:rsid w:val="006924B0"/>
    <w:rsid w:val="0069258A"/>
    <w:rsid w:val="006933E4"/>
    <w:rsid w:val="00693DA2"/>
    <w:rsid w:val="00694083"/>
    <w:rsid w:val="00695E5E"/>
    <w:rsid w:val="006A19CF"/>
    <w:rsid w:val="006A1C76"/>
    <w:rsid w:val="006A1DE6"/>
    <w:rsid w:val="006A21E6"/>
    <w:rsid w:val="006A2AAC"/>
    <w:rsid w:val="006A32B9"/>
    <w:rsid w:val="006A77F4"/>
    <w:rsid w:val="006B00CB"/>
    <w:rsid w:val="006B114D"/>
    <w:rsid w:val="006B3391"/>
    <w:rsid w:val="006B40CA"/>
    <w:rsid w:val="006B4A62"/>
    <w:rsid w:val="006B635B"/>
    <w:rsid w:val="006B6D64"/>
    <w:rsid w:val="006B6EBE"/>
    <w:rsid w:val="006B7290"/>
    <w:rsid w:val="006C449A"/>
    <w:rsid w:val="006C50ED"/>
    <w:rsid w:val="006C62BD"/>
    <w:rsid w:val="006D189F"/>
    <w:rsid w:val="006D1EF1"/>
    <w:rsid w:val="006D3D21"/>
    <w:rsid w:val="006D68E0"/>
    <w:rsid w:val="006D69D7"/>
    <w:rsid w:val="006D73BB"/>
    <w:rsid w:val="006E2861"/>
    <w:rsid w:val="006E2DCD"/>
    <w:rsid w:val="006E381A"/>
    <w:rsid w:val="006E5816"/>
    <w:rsid w:val="006F06A0"/>
    <w:rsid w:val="006F19DF"/>
    <w:rsid w:val="006F1DA3"/>
    <w:rsid w:val="006F32AE"/>
    <w:rsid w:val="006F4670"/>
    <w:rsid w:val="006F670C"/>
    <w:rsid w:val="00700A31"/>
    <w:rsid w:val="007014E6"/>
    <w:rsid w:val="00703171"/>
    <w:rsid w:val="00705458"/>
    <w:rsid w:val="007060CB"/>
    <w:rsid w:val="00706617"/>
    <w:rsid w:val="0070713C"/>
    <w:rsid w:val="00707A28"/>
    <w:rsid w:val="00712556"/>
    <w:rsid w:val="00713EBB"/>
    <w:rsid w:val="00717324"/>
    <w:rsid w:val="007258D5"/>
    <w:rsid w:val="00725E13"/>
    <w:rsid w:val="007266E1"/>
    <w:rsid w:val="007277EE"/>
    <w:rsid w:val="00731051"/>
    <w:rsid w:val="007326D4"/>
    <w:rsid w:val="00735AA1"/>
    <w:rsid w:val="00736991"/>
    <w:rsid w:val="00737C1D"/>
    <w:rsid w:val="00741FAC"/>
    <w:rsid w:val="00742036"/>
    <w:rsid w:val="007434AC"/>
    <w:rsid w:val="00744A77"/>
    <w:rsid w:val="00744D3D"/>
    <w:rsid w:val="00747126"/>
    <w:rsid w:val="0075095C"/>
    <w:rsid w:val="00751746"/>
    <w:rsid w:val="00751E88"/>
    <w:rsid w:val="00753387"/>
    <w:rsid w:val="00754C88"/>
    <w:rsid w:val="0075768F"/>
    <w:rsid w:val="007578C7"/>
    <w:rsid w:val="00757A3F"/>
    <w:rsid w:val="0076007C"/>
    <w:rsid w:val="007605D7"/>
    <w:rsid w:val="00761E22"/>
    <w:rsid w:val="007628D1"/>
    <w:rsid w:val="007635F1"/>
    <w:rsid w:val="00763E05"/>
    <w:rsid w:val="00763FC3"/>
    <w:rsid w:val="007640FE"/>
    <w:rsid w:val="0076430E"/>
    <w:rsid w:val="00765A8D"/>
    <w:rsid w:val="00770B4C"/>
    <w:rsid w:val="00771251"/>
    <w:rsid w:val="00771B79"/>
    <w:rsid w:val="00773DFF"/>
    <w:rsid w:val="00775E16"/>
    <w:rsid w:val="00777DD6"/>
    <w:rsid w:val="00781D70"/>
    <w:rsid w:val="00782A9B"/>
    <w:rsid w:val="00784252"/>
    <w:rsid w:val="00785643"/>
    <w:rsid w:val="00785CD9"/>
    <w:rsid w:val="00790531"/>
    <w:rsid w:val="00790E9B"/>
    <w:rsid w:val="007920C6"/>
    <w:rsid w:val="0079250E"/>
    <w:rsid w:val="0079273B"/>
    <w:rsid w:val="00792ECE"/>
    <w:rsid w:val="007952A6"/>
    <w:rsid w:val="007A31BA"/>
    <w:rsid w:val="007A354E"/>
    <w:rsid w:val="007A6E6F"/>
    <w:rsid w:val="007B0283"/>
    <w:rsid w:val="007B1B45"/>
    <w:rsid w:val="007B20DD"/>
    <w:rsid w:val="007B2741"/>
    <w:rsid w:val="007B54E0"/>
    <w:rsid w:val="007B6E2A"/>
    <w:rsid w:val="007B772B"/>
    <w:rsid w:val="007C2F65"/>
    <w:rsid w:val="007C38BC"/>
    <w:rsid w:val="007C69D0"/>
    <w:rsid w:val="007C7B35"/>
    <w:rsid w:val="007D082F"/>
    <w:rsid w:val="007D2192"/>
    <w:rsid w:val="007D4408"/>
    <w:rsid w:val="007D4590"/>
    <w:rsid w:val="007E1D2B"/>
    <w:rsid w:val="007E3A62"/>
    <w:rsid w:val="007F0659"/>
    <w:rsid w:val="007F13AB"/>
    <w:rsid w:val="007F2FE9"/>
    <w:rsid w:val="007F5890"/>
    <w:rsid w:val="007F79F8"/>
    <w:rsid w:val="008014DA"/>
    <w:rsid w:val="00802ECA"/>
    <w:rsid w:val="00802FA6"/>
    <w:rsid w:val="008037B4"/>
    <w:rsid w:val="008048FD"/>
    <w:rsid w:val="00805AEC"/>
    <w:rsid w:val="00812492"/>
    <w:rsid w:val="0081370C"/>
    <w:rsid w:val="00813F26"/>
    <w:rsid w:val="00814315"/>
    <w:rsid w:val="00816308"/>
    <w:rsid w:val="0082036C"/>
    <w:rsid w:val="008219DB"/>
    <w:rsid w:val="00821E44"/>
    <w:rsid w:val="008234B2"/>
    <w:rsid w:val="00824654"/>
    <w:rsid w:val="0082480B"/>
    <w:rsid w:val="00824D18"/>
    <w:rsid w:val="008266FC"/>
    <w:rsid w:val="0083179A"/>
    <w:rsid w:val="0083500A"/>
    <w:rsid w:val="00842064"/>
    <w:rsid w:val="0084290C"/>
    <w:rsid w:val="00843BB8"/>
    <w:rsid w:val="00847E52"/>
    <w:rsid w:val="00850BDE"/>
    <w:rsid w:val="0085202E"/>
    <w:rsid w:val="00856BE4"/>
    <w:rsid w:val="0086014C"/>
    <w:rsid w:val="00863F5E"/>
    <w:rsid w:val="00866DDD"/>
    <w:rsid w:val="00871766"/>
    <w:rsid w:val="00871FBB"/>
    <w:rsid w:val="00872092"/>
    <w:rsid w:val="00874BB3"/>
    <w:rsid w:val="008753CF"/>
    <w:rsid w:val="008772B7"/>
    <w:rsid w:val="00880E20"/>
    <w:rsid w:val="00881769"/>
    <w:rsid w:val="00882E1D"/>
    <w:rsid w:val="008848B1"/>
    <w:rsid w:val="00884AC1"/>
    <w:rsid w:val="00885E0C"/>
    <w:rsid w:val="008906FE"/>
    <w:rsid w:val="0089134F"/>
    <w:rsid w:val="00895809"/>
    <w:rsid w:val="00895F80"/>
    <w:rsid w:val="008972B1"/>
    <w:rsid w:val="008974F3"/>
    <w:rsid w:val="008A020F"/>
    <w:rsid w:val="008A26A0"/>
    <w:rsid w:val="008A3F07"/>
    <w:rsid w:val="008A70FA"/>
    <w:rsid w:val="008B34E6"/>
    <w:rsid w:val="008B4539"/>
    <w:rsid w:val="008B6EB7"/>
    <w:rsid w:val="008B7656"/>
    <w:rsid w:val="008C14E5"/>
    <w:rsid w:val="008C42CD"/>
    <w:rsid w:val="008D009F"/>
    <w:rsid w:val="008D2B60"/>
    <w:rsid w:val="008D2E4A"/>
    <w:rsid w:val="008D338D"/>
    <w:rsid w:val="008E2032"/>
    <w:rsid w:val="008E5B6C"/>
    <w:rsid w:val="008F01FC"/>
    <w:rsid w:val="008F034B"/>
    <w:rsid w:val="008F0AAC"/>
    <w:rsid w:val="008F1B4D"/>
    <w:rsid w:val="008F1D0E"/>
    <w:rsid w:val="008F2C02"/>
    <w:rsid w:val="008F2CFF"/>
    <w:rsid w:val="008F582C"/>
    <w:rsid w:val="008F7E93"/>
    <w:rsid w:val="008F7EA7"/>
    <w:rsid w:val="00901841"/>
    <w:rsid w:val="00901FDB"/>
    <w:rsid w:val="00904E04"/>
    <w:rsid w:val="0091104E"/>
    <w:rsid w:val="00911FF4"/>
    <w:rsid w:val="00912D93"/>
    <w:rsid w:val="00914465"/>
    <w:rsid w:val="0091784B"/>
    <w:rsid w:val="00920635"/>
    <w:rsid w:val="00920BE7"/>
    <w:rsid w:val="00921FC7"/>
    <w:rsid w:val="0092330E"/>
    <w:rsid w:val="00926EB5"/>
    <w:rsid w:val="009325BF"/>
    <w:rsid w:val="00941B66"/>
    <w:rsid w:val="00943336"/>
    <w:rsid w:val="00946C47"/>
    <w:rsid w:val="00950E6F"/>
    <w:rsid w:val="00953475"/>
    <w:rsid w:val="00956547"/>
    <w:rsid w:val="00956DFC"/>
    <w:rsid w:val="00962A05"/>
    <w:rsid w:val="009633D4"/>
    <w:rsid w:val="009633D7"/>
    <w:rsid w:val="00965609"/>
    <w:rsid w:val="0096608A"/>
    <w:rsid w:val="00966D68"/>
    <w:rsid w:val="009675F1"/>
    <w:rsid w:val="00967B91"/>
    <w:rsid w:val="00967E12"/>
    <w:rsid w:val="00971AF5"/>
    <w:rsid w:val="0097409A"/>
    <w:rsid w:val="00976C95"/>
    <w:rsid w:val="00977641"/>
    <w:rsid w:val="00977AE0"/>
    <w:rsid w:val="00981669"/>
    <w:rsid w:val="00981F85"/>
    <w:rsid w:val="0098288E"/>
    <w:rsid w:val="00990212"/>
    <w:rsid w:val="009902A1"/>
    <w:rsid w:val="00991B35"/>
    <w:rsid w:val="00994AF6"/>
    <w:rsid w:val="009951A5"/>
    <w:rsid w:val="00997139"/>
    <w:rsid w:val="009A1D96"/>
    <w:rsid w:val="009A5164"/>
    <w:rsid w:val="009A5F8D"/>
    <w:rsid w:val="009A7442"/>
    <w:rsid w:val="009A7448"/>
    <w:rsid w:val="009B395A"/>
    <w:rsid w:val="009B5B8E"/>
    <w:rsid w:val="009B7F16"/>
    <w:rsid w:val="009C075D"/>
    <w:rsid w:val="009C16AE"/>
    <w:rsid w:val="009C5621"/>
    <w:rsid w:val="009C5862"/>
    <w:rsid w:val="009C5DC6"/>
    <w:rsid w:val="009C7154"/>
    <w:rsid w:val="009C7F14"/>
    <w:rsid w:val="009D025D"/>
    <w:rsid w:val="009D0DDA"/>
    <w:rsid w:val="009D233E"/>
    <w:rsid w:val="009D2AAD"/>
    <w:rsid w:val="009D31EC"/>
    <w:rsid w:val="009E408E"/>
    <w:rsid w:val="009E4572"/>
    <w:rsid w:val="009E7575"/>
    <w:rsid w:val="009E7C38"/>
    <w:rsid w:val="009F15E7"/>
    <w:rsid w:val="009F196F"/>
    <w:rsid w:val="009F2A16"/>
    <w:rsid w:val="009F2E1A"/>
    <w:rsid w:val="009F35CD"/>
    <w:rsid w:val="00A00FB1"/>
    <w:rsid w:val="00A05EF8"/>
    <w:rsid w:val="00A06149"/>
    <w:rsid w:val="00A0629B"/>
    <w:rsid w:val="00A06403"/>
    <w:rsid w:val="00A07AE5"/>
    <w:rsid w:val="00A07D47"/>
    <w:rsid w:val="00A10255"/>
    <w:rsid w:val="00A12517"/>
    <w:rsid w:val="00A12551"/>
    <w:rsid w:val="00A12BAB"/>
    <w:rsid w:val="00A13F0B"/>
    <w:rsid w:val="00A17001"/>
    <w:rsid w:val="00A176AA"/>
    <w:rsid w:val="00A201A3"/>
    <w:rsid w:val="00A209A3"/>
    <w:rsid w:val="00A2466A"/>
    <w:rsid w:val="00A24A60"/>
    <w:rsid w:val="00A31C14"/>
    <w:rsid w:val="00A31F0C"/>
    <w:rsid w:val="00A335B8"/>
    <w:rsid w:val="00A344ED"/>
    <w:rsid w:val="00A35154"/>
    <w:rsid w:val="00A37EEC"/>
    <w:rsid w:val="00A4481B"/>
    <w:rsid w:val="00A44910"/>
    <w:rsid w:val="00A44A37"/>
    <w:rsid w:val="00A47FCD"/>
    <w:rsid w:val="00A506AE"/>
    <w:rsid w:val="00A54E85"/>
    <w:rsid w:val="00A55BAF"/>
    <w:rsid w:val="00A60265"/>
    <w:rsid w:val="00A63543"/>
    <w:rsid w:val="00A63AA2"/>
    <w:rsid w:val="00A677F7"/>
    <w:rsid w:val="00A70BC1"/>
    <w:rsid w:val="00A74800"/>
    <w:rsid w:val="00A74CD5"/>
    <w:rsid w:val="00A758B5"/>
    <w:rsid w:val="00A76A81"/>
    <w:rsid w:val="00A77828"/>
    <w:rsid w:val="00A840D5"/>
    <w:rsid w:val="00A8664B"/>
    <w:rsid w:val="00A91137"/>
    <w:rsid w:val="00A91E08"/>
    <w:rsid w:val="00A93515"/>
    <w:rsid w:val="00A959F1"/>
    <w:rsid w:val="00A97D53"/>
    <w:rsid w:val="00AA15B2"/>
    <w:rsid w:val="00AA2003"/>
    <w:rsid w:val="00AA3E59"/>
    <w:rsid w:val="00AA644C"/>
    <w:rsid w:val="00AA69D2"/>
    <w:rsid w:val="00AB1473"/>
    <w:rsid w:val="00AB1BFE"/>
    <w:rsid w:val="00AB6698"/>
    <w:rsid w:val="00AC07E4"/>
    <w:rsid w:val="00AC0C0A"/>
    <w:rsid w:val="00AC2AD2"/>
    <w:rsid w:val="00AC3FD9"/>
    <w:rsid w:val="00AC5B79"/>
    <w:rsid w:val="00AC6DF8"/>
    <w:rsid w:val="00AD1D8B"/>
    <w:rsid w:val="00AD30C6"/>
    <w:rsid w:val="00AD3211"/>
    <w:rsid w:val="00AD3963"/>
    <w:rsid w:val="00AD4CCC"/>
    <w:rsid w:val="00AD6DB1"/>
    <w:rsid w:val="00AE13D6"/>
    <w:rsid w:val="00AE1D22"/>
    <w:rsid w:val="00AE264C"/>
    <w:rsid w:val="00AE2AD5"/>
    <w:rsid w:val="00AF11EE"/>
    <w:rsid w:val="00AF1458"/>
    <w:rsid w:val="00AF254B"/>
    <w:rsid w:val="00AF315C"/>
    <w:rsid w:val="00AF3414"/>
    <w:rsid w:val="00AF3EF4"/>
    <w:rsid w:val="00B00FA6"/>
    <w:rsid w:val="00B01460"/>
    <w:rsid w:val="00B0179B"/>
    <w:rsid w:val="00B022DB"/>
    <w:rsid w:val="00B04A85"/>
    <w:rsid w:val="00B077A8"/>
    <w:rsid w:val="00B12828"/>
    <w:rsid w:val="00B133BB"/>
    <w:rsid w:val="00B139FF"/>
    <w:rsid w:val="00B14FED"/>
    <w:rsid w:val="00B15D9B"/>
    <w:rsid w:val="00B15EE3"/>
    <w:rsid w:val="00B2047D"/>
    <w:rsid w:val="00B22689"/>
    <w:rsid w:val="00B253B7"/>
    <w:rsid w:val="00B27B61"/>
    <w:rsid w:val="00B27E0C"/>
    <w:rsid w:val="00B328AA"/>
    <w:rsid w:val="00B3793B"/>
    <w:rsid w:val="00B37EEB"/>
    <w:rsid w:val="00B417D4"/>
    <w:rsid w:val="00B42F9C"/>
    <w:rsid w:val="00B44499"/>
    <w:rsid w:val="00B44E08"/>
    <w:rsid w:val="00B47008"/>
    <w:rsid w:val="00B47035"/>
    <w:rsid w:val="00B4722F"/>
    <w:rsid w:val="00B477A1"/>
    <w:rsid w:val="00B47884"/>
    <w:rsid w:val="00B52360"/>
    <w:rsid w:val="00B52A09"/>
    <w:rsid w:val="00B57D96"/>
    <w:rsid w:val="00B60EBB"/>
    <w:rsid w:val="00B62C50"/>
    <w:rsid w:val="00B639B4"/>
    <w:rsid w:val="00B65827"/>
    <w:rsid w:val="00B6594B"/>
    <w:rsid w:val="00B661AC"/>
    <w:rsid w:val="00B6706E"/>
    <w:rsid w:val="00B70FF6"/>
    <w:rsid w:val="00B71C67"/>
    <w:rsid w:val="00B72CC1"/>
    <w:rsid w:val="00B73950"/>
    <w:rsid w:val="00B744E4"/>
    <w:rsid w:val="00B77D91"/>
    <w:rsid w:val="00B807B3"/>
    <w:rsid w:val="00B812E5"/>
    <w:rsid w:val="00B82996"/>
    <w:rsid w:val="00B83758"/>
    <w:rsid w:val="00B83CDA"/>
    <w:rsid w:val="00B86154"/>
    <w:rsid w:val="00B86C86"/>
    <w:rsid w:val="00B8711E"/>
    <w:rsid w:val="00B95440"/>
    <w:rsid w:val="00B9595D"/>
    <w:rsid w:val="00B95B93"/>
    <w:rsid w:val="00B970B4"/>
    <w:rsid w:val="00BA161B"/>
    <w:rsid w:val="00BA6A33"/>
    <w:rsid w:val="00BA6DE2"/>
    <w:rsid w:val="00BB5E4C"/>
    <w:rsid w:val="00BB5E98"/>
    <w:rsid w:val="00BC04F3"/>
    <w:rsid w:val="00BC1E2F"/>
    <w:rsid w:val="00BC2537"/>
    <w:rsid w:val="00BC4BD9"/>
    <w:rsid w:val="00BD0AB7"/>
    <w:rsid w:val="00BD1331"/>
    <w:rsid w:val="00BD14D7"/>
    <w:rsid w:val="00BD1725"/>
    <w:rsid w:val="00BD2944"/>
    <w:rsid w:val="00BD2A9E"/>
    <w:rsid w:val="00BD38AD"/>
    <w:rsid w:val="00BD4FB0"/>
    <w:rsid w:val="00BE0588"/>
    <w:rsid w:val="00BE09FF"/>
    <w:rsid w:val="00BE1BE1"/>
    <w:rsid w:val="00BE3533"/>
    <w:rsid w:val="00BE4E4B"/>
    <w:rsid w:val="00BE65D4"/>
    <w:rsid w:val="00BE7960"/>
    <w:rsid w:val="00BF04A9"/>
    <w:rsid w:val="00BF4150"/>
    <w:rsid w:val="00BF602E"/>
    <w:rsid w:val="00C009BD"/>
    <w:rsid w:val="00C0149E"/>
    <w:rsid w:val="00C01F9F"/>
    <w:rsid w:val="00C02E1C"/>
    <w:rsid w:val="00C03FD4"/>
    <w:rsid w:val="00C0604F"/>
    <w:rsid w:val="00C06706"/>
    <w:rsid w:val="00C10EB2"/>
    <w:rsid w:val="00C11029"/>
    <w:rsid w:val="00C11181"/>
    <w:rsid w:val="00C12505"/>
    <w:rsid w:val="00C12DC8"/>
    <w:rsid w:val="00C14C0F"/>
    <w:rsid w:val="00C17CB0"/>
    <w:rsid w:val="00C22606"/>
    <w:rsid w:val="00C23490"/>
    <w:rsid w:val="00C238C5"/>
    <w:rsid w:val="00C23CC5"/>
    <w:rsid w:val="00C247D4"/>
    <w:rsid w:val="00C26CC3"/>
    <w:rsid w:val="00C303DB"/>
    <w:rsid w:val="00C308E0"/>
    <w:rsid w:val="00C31642"/>
    <w:rsid w:val="00C31C38"/>
    <w:rsid w:val="00C33DDD"/>
    <w:rsid w:val="00C40209"/>
    <w:rsid w:val="00C413A2"/>
    <w:rsid w:val="00C45FBA"/>
    <w:rsid w:val="00C463C0"/>
    <w:rsid w:val="00C473D1"/>
    <w:rsid w:val="00C47E7E"/>
    <w:rsid w:val="00C50AE9"/>
    <w:rsid w:val="00C50CBE"/>
    <w:rsid w:val="00C52646"/>
    <w:rsid w:val="00C54EBE"/>
    <w:rsid w:val="00C566FF"/>
    <w:rsid w:val="00C56A0F"/>
    <w:rsid w:val="00C57B80"/>
    <w:rsid w:val="00C61185"/>
    <w:rsid w:val="00C66610"/>
    <w:rsid w:val="00C679F5"/>
    <w:rsid w:val="00C703B9"/>
    <w:rsid w:val="00C75C7E"/>
    <w:rsid w:val="00C75D9E"/>
    <w:rsid w:val="00C80B91"/>
    <w:rsid w:val="00C8220B"/>
    <w:rsid w:val="00C8288B"/>
    <w:rsid w:val="00C84B50"/>
    <w:rsid w:val="00C85469"/>
    <w:rsid w:val="00C92A7E"/>
    <w:rsid w:val="00C94A5A"/>
    <w:rsid w:val="00C97E99"/>
    <w:rsid w:val="00CA19DF"/>
    <w:rsid w:val="00CA6BEC"/>
    <w:rsid w:val="00CB1B3F"/>
    <w:rsid w:val="00CB28D7"/>
    <w:rsid w:val="00CB2FB2"/>
    <w:rsid w:val="00CB7946"/>
    <w:rsid w:val="00CB7A18"/>
    <w:rsid w:val="00CC0328"/>
    <w:rsid w:val="00CC03ED"/>
    <w:rsid w:val="00CC60E7"/>
    <w:rsid w:val="00CC7487"/>
    <w:rsid w:val="00CD2854"/>
    <w:rsid w:val="00CD586F"/>
    <w:rsid w:val="00CD706B"/>
    <w:rsid w:val="00CD7252"/>
    <w:rsid w:val="00CE06AF"/>
    <w:rsid w:val="00CE0EE4"/>
    <w:rsid w:val="00CE213B"/>
    <w:rsid w:val="00CE2E4D"/>
    <w:rsid w:val="00CF0AA6"/>
    <w:rsid w:val="00CF19C8"/>
    <w:rsid w:val="00CF3055"/>
    <w:rsid w:val="00CF6633"/>
    <w:rsid w:val="00CF6C89"/>
    <w:rsid w:val="00D076D0"/>
    <w:rsid w:val="00D1109B"/>
    <w:rsid w:val="00D1466F"/>
    <w:rsid w:val="00D16840"/>
    <w:rsid w:val="00D1734E"/>
    <w:rsid w:val="00D20FAA"/>
    <w:rsid w:val="00D21D09"/>
    <w:rsid w:val="00D21D7C"/>
    <w:rsid w:val="00D36A8C"/>
    <w:rsid w:val="00D4094D"/>
    <w:rsid w:val="00D428F4"/>
    <w:rsid w:val="00D43181"/>
    <w:rsid w:val="00D4536C"/>
    <w:rsid w:val="00D45C41"/>
    <w:rsid w:val="00D461DE"/>
    <w:rsid w:val="00D47AD5"/>
    <w:rsid w:val="00D50DE5"/>
    <w:rsid w:val="00D53522"/>
    <w:rsid w:val="00D53A5B"/>
    <w:rsid w:val="00D54B27"/>
    <w:rsid w:val="00D54CC0"/>
    <w:rsid w:val="00D55889"/>
    <w:rsid w:val="00D6032C"/>
    <w:rsid w:val="00D63BB4"/>
    <w:rsid w:val="00D63DA8"/>
    <w:rsid w:val="00D73A86"/>
    <w:rsid w:val="00D74BA3"/>
    <w:rsid w:val="00D804D2"/>
    <w:rsid w:val="00D81E2F"/>
    <w:rsid w:val="00D83060"/>
    <w:rsid w:val="00D83E86"/>
    <w:rsid w:val="00D8488A"/>
    <w:rsid w:val="00D84A2D"/>
    <w:rsid w:val="00D8749B"/>
    <w:rsid w:val="00D90526"/>
    <w:rsid w:val="00DA033A"/>
    <w:rsid w:val="00DA4896"/>
    <w:rsid w:val="00DA4CF2"/>
    <w:rsid w:val="00DB0CB6"/>
    <w:rsid w:val="00DB11D4"/>
    <w:rsid w:val="00DB227F"/>
    <w:rsid w:val="00DB4DD4"/>
    <w:rsid w:val="00DC3521"/>
    <w:rsid w:val="00DC5105"/>
    <w:rsid w:val="00DC721C"/>
    <w:rsid w:val="00DD0C9D"/>
    <w:rsid w:val="00DD20D1"/>
    <w:rsid w:val="00DD243B"/>
    <w:rsid w:val="00DD60AB"/>
    <w:rsid w:val="00DD64C5"/>
    <w:rsid w:val="00DE0632"/>
    <w:rsid w:val="00DE0B45"/>
    <w:rsid w:val="00DE14E2"/>
    <w:rsid w:val="00DE15AC"/>
    <w:rsid w:val="00DE1A3F"/>
    <w:rsid w:val="00DE2C36"/>
    <w:rsid w:val="00DE2F94"/>
    <w:rsid w:val="00DE4595"/>
    <w:rsid w:val="00DE6B35"/>
    <w:rsid w:val="00DE70C2"/>
    <w:rsid w:val="00DF0675"/>
    <w:rsid w:val="00DF4FE6"/>
    <w:rsid w:val="00DF6DD5"/>
    <w:rsid w:val="00DF6FDA"/>
    <w:rsid w:val="00DF7E2B"/>
    <w:rsid w:val="00E00D6C"/>
    <w:rsid w:val="00E05885"/>
    <w:rsid w:val="00E06A17"/>
    <w:rsid w:val="00E10BFB"/>
    <w:rsid w:val="00E11E46"/>
    <w:rsid w:val="00E1249A"/>
    <w:rsid w:val="00E12880"/>
    <w:rsid w:val="00E14D9E"/>
    <w:rsid w:val="00E15DD8"/>
    <w:rsid w:val="00E16BD0"/>
    <w:rsid w:val="00E16DA6"/>
    <w:rsid w:val="00E21904"/>
    <w:rsid w:val="00E21E99"/>
    <w:rsid w:val="00E2228E"/>
    <w:rsid w:val="00E2542C"/>
    <w:rsid w:val="00E2594F"/>
    <w:rsid w:val="00E30FFC"/>
    <w:rsid w:val="00E327A1"/>
    <w:rsid w:val="00E33B80"/>
    <w:rsid w:val="00E33EF0"/>
    <w:rsid w:val="00E34B56"/>
    <w:rsid w:val="00E370BF"/>
    <w:rsid w:val="00E37CB8"/>
    <w:rsid w:val="00E4016D"/>
    <w:rsid w:val="00E47449"/>
    <w:rsid w:val="00E510C4"/>
    <w:rsid w:val="00E510D4"/>
    <w:rsid w:val="00E530B7"/>
    <w:rsid w:val="00E54066"/>
    <w:rsid w:val="00E55123"/>
    <w:rsid w:val="00E611A2"/>
    <w:rsid w:val="00E61AF3"/>
    <w:rsid w:val="00E61BAB"/>
    <w:rsid w:val="00E64321"/>
    <w:rsid w:val="00E65A14"/>
    <w:rsid w:val="00E67094"/>
    <w:rsid w:val="00E701F7"/>
    <w:rsid w:val="00E71ACB"/>
    <w:rsid w:val="00E729CB"/>
    <w:rsid w:val="00E72F79"/>
    <w:rsid w:val="00E76746"/>
    <w:rsid w:val="00E777C8"/>
    <w:rsid w:val="00E8011B"/>
    <w:rsid w:val="00E8106F"/>
    <w:rsid w:val="00E8190A"/>
    <w:rsid w:val="00E81EE4"/>
    <w:rsid w:val="00E8222B"/>
    <w:rsid w:val="00E82DCD"/>
    <w:rsid w:val="00E83444"/>
    <w:rsid w:val="00E849E6"/>
    <w:rsid w:val="00E84DD9"/>
    <w:rsid w:val="00E870C1"/>
    <w:rsid w:val="00E909E6"/>
    <w:rsid w:val="00E90B70"/>
    <w:rsid w:val="00E91EEE"/>
    <w:rsid w:val="00E924EC"/>
    <w:rsid w:val="00E963AE"/>
    <w:rsid w:val="00E9715B"/>
    <w:rsid w:val="00EA27C3"/>
    <w:rsid w:val="00EA2BEE"/>
    <w:rsid w:val="00EA3CC2"/>
    <w:rsid w:val="00EA4D68"/>
    <w:rsid w:val="00EA5BD4"/>
    <w:rsid w:val="00EA5F36"/>
    <w:rsid w:val="00EA7A70"/>
    <w:rsid w:val="00EA7BE0"/>
    <w:rsid w:val="00EB15F9"/>
    <w:rsid w:val="00EB2319"/>
    <w:rsid w:val="00EB2AAE"/>
    <w:rsid w:val="00EC0057"/>
    <w:rsid w:val="00EC07F6"/>
    <w:rsid w:val="00EC1593"/>
    <w:rsid w:val="00EC19F9"/>
    <w:rsid w:val="00EC2DB7"/>
    <w:rsid w:val="00EC3B48"/>
    <w:rsid w:val="00EC5B03"/>
    <w:rsid w:val="00EC5E58"/>
    <w:rsid w:val="00ED0AB3"/>
    <w:rsid w:val="00ED1492"/>
    <w:rsid w:val="00ED211B"/>
    <w:rsid w:val="00ED3D1C"/>
    <w:rsid w:val="00ED5762"/>
    <w:rsid w:val="00ED7069"/>
    <w:rsid w:val="00ED7A59"/>
    <w:rsid w:val="00ED7B80"/>
    <w:rsid w:val="00EE087B"/>
    <w:rsid w:val="00EE0CC2"/>
    <w:rsid w:val="00EE14BA"/>
    <w:rsid w:val="00EE18F8"/>
    <w:rsid w:val="00EE1B06"/>
    <w:rsid w:val="00EE29AE"/>
    <w:rsid w:val="00EE3165"/>
    <w:rsid w:val="00EE31D9"/>
    <w:rsid w:val="00EE4433"/>
    <w:rsid w:val="00EE6FDA"/>
    <w:rsid w:val="00EF0C53"/>
    <w:rsid w:val="00EF24AB"/>
    <w:rsid w:val="00EF368A"/>
    <w:rsid w:val="00EF4FE0"/>
    <w:rsid w:val="00EF6F9D"/>
    <w:rsid w:val="00EF7495"/>
    <w:rsid w:val="00F038F0"/>
    <w:rsid w:val="00F04E2C"/>
    <w:rsid w:val="00F06CE8"/>
    <w:rsid w:val="00F0783D"/>
    <w:rsid w:val="00F13053"/>
    <w:rsid w:val="00F13C8B"/>
    <w:rsid w:val="00F13CB0"/>
    <w:rsid w:val="00F145DC"/>
    <w:rsid w:val="00F14E08"/>
    <w:rsid w:val="00F1749B"/>
    <w:rsid w:val="00F1782C"/>
    <w:rsid w:val="00F203B0"/>
    <w:rsid w:val="00F203BD"/>
    <w:rsid w:val="00F20CD7"/>
    <w:rsid w:val="00F210E9"/>
    <w:rsid w:val="00F2150A"/>
    <w:rsid w:val="00F22AF0"/>
    <w:rsid w:val="00F24E08"/>
    <w:rsid w:val="00F27F2F"/>
    <w:rsid w:val="00F33027"/>
    <w:rsid w:val="00F335B8"/>
    <w:rsid w:val="00F33929"/>
    <w:rsid w:val="00F35650"/>
    <w:rsid w:val="00F35BB4"/>
    <w:rsid w:val="00F36AEF"/>
    <w:rsid w:val="00F42C1C"/>
    <w:rsid w:val="00F44FD1"/>
    <w:rsid w:val="00F46031"/>
    <w:rsid w:val="00F46306"/>
    <w:rsid w:val="00F4744B"/>
    <w:rsid w:val="00F504FB"/>
    <w:rsid w:val="00F52598"/>
    <w:rsid w:val="00F546D3"/>
    <w:rsid w:val="00F55691"/>
    <w:rsid w:val="00F61821"/>
    <w:rsid w:val="00F62C31"/>
    <w:rsid w:val="00F6361F"/>
    <w:rsid w:val="00F656E4"/>
    <w:rsid w:val="00F65724"/>
    <w:rsid w:val="00F66273"/>
    <w:rsid w:val="00F66561"/>
    <w:rsid w:val="00F71390"/>
    <w:rsid w:val="00F729AB"/>
    <w:rsid w:val="00F72F62"/>
    <w:rsid w:val="00F73E1F"/>
    <w:rsid w:val="00F751B4"/>
    <w:rsid w:val="00F76BBF"/>
    <w:rsid w:val="00F77459"/>
    <w:rsid w:val="00F809EE"/>
    <w:rsid w:val="00F844E6"/>
    <w:rsid w:val="00F84BE4"/>
    <w:rsid w:val="00F865A3"/>
    <w:rsid w:val="00F87CA3"/>
    <w:rsid w:val="00F907B9"/>
    <w:rsid w:val="00F909DB"/>
    <w:rsid w:val="00F917EE"/>
    <w:rsid w:val="00F91D23"/>
    <w:rsid w:val="00F926E0"/>
    <w:rsid w:val="00F9314E"/>
    <w:rsid w:val="00F93609"/>
    <w:rsid w:val="00F9432D"/>
    <w:rsid w:val="00F9475F"/>
    <w:rsid w:val="00FA0C56"/>
    <w:rsid w:val="00FA5355"/>
    <w:rsid w:val="00FA5843"/>
    <w:rsid w:val="00FB23FB"/>
    <w:rsid w:val="00FB52C5"/>
    <w:rsid w:val="00FB6C2F"/>
    <w:rsid w:val="00FC0091"/>
    <w:rsid w:val="00FC10E9"/>
    <w:rsid w:val="00FC4FF0"/>
    <w:rsid w:val="00FC57BC"/>
    <w:rsid w:val="00FC5D7E"/>
    <w:rsid w:val="00FD01DC"/>
    <w:rsid w:val="00FD01E1"/>
    <w:rsid w:val="00FD13B2"/>
    <w:rsid w:val="00FD4DFC"/>
    <w:rsid w:val="00FD5F6E"/>
    <w:rsid w:val="00FD6173"/>
    <w:rsid w:val="00FE1BEA"/>
    <w:rsid w:val="00FE3132"/>
    <w:rsid w:val="00FE47F2"/>
    <w:rsid w:val="00FE60A0"/>
    <w:rsid w:val="00FE6C0D"/>
    <w:rsid w:val="00FF07D8"/>
    <w:rsid w:val="00FF10DD"/>
    <w:rsid w:val="00FF187B"/>
    <w:rsid w:val="00FF3C70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817EE"/>
  <w15:docId w15:val="{824AA1C6-FD6A-4177-8D05-E8B0B83D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EBB"/>
    <w:pPr>
      <w:spacing w:after="20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31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4A2D"/>
    <w:pPr>
      <w:keepNext/>
      <w:keepLines/>
      <w:spacing w:after="100"/>
      <w:outlineLvl w:val="1"/>
    </w:pPr>
    <w:rPr>
      <w:rFonts w:ascii="Calibri" w:eastAsia="Calibri" w:hAnsi="Calibri" w:cs="Calibri"/>
      <w:b/>
      <w:smallCaps/>
      <w:color w:val="008B98"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4A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84A2D"/>
    <w:rPr>
      <w:rFonts w:ascii="Calibri" w:eastAsia="Calibri" w:hAnsi="Calibri" w:cs="Calibri"/>
      <w:b/>
      <w:smallCaps/>
      <w:color w:val="008B98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4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A2D"/>
    <w:rPr>
      <w:rFonts w:ascii="Arial" w:eastAsia="Arial" w:hAnsi="Arial" w:cs="Arial"/>
      <w:lang w:eastAsia="pl-PL"/>
    </w:rPr>
  </w:style>
  <w:style w:type="character" w:styleId="Hipercze">
    <w:name w:val="Hyperlink"/>
    <w:basedOn w:val="Domylnaczcionkaakapitu"/>
    <w:unhideWhenUsed/>
    <w:qFormat/>
    <w:rsid w:val="00D84A2D"/>
    <w:rPr>
      <w:color w:val="4472C4" w:themeColor="accent1"/>
      <w:u w:val="single"/>
    </w:rPr>
  </w:style>
  <w:style w:type="table" w:styleId="Tabela-Siatka">
    <w:name w:val="Table Grid"/>
    <w:basedOn w:val="Standardowy"/>
    <w:uiPriority w:val="59"/>
    <w:rsid w:val="00D84A2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Name">
    <w:name w:val="ContactName"/>
    <w:basedOn w:val="Nagwek3"/>
    <w:qFormat/>
    <w:rsid w:val="00D84A2D"/>
    <w:pPr>
      <w:spacing w:before="0" w:line="216" w:lineRule="atLeast"/>
    </w:pPr>
    <w:rPr>
      <w:rFonts w:ascii="Calibri" w:eastAsia="Times New Roman" w:hAnsi="Calibri" w:cs="Times New Roman"/>
      <w:b/>
      <w:bCs/>
      <w:color w:val="008B98"/>
      <w:sz w:val="18"/>
      <w:lang w:val="en-GB" w:eastAsia="en-GB"/>
    </w:rPr>
  </w:style>
  <w:style w:type="paragraph" w:customStyle="1" w:styleId="ContactDetail">
    <w:name w:val="ContactDetail"/>
    <w:basedOn w:val="Normalny"/>
    <w:rsid w:val="00D84A2D"/>
    <w:pPr>
      <w:spacing w:after="0" w:line="216" w:lineRule="atLeast"/>
    </w:pPr>
    <w:rPr>
      <w:rFonts w:ascii="Calibri" w:eastAsia="Times New Roman" w:hAnsi="Calibri" w:cs="Times New Roman"/>
      <w:color w:val="000000"/>
      <w:sz w:val="18"/>
      <w:szCs w:val="24"/>
      <w:lang w:val="en-GB" w:eastAsia="en-GB"/>
    </w:rPr>
  </w:style>
  <w:style w:type="character" w:customStyle="1" w:styleId="Brak">
    <w:name w:val="Brak"/>
    <w:rsid w:val="00D84A2D"/>
  </w:style>
  <w:style w:type="character" w:customStyle="1" w:styleId="Hyperlink0">
    <w:name w:val="Hyperlink.0"/>
    <w:basedOn w:val="Brak"/>
    <w:rsid w:val="00D84A2D"/>
  </w:style>
  <w:style w:type="table" w:customStyle="1" w:styleId="PlainTable41">
    <w:name w:val="Plain Table 41"/>
    <w:basedOn w:val="Standardowy"/>
    <w:uiPriority w:val="44"/>
    <w:rsid w:val="00D84A2D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wykytekst">
    <w:name w:val="Plain Text"/>
    <w:basedOn w:val="Normalny"/>
    <w:link w:val="ZwykytekstZnak"/>
    <w:uiPriority w:val="99"/>
    <w:unhideWhenUsed/>
    <w:rsid w:val="00D84A2D"/>
    <w:pPr>
      <w:spacing w:after="0" w:line="240" w:lineRule="auto"/>
    </w:pPr>
    <w:rPr>
      <w:rFonts w:ascii="Calibri" w:eastAsia="Times New Roman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84A2D"/>
    <w:rPr>
      <w:rFonts w:ascii="Calibri" w:eastAsia="Times New Roman" w:hAnsi="Calibri" w:cs="Consolas"/>
      <w:szCs w:val="21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4A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F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2F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2FB2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F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FB2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FB2"/>
    <w:rPr>
      <w:rFonts w:ascii="Segoe UI" w:eastAsia="Arial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5323BE"/>
    <w:pPr>
      <w:spacing w:after="0" w:line="240" w:lineRule="auto"/>
    </w:pPr>
    <w:rPr>
      <w:rFonts w:ascii="Arial" w:eastAsia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6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6C95"/>
    <w:rPr>
      <w:rFonts w:ascii="Arial" w:eastAsia="Arial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6C9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7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D91"/>
    <w:rPr>
      <w:rFonts w:ascii="Arial" w:eastAsia="Arial" w:hAnsi="Arial" w:cs="Arial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7D9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B635B"/>
    <w:rPr>
      <w:color w:val="605E5C"/>
      <w:shd w:val="clear" w:color="auto" w:fill="E1DFDD"/>
    </w:rPr>
  </w:style>
  <w:style w:type="paragraph" w:customStyle="1" w:styleId="western">
    <w:name w:val="western"/>
    <w:basedOn w:val="Normalny"/>
    <w:rsid w:val="00FE3132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styleId="Pogrubienie">
    <w:name w:val="Strong"/>
    <w:basedOn w:val="Domylnaczcionkaakapitu"/>
    <w:uiPriority w:val="22"/>
    <w:qFormat/>
    <w:rsid w:val="00FE313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E313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Uwydatnienie">
    <w:name w:val="Emphasis"/>
    <w:basedOn w:val="Domylnaczcionkaakapitu"/>
    <w:uiPriority w:val="20"/>
    <w:qFormat/>
    <w:rsid w:val="00E909E6"/>
    <w:rPr>
      <w:i/>
      <w:iCs/>
    </w:rPr>
  </w:style>
  <w:style w:type="character" w:customStyle="1" w:styleId="cf01">
    <w:name w:val="cf01"/>
    <w:basedOn w:val="Domylnaczcionkaakapitu"/>
    <w:rsid w:val="00167436"/>
    <w:rPr>
      <w:rFonts w:ascii="Segoe UI" w:hAnsi="Segoe UI" w:cs="Segoe UI" w:hint="default"/>
      <w:sz w:val="18"/>
      <w:szCs w:val="18"/>
    </w:rPr>
  </w:style>
  <w:style w:type="character" w:customStyle="1" w:styleId="apple-converted-space">
    <w:name w:val="apple-converted-space"/>
    <w:basedOn w:val="Domylnaczcionkaakapitu"/>
    <w:rsid w:val="00775E16"/>
  </w:style>
  <w:style w:type="paragraph" w:styleId="Akapitzlist">
    <w:name w:val="List Paragraph"/>
    <w:basedOn w:val="Normalny"/>
    <w:uiPriority w:val="34"/>
    <w:qFormat/>
    <w:rsid w:val="00AF11EE"/>
    <w:pPr>
      <w:spacing w:after="0" w:line="240" w:lineRule="auto"/>
      <w:ind w:left="720"/>
    </w:pPr>
    <w:rPr>
      <w:rFonts w:ascii="Calibri" w:eastAsiaTheme="minorHAnsi" w:hAnsi="Calibri" w:cs="Calibri"/>
      <w:lang w:val="en-GB" w:eastAsia="en-GB"/>
      <w14:ligatures w14:val="standardContextual"/>
    </w:rPr>
  </w:style>
  <w:style w:type="paragraph" w:styleId="NormalnyWeb">
    <w:name w:val="Normal (Web)"/>
    <w:basedOn w:val="Normalny"/>
    <w:uiPriority w:val="99"/>
    <w:unhideWhenUsed/>
    <w:rsid w:val="00AF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11E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11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11EE"/>
    <w:rPr>
      <w:vertAlign w:val="superscript"/>
    </w:rPr>
  </w:style>
  <w:style w:type="character" w:customStyle="1" w:styleId="normaltextrun">
    <w:name w:val="normaltextrun"/>
    <w:basedOn w:val="Domylnaczcionkaakapitu"/>
    <w:rsid w:val="00C0604F"/>
  </w:style>
  <w:style w:type="character" w:customStyle="1" w:styleId="eop">
    <w:name w:val="eop"/>
    <w:basedOn w:val="Domylnaczcionkaakapitu"/>
    <w:rsid w:val="00C0604F"/>
  </w:style>
  <w:style w:type="paragraph" w:customStyle="1" w:styleId="pf0">
    <w:name w:val="pf0"/>
    <w:basedOn w:val="Normalny"/>
    <w:rsid w:val="00A12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C62B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70FF6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4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1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1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56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7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0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59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0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06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0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7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595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49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81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1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8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29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18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hmanwakefield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dia.poland@cushwake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irst.last@cushwak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44328-62E0-43FC-9C2F-58BA13ECC7E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05c9e18-d393-4470-8b67-9616c62ec31f}" enabled="1" method="Standard" siteId="{c5d1e823-e2b8-46bf-92ff-84f54313e0a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1044</Words>
  <Characters>6265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Pawel Bartoszewicz</cp:lastModifiedBy>
  <cp:revision>245</cp:revision>
  <dcterms:created xsi:type="dcterms:W3CDTF">2025-09-10T07:03:00Z</dcterms:created>
  <dcterms:modified xsi:type="dcterms:W3CDTF">2025-09-11T07:45:00Z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01c4386eb9a1dc9de2fec12738f87015bcc4ef4c8803dccae430c9e60e042de1</vt:lpwstr>
  </property>
  <property fmtid="{D5CDD505-2E9C-101B-9397-08002B2CF9AE}" pid="3" name="MSIP_Label_69dff614-0e67-44e8-ba58-20cc1388ebff_Enabled">
    <vt:lpwstr>true</vt:lpwstr>
  </property>
  <property fmtid="{D5CDD505-2E9C-101B-9397-08002B2CF9AE}" pid="4" name="MSIP_Label_69dff614-0e67-44e8-ba58-20cc1388ebff_SetDate">
    <vt:lpwstr>2024-11-20T08:03:05Z</vt:lpwstr>
  </property>
  <property fmtid="{D5CDD505-2E9C-101B-9397-08002B2CF9AE}" pid="5" name="MSIP_Label_69dff614-0e67-44e8-ba58-20cc1388ebff_Method">
    <vt:lpwstr>Standard</vt:lpwstr>
  </property>
  <property fmtid="{D5CDD505-2E9C-101B-9397-08002B2CF9AE}" pid="6" name="MSIP_Label_69dff614-0e67-44e8-ba58-20cc1388ebff_Name">
    <vt:lpwstr>defa4170-0d19-0005-0004-bc88714345d2</vt:lpwstr>
  </property>
  <property fmtid="{D5CDD505-2E9C-101B-9397-08002B2CF9AE}" pid="7" name="MSIP_Label_69dff614-0e67-44e8-ba58-20cc1388ebff_SiteId">
    <vt:lpwstr>2cf835d1-453b-472b-9b90-3f6d854ad75b</vt:lpwstr>
  </property>
  <property fmtid="{D5CDD505-2E9C-101B-9397-08002B2CF9AE}" pid="8" name="MSIP_Label_69dff614-0e67-44e8-ba58-20cc1388ebff_ActionId">
    <vt:lpwstr>8f2dc40b-f31d-4951-b2de-7b2d9e597d51</vt:lpwstr>
  </property>
  <property fmtid="{D5CDD505-2E9C-101B-9397-08002B2CF9AE}" pid="9" name="MSIP_Label_69dff614-0e67-44e8-ba58-20cc1388ebff_ContentBits">
    <vt:lpwstr>0</vt:lpwstr>
  </property>
</Properties>
</file>