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A0AC0" w14:textId="77777777" w:rsidR="007F128F" w:rsidRDefault="007F128F" w:rsidP="007F128F">
      <w:pPr>
        <w:spacing w:before="120" w:after="120" w:line="276" w:lineRule="auto"/>
        <w:rPr>
          <w:rFonts w:ascii="Calibri" w:eastAsia="Calibri" w:hAnsi="Calibri" w:cs="Calibri"/>
        </w:rPr>
      </w:pPr>
      <w:r w:rsidRPr="000A4A23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63EACE1E" wp14:editId="41F2375B">
            <wp:simplePos x="0" y="0"/>
            <wp:positionH relativeFrom="column">
              <wp:posOffset>2662555</wp:posOffset>
            </wp:positionH>
            <wp:positionV relativeFrom="paragraph">
              <wp:posOffset>-505460</wp:posOffset>
            </wp:positionV>
            <wp:extent cx="3276600" cy="1258080"/>
            <wp:effectExtent l="0" t="0" r="0" b="0"/>
            <wp:wrapNone/>
            <wp:docPr id="1119794409" name="Obraz 1" descr="Obraz zawierający tekst, zrzut ekranu, Czcionka, Jaskrawoniebiesk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794409" name="Obraz 1" descr="Obraz zawierający tekst, zrzut ekranu, Czcionka, Jaskrawoniebieski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25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5B2604" w14:textId="77777777" w:rsidR="007F128F" w:rsidRDefault="007F128F" w:rsidP="007F128F">
      <w:pPr>
        <w:spacing w:before="120" w:after="120" w:line="276" w:lineRule="auto"/>
        <w:rPr>
          <w:rFonts w:ascii="Calibri" w:eastAsia="Calibri" w:hAnsi="Calibri" w:cs="Calibri"/>
        </w:rPr>
      </w:pPr>
    </w:p>
    <w:p w14:paraId="7ACE3F1E" w14:textId="77777777" w:rsidR="007F128F" w:rsidRPr="005517FE" w:rsidRDefault="007F128F" w:rsidP="007F128F">
      <w:pPr>
        <w:spacing w:before="120" w:after="120" w:line="276" w:lineRule="auto"/>
        <w:rPr>
          <w:rFonts w:ascii="Calibri" w:eastAsia="Calibri" w:hAnsi="Calibri" w:cs="Calibri"/>
          <w:sz w:val="24"/>
          <w:szCs w:val="24"/>
        </w:rPr>
      </w:pPr>
    </w:p>
    <w:p w14:paraId="55584FAB" w14:textId="77777777" w:rsidR="007F128F" w:rsidRDefault="007F128F" w:rsidP="007F128F">
      <w:pPr>
        <w:spacing w:before="120" w:after="120" w:line="276" w:lineRule="auto"/>
        <w:rPr>
          <w:rFonts w:ascii="Calibri" w:eastAsia="Calibri" w:hAnsi="Calibri" w:cs="Calibri"/>
          <w:sz w:val="24"/>
          <w:szCs w:val="24"/>
        </w:rPr>
      </w:pPr>
    </w:p>
    <w:p w14:paraId="37F53102" w14:textId="77777777" w:rsidR="007F128F" w:rsidRPr="00103BC1" w:rsidRDefault="007F128F" w:rsidP="007F128F">
      <w:pPr>
        <w:spacing w:before="120" w:after="120" w:line="276" w:lineRule="auto"/>
        <w:rPr>
          <w:rFonts w:ascii="Calibri" w:eastAsia="Calibri" w:hAnsi="Calibri" w:cs="Calibri"/>
          <w:sz w:val="24"/>
          <w:szCs w:val="24"/>
        </w:rPr>
      </w:pPr>
      <w:r w:rsidRPr="00103BC1">
        <w:rPr>
          <w:rFonts w:ascii="Calibri" w:eastAsia="Calibri" w:hAnsi="Calibri" w:cs="Calibri"/>
          <w:sz w:val="24"/>
          <w:szCs w:val="24"/>
        </w:rPr>
        <w:t>Kontakt dla mediów:                                                                                             Informacja prasowa</w:t>
      </w:r>
    </w:p>
    <w:p w14:paraId="5465E40E" w14:textId="0678E276" w:rsidR="007F128F" w:rsidRPr="00103BC1" w:rsidRDefault="007F128F" w:rsidP="007F128F">
      <w:pPr>
        <w:spacing w:before="120" w:after="120" w:line="276" w:lineRule="auto"/>
        <w:rPr>
          <w:rFonts w:ascii="Calibri" w:eastAsia="Calibri" w:hAnsi="Calibri" w:cs="Calibri"/>
          <w:b/>
          <w:sz w:val="24"/>
          <w:szCs w:val="24"/>
        </w:rPr>
      </w:pPr>
      <w:r w:rsidRPr="00103BC1">
        <w:rPr>
          <w:rFonts w:ascii="Calibri" w:eastAsia="Calibri" w:hAnsi="Calibri" w:cs="Calibri"/>
          <w:sz w:val="24"/>
          <w:szCs w:val="24"/>
        </w:rPr>
        <w:t xml:space="preserve">e-mail: </w:t>
      </w:r>
      <w:hyperlink r:id="rId9">
        <w:r w:rsidRPr="00103BC1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media@parp.gov.pl</w:t>
        </w:r>
      </w:hyperlink>
      <w:r w:rsidRPr="00103BC1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Warszawa, </w:t>
      </w:r>
      <w:r>
        <w:rPr>
          <w:rFonts w:ascii="Calibri" w:eastAsia="Calibri" w:hAnsi="Calibri" w:cs="Calibri"/>
          <w:sz w:val="24"/>
          <w:szCs w:val="24"/>
        </w:rPr>
        <w:t>0</w:t>
      </w:r>
      <w:r w:rsidR="00477D9D">
        <w:rPr>
          <w:rFonts w:ascii="Calibri" w:eastAsia="Calibri" w:hAnsi="Calibri" w:cs="Calibri"/>
          <w:sz w:val="24"/>
          <w:szCs w:val="24"/>
        </w:rPr>
        <w:t>3</w:t>
      </w:r>
      <w:r w:rsidRPr="00103BC1">
        <w:rPr>
          <w:rFonts w:ascii="Calibri" w:eastAsia="Calibri" w:hAnsi="Calibri" w:cs="Calibri"/>
          <w:sz w:val="24"/>
          <w:szCs w:val="24"/>
        </w:rPr>
        <w:t>.0</w:t>
      </w:r>
      <w:r>
        <w:rPr>
          <w:rFonts w:ascii="Calibri" w:eastAsia="Calibri" w:hAnsi="Calibri" w:cs="Calibri"/>
          <w:sz w:val="24"/>
          <w:szCs w:val="24"/>
        </w:rPr>
        <w:t>9</w:t>
      </w:r>
      <w:r w:rsidRPr="00103BC1">
        <w:rPr>
          <w:rFonts w:ascii="Calibri" w:eastAsia="Calibri" w:hAnsi="Calibri" w:cs="Calibri"/>
          <w:sz w:val="24"/>
          <w:szCs w:val="24"/>
        </w:rPr>
        <w:t>.2025 r.</w:t>
      </w:r>
    </w:p>
    <w:p w14:paraId="57A11AE7" w14:textId="77777777" w:rsidR="006501D5" w:rsidRPr="000A3E78" w:rsidRDefault="006501D5" w:rsidP="007F128F">
      <w:pPr>
        <w:spacing w:before="120" w:after="120" w:line="276" w:lineRule="auto"/>
        <w:rPr>
          <w:rFonts w:cstheme="minorHAnsi"/>
          <w:sz w:val="24"/>
          <w:szCs w:val="24"/>
        </w:rPr>
      </w:pPr>
    </w:p>
    <w:p w14:paraId="0046BFA3" w14:textId="075F16B0" w:rsidR="00814082" w:rsidRDefault="00814082" w:rsidP="007F128F">
      <w:pPr>
        <w:pStyle w:val="Nagwek1"/>
        <w:spacing w:before="120" w:beforeAutospacing="0" w:after="120" w:afterAutospacing="0" w:line="276" w:lineRule="auto"/>
      </w:pPr>
      <w:r w:rsidRPr="00814082">
        <w:t>Wschód pełen możliwości</w:t>
      </w:r>
      <w:r>
        <w:t xml:space="preserve"> </w:t>
      </w:r>
      <w:r w:rsidR="00661D8A">
        <w:t>–</w:t>
      </w:r>
      <w:r>
        <w:t xml:space="preserve"> n</w:t>
      </w:r>
      <w:r w:rsidRPr="00814082">
        <w:t>owe fundusze dla Polski Wschodniej</w:t>
      </w:r>
    </w:p>
    <w:p w14:paraId="75B4E663" w14:textId="0CC3EDC9" w:rsidR="00AE106A" w:rsidRPr="00AE106A" w:rsidRDefault="00AE106A" w:rsidP="007F128F">
      <w:pPr>
        <w:spacing w:before="120" w:after="120" w:line="276" w:lineRule="auto"/>
        <w:rPr>
          <w:rFonts w:cstheme="minorHAnsi"/>
          <w:b/>
          <w:bCs/>
          <w:sz w:val="24"/>
          <w:szCs w:val="24"/>
        </w:rPr>
      </w:pPr>
      <w:r w:rsidRPr="00AE106A">
        <w:rPr>
          <w:rFonts w:cstheme="minorHAnsi"/>
          <w:b/>
          <w:bCs/>
          <w:sz w:val="24"/>
          <w:szCs w:val="24"/>
        </w:rPr>
        <w:t>Dzięki Funduszom Europejskim</w:t>
      </w:r>
      <w:r w:rsidR="006C5BBF">
        <w:rPr>
          <w:rFonts w:cstheme="minorHAnsi"/>
          <w:b/>
          <w:bCs/>
          <w:sz w:val="24"/>
          <w:szCs w:val="24"/>
        </w:rPr>
        <w:t xml:space="preserve"> dla Polski Wschodniej</w:t>
      </w:r>
      <w:r w:rsidRPr="00AE106A">
        <w:rPr>
          <w:rFonts w:cstheme="minorHAnsi"/>
          <w:b/>
          <w:bCs/>
          <w:sz w:val="24"/>
          <w:szCs w:val="24"/>
        </w:rPr>
        <w:t xml:space="preserve"> </w:t>
      </w:r>
      <w:r w:rsidR="006C5BBF">
        <w:rPr>
          <w:rFonts w:cstheme="minorHAnsi"/>
          <w:b/>
          <w:bCs/>
          <w:sz w:val="24"/>
          <w:szCs w:val="24"/>
        </w:rPr>
        <w:t xml:space="preserve">(FEPW) dostępnym </w:t>
      </w:r>
      <w:r w:rsidRPr="00AE106A">
        <w:rPr>
          <w:rFonts w:cstheme="minorHAnsi"/>
          <w:b/>
          <w:bCs/>
          <w:sz w:val="24"/>
          <w:szCs w:val="24"/>
        </w:rPr>
        <w:t>firmy z</w:t>
      </w:r>
      <w:r w:rsidR="00661D8A">
        <w:rPr>
          <w:rFonts w:cstheme="minorHAnsi"/>
          <w:b/>
          <w:bCs/>
          <w:sz w:val="24"/>
          <w:szCs w:val="24"/>
        </w:rPr>
        <w:t xml:space="preserve"> tego</w:t>
      </w:r>
      <w:r w:rsidRPr="00AE106A">
        <w:rPr>
          <w:rFonts w:cstheme="minorHAnsi"/>
          <w:b/>
          <w:bCs/>
          <w:sz w:val="24"/>
          <w:szCs w:val="24"/>
        </w:rPr>
        <w:t xml:space="preserve"> regionu zyskują szansę na sfinansowanie innowacyjnych pomysłów, skalowanie działań i inwestowanie w zieloną transformację. </w:t>
      </w:r>
      <w:r w:rsidR="00661D8A" w:rsidRPr="00AE106A">
        <w:rPr>
          <w:rFonts w:cstheme="minorHAnsi"/>
          <w:b/>
          <w:bCs/>
          <w:sz w:val="24"/>
          <w:szCs w:val="24"/>
        </w:rPr>
        <w:t>Polsk</w:t>
      </w:r>
      <w:r w:rsidR="00661D8A">
        <w:rPr>
          <w:rFonts w:cstheme="minorHAnsi"/>
          <w:b/>
          <w:bCs/>
          <w:sz w:val="24"/>
          <w:szCs w:val="24"/>
        </w:rPr>
        <w:t>a</w:t>
      </w:r>
      <w:r w:rsidR="00661D8A" w:rsidRPr="00AE106A">
        <w:rPr>
          <w:rFonts w:cstheme="minorHAnsi"/>
          <w:b/>
          <w:bCs/>
          <w:sz w:val="24"/>
          <w:szCs w:val="24"/>
        </w:rPr>
        <w:t xml:space="preserve"> Agencj</w:t>
      </w:r>
      <w:r w:rsidR="00661D8A">
        <w:rPr>
          <w:rFonts w:cstheme="minorHAnsi"/>
          <w:b/>
          <w:bCs/>
          <w:sz w:val="24"/>
          <w:szCs w:val="24"/>
        </w:rPr>
        <w:t>a</w:t>
      </w:r>
      <w:r w:rsidR="00661D8A" w:rsidRPr="00AE106A">
        <w:rPr>
          <w:rFonts w:cstheme="minorHAnsi"/>
          <w:b/>
          <w:bCs/>
          <w:sz w:val="24"/>
          <w:szCs w:val="24"/>
        </w:rPr>
        <w:t xml:space="preserve"> Rozwoju Przedsiębiorczości</w:t>
      </w:r>
      <w:r w:rsidR="00661D8A">
        <w:rPr>
          <w:rFonts w:cstheme="minorHAnsi"/>
          <w:b/>
          <w:bCs/>
          <w:sz w:val="24"/>
          <w:szCs w:val="24"/>
        </w:rPr>
        <w:t xml:space="preserve"> (PARP)</w:t>
      </w:r>
      <w:r w:rsidR="00661D8A" w:rsidRPr="00AE106A">
        <w:rPr>
          <w:rFonts w:cstheme="minorHAnsi"/>
          <w:b/>
          <w:bCs/>
          <w:sz w:val="24"/>
          <w:szCs w:val="24"/>
        </w:rPr>
        <w:t xml:space="preserve"> </w:t>
      </w:r>
      <w:r w:rsidR="00661D8A">
        <w:rPr>
          <w:rFonts w:cstheme="minorHAnsi"/>
          <w:b/>
          <w:bCs/>
          <w:sz w:val="24"/>
          <w:szCs w:val="24"/>
        </w:rPr>
        <w:t xml:space="preserve">uruchamia </w:t>
      </w:r>
      <w:r w:rsidRPr="00AE106A">
        <w:rPr>
          <w:rFonts w:cstheme="minorHAnsi"/>
          <w:b/>
          <w:bCs/>
          <w:sz w:val="24"/>
          <w:szCs w:val="24"/>
        </w:rPr>
        <w:t xml:space="preserve">nabory, których celem jest realne wsparcie lokalnych biznesów, modernizacja i zwiększenie konkurencyjności przedsiębiorstw </w:t>
      </w:r>
      <w:r w:rsidR="004C5C5B">
        <w:rPr>
          <w:rFonts w:cstheme="minorHAnsi"/>
          <w:b/>
          <w:bCs/>
          <w:sz w:val="24"/>
          <w:szCs w:val="24"/>
        </w:rPr>
        <w:t>–</w:t>
      </w:r>
      <w:r w:rsidRPr="00AE106A">
        <w:rPr>
          <w:rFonts w:cstheme="minorHAnsi"/>
          <w:b/>
          <w:bCs/>
          <w:sz w:val="24"/>
          <w:szCs w:val="24"/>
        </w:rPr>
        <w:t xml:space="preserve"> zarówno w Polsce, jak i za granicą.</w:t>
      </w:r>
    </w:p>
    <w:p w14:paraId="37F76D29" w14:textId="5385F310" w:rsidR="00AE106A" w:rsidRPr="007F128F" w:rsidRDefault="00AE106A" w:rsidP="007F128F">
      <w:pPr>
        <w:pStyle w:val="Nagwek2"/>
        <w:spacing w:before="120" w:after="120" w:line="276" w:lineRule="auto"/>
      </w:pPr>
      <w:r w:rsidRPr="007F128F">
        <w:t xml:space="preserve">Od pomysłu do biznesu – </w:t>
      </w:r>
      <w:r w:rsidR="00E6039A">
        <w:t>p</w:t>
      </w:r>
      <w:r w:rsidRPr="007F128F">
        <w:t>latformy startowe</w:t>
      </w:r>
    </w:p>
    <w:p w14:paraId="301F7463" w14:textId="728EB18F" w:rsidR="00AE106A" w:rsidRPr="00AE106A" w:rsidRDefault="00AE106A" w:rsidP="007F128F">
      <w:pPr>
        <w:spacing w:before="120" w:after="120" w:line="276" w:lineRule="auto"/>
        <w:rPr>
          <w:rFonts w:cstheme="minorHAnsi"/>
          <w:sz w:val="24"/>
          <w:szCs w:val="24"/>
        </w:rPr>
      </w:pPr>
      <w:r w:rsidRPr="00AE106A">
        <w:rPr>
          <w:rFonts w:cstheme="minorHAnsi"/>
          <w:sz w:val="24"/>
          <w:szCs w:val="24"/>
        </w:rPr>
        <w:t xml:space="preserve">Masz kreatywny projekt i działasz w regionie Polski Wschodniej? Zgłoś się do jednej z </w:t>
      </w:r>
      <w:r w:rsidR="00661D8A">
        <w:rPr>
          <w:rFonts w:cstheme="minorHAnsi"/>
          <w:b/>
          <w:bCs/>
          <w:sz w:val="24"/>
          <w:szCs w:val="24"/>
        </w:rPr>
        <w:t>p</w:t>
      </w:r>
      <w:r w:rsidRPr="00AE106A">
        <w:rPr>
          <w:rFonts w:cstheme="minorHAnsi"/>
          <w:b/>
          <w:bCs/>
          <w:sz w:val="24"/>
          <w:szCs w:val="24"/>
        </w:rPr>
        <w:t xml:space="preserve">latform </w:t>
      </w:r>
      <w:r w:rsidR="00661D8A">
        <w:rPr>
          <w:rFonts w:cstheme="minorHAnsi"/>
          <w:b/>
          <w:bCs/>
          <w:sz w:val="24"/>
          <w:szCs w:val="24"/>
        </w:rPr>
        <w:t>s</w:t>
      </w:r>
      <w:r w:rsidRPr="00AE106A">
        <w:rPr>
          <w:rFonts w:cstheme="minorHAnsi"/>
          <w:b/>
          <w:bCs/>
          <w:sz w:val="24"/>
          <w:szCs w:val="24"/>
        </w:rPr>
        <w:t>tartowych dla nowych pomysłów.</w:t>
      </w:r>
      <w:r w:rsidRPr="00AE106A">
        <w:rPr>
          <w:rFonts w:cstheme="minorHAnsi"/>
          <w:sz w:val="24"/>
          <w:szCs w:val="24"/>
        </w:rPr>
        <w:t xml:space="preserve"> To inkubatory, które pomagają przekuć pomysł </w:t>
      </w:r>
      <w:r w:rsidR="00661D8A">
        <w:rPr>
          <w:rFonts w:cstheme="minorHAnsi"/>
          <w:sz w:val="24"/>
          <w:szCs w:val="24"/>
        </w:rPr>
        <w:t>w</w:t>
      </w:r>
      <w:r w:rsidR="00661D8A" w:rsidRPr="00AE106A">
        <w:rPr>
          <w:rFonts w:cstheme="minorHAnsi"/>
          <w:sz w:val="24"/>
          <w:szCs w:val="24"/>
        </w:rPr>
        <w:t xml:space="preserve"> </w:t>
      </w:r>
      <w:r w:rsidRPr="00AE106A">
        <w:rPr>
          <w:rFonts w:cstheme="minorHAnsi"/>
          <w:sz w:val="24"/>
          <w:szCs w:val="24"/>
        </w:rPr>
        <w:t>funkcjonujący model biznesowy. Oferują kompleksowe wsparcie – od doradztwa merytorycznego, przez dostęp do ekspertów i specjalistów branżowych, aż po pomoc księgową i prawną. Dodatkowo zapewniają przestrzeń do pracy, wyposażoną w niezbędną infrastrukturę, abyś mógł skupić się na rozwoju swojego projektu.</w:t>
      </w:r>
    </w:p>
    <w:p w14:paraId="41C0CAAA" w14:textId="77777777" w:rsidR="00AE106A" w:rsidRPr="00AE106A" w:rsidRDefault="00AE106A" w:rsidP="007F128F">
      <w:pPr>
        <w:spacing w:before="120" w:after="120" w:line="276" w:lineRule="auto"/>
        <w:rPr>
          <w:rFonts w:cstheme="minorHAnsi"/>
          <w:sz w:val="24"/>
          <w:szCs w:val="24"/>
        </w:rPr>
      </w:pPr>
      <w:r w:rsidRPr="00AE106A">
        <w:rPr>
          <w:rFonts w:cstheme="minorHAnsi"/>
          <w:sz w:val="24"/>
          <w:szCs w:val="24"/>
        </w:rPr>
        <w:t>Każda platforma działa w odrębnym obszarze i koncentruje się na różnych dziedzinach nauki i biznesu, dzięki czemu startupy mogą liczyć na kompleksowe wsparcie dopasowane do swoich potrzeb:</w:t>
      </w:r>
    </w:p>
    <w:p w14:paraId="761ABA64" w14:textId="7FB15F46" w:rsidR="00AE106A" w:rsidRDefault="00AE106A" w:rsidP="007F128F">
      <w:pPr>
        <w:pStyle w:val="Akapitzlist"/>
        <w:numPr>
          <w:ilvl w:val="0"/>
          <w:numId w:val="22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AE106A">
        <w:rPr>
          <w:rFonts w:cstheme="minorHAnsi"/>
          <w:sz w:val="24"/>
          <w:szCs w:val="24"/>
        </w:rPr>
        <w:t>Unicorn Hub</w:t>
      </w:r>
      <w:r w:rsidR="00D6764B">
        <w:rPr>
          <w:rFonts w:cstheme="minorHAnsi"/>
          <w:sz w:val="24"/>
          <w:szCs w:val="24"/>
        </w:rPr>
        <w:t xml:space="preserve"> – edycja II</w:t>
      </w:r>
      <w:r w:rsidRPr="00AE106A">
        <w:rPr>
          <w:rFonts w:cstheme="minorHAnsi"/>
          <w:sz w:val="24"/>
          <w:szCs w:val="24"/>
        </w:rPr>
        <w:t xml:space="preserve"> (Lublin) – smart city, transport, motoryzacja, medycyna, ICT,</w:t>
      </w:r>
    </w:p>
    <w:p w14:paraId="721DECE8" w14:textId="1528E5FB" w:rsidR="00AE106A" w:rsidRDefault="00AE106A" w:rsidP="007F128F">
      <w:pPr>
        <w:pStyle w:val="Akapitzlist"/>
        <w:numPr>
          <w:ilvl w:val="0"/>
          <w:numId w:val="22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AE106A">
        <w:rPr>
          <w:rFonts w:cstheme="minorHAnsi"/>
          <w:sz w:val="24"/>
          <w:szCs w:val="24"/>
        </w:rPr>
        <w:t>Wschodni Akcelerator Biznesu</w:t>
      </w:r>
      <w:r w:rsidR="00D6764B">
        <w:rPr>
          <w:rFonts w:cstheme="minorHAnsi"/>
          <w:sz w:val="24"/>
          <w:szCs w:val="24"/>
        </w:rPr>
        <w:t xml:space="preserve"> 2</w:t>
      </w:r>
      <w:r w:rsidRPr="00AE106A">
        <w:rPr>
          <w:rFonts w:cstheme="minorHAnsi"/>
          <w:sz w:val="24"/>
          <w:szCs w:val="24"/>
        </w:rPr>
        <w:t xml:space="preserve"> (Puławy) – ekologia, żywność rolno-spożywcza, ICT,</w:t>
      </w:r>
    </w:p>
    <w:p w14:paraId="22272408" w14:textId="77777777" w:rsidR="00AE106A" w:rsidRDefault="00AE106A" w:rsidP="007F128F">
      <w:pPr>
        <w:pStyle w:val="Akapitzlist"/>
        <w:numPr>
          <w:ilvl w:val="0"/>
          <w:numId w:val="22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AE106A">
        <w:rPr>
          <w:rFonts w:cstheme="minorHAnsi"/>
          <w:sz w:val="24"/>
          <w:szCs w:val="24"/>
        </w:rPr>
        <w:t>Start in Podkarpackie (Rzeszów, Mielec) – lotnictwo, motoryzacja, budownictwo, ICT,</w:t>
      </w:r>
    </w:p>
    <w:p w14:paraId="4DEF0072" w14:textId="212317E9" w:rsidR="00AE106A" w:rsidRDefault="00AE106A" w:rsidP="007F128F">
      <w:pPr>
        <w:pStyle w:val="Akapitzlist"/>
        <w:numPr>
          <w:ilvl w:val="0"/>
          <w:numId w:val="22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AE106A">
        <w:rPr>
          <w:rFonts w:cstheme="minorHAnsi"/>
          <w:sz w:val="24"/>
          <w:szCs w:val="24"/>
        </w:rPr>
        <w:t xml:space="preserve">Hub of Talents </w:t>
      </w:r>
      <w:r w:rsidR="00D6764B">
        <w:rPr>
          <w:rFonts w:cstheme="minorHAnsi"/>
          <w:sz w:val="24"/>
          <w:szCs w:val="24"/>
        </w:rPr>
        <w:t>3</w:t>
      </w:r>
      <w:r w:rsidRPr="00AE106A">
        <w:rPr>
          <w:rFonts w:cstheme="minorHAnsi"/>
          <w:sz w:val="24"/>
          <w:szCs w:val="24"/>
        </w:rPr>
        <w:t xml:space="preserve"> (Białystok, Łomża) – przemysł metalowo-maszynowy, ICT</w:t>
      </w:r>
      <w:r w:rsidR="00C5461F">
        <w:rPr>
          <w:rFonts w:cstheme="minorHAnsi"/>
          <w:sz w:val="24"/>
          <w:szCs w:val="24"/>
        </w:rPr>
        <w:t>.</w:t>
      </w:r>
    </w:p>
    <w:p w14:paraId="6FB90CE9" w14:textId="4C2D5A4A" w:rsidR="00C5461F" w:rsidRDefault="00C5461F" w:rsidP="007F128F">
      <w:pPr>
        <w:pStyle w:val="Akapitzlist"/>
        <w:numPr>
          <w:ilvl w:val="0"/>
          <w:numId w:val="22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C5461F">
        <w:rPr>
          <w:rFonts w:cstheme="minorHAnsi"/>
          <w:sz w:val="24"/>
          <w:szCs w:val="24"/>
        </w:rPr>
        <w:t>HugeTECH Revolution</w:t>
      </w:r>
      <w:r>
        <w:rPr>
          <w:rFonts w:cstheme="minorHAnsi"/>
          <w:sz w:val="24"/>
          <w:szCs w:val="24"/>
        </w:rPr>
        <w:t xml:space="preserve"> (Rzeszów) – medycyna,</w:t>
      </w:r>
    </w:p>
    <w:p w14:paraId="728B193D" w14:textId="59CC1878" w:rsidR="00C5461F" w:rsidRPr="00AE106A" w:rsidRDefault="00C5461F" w:rsidP="007F128F">
      <w:pPr>
        <w:pStyle w:val="Akapitzlist"/>
        <w:numPr>
          <w:ilvl w:val="0"/>
          <w:numId w:val="22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C5461F">
        <w:rPr>
          <w:rFonts w:cstheme="minorHAnsi"/>
          <w:sz w:val="24"/>
          <w:szCs w:val="24"/>
        </w:rPr>
        <w:t>Centralny Akcelerator Innowacji – Mazovian StartUPolis</w:t>
      </w:r>
      <w:r>
        <w:rPr>
          <w:rFonts w:cstheme="minorHAnsi"/>
          <w:sz w:val="24"/>
          <w:szCs w:val="24"/>
        </w:rPr>
        <w:t xml:space="preserve"> (Radom) - </w:t>
      </w:r>
      <w:r w:rsidRPr="00AE106A">
        <w:rPr>
          <w:rFonts w:cstheme="minorHAnsi"/>
          <w:sz w:val="24"/>
          <w:szCs w:val="24"/>
        </w:rPr>
        <w:t>ekologia, żywność rolno-spożywcza</w:t>
      </w:r>
      <w:r>
        <w:rPr>
          <w:rFonts w:cstheme="minorHAnsi"/>
          <w:sz w:val="24"/>
          <w:szCs w:val="24"/>
        </w:rPr>
        <w:t>, energia.</w:t>
      </w:r>
    </w:p>
    <w:p w14:paraId="64F0FFBC" w14:textId="68F58313" w:rsidR="00AE106A" w:rsidRPr="00AE106A" w:rsidRDefault="00AE106A" w:rsidP="007F128F">
      <w:pPr>
        <w:spacing w:before="120" w:after="120" w:line="276" w:lineRule="auto"/>
        <w:rPr>
          <w:rFonts w:cstheme="minorHAnsi"/>
          <w:sz w:val="24"/>
          <w:szCs w:val="24"/>
        </w:rPr>
      </w:pPr>
      <w:r w:rsidRPr="00AE106A">
        <w:rPr>
          <w:rFonts w:cstheme="minorHAnsi"/>
          <w:sz w:val="24"/>
          <w:szCs w:val="24"/>
        </w:rPr>
        <w:t xml:space="preserve">To właśnie różnorodna oferta i możliwość wyboru sprawiają, że niemal każdy kreatywny pomysł może stać się rzeczywistością. Początkujący przedsiębiorcy, dzięki wsparciu wybranej </w:t>
      </w:r>
      <w:r w:rsidR="004C5C5B">
        <w:rPr>
          <w:rFonts w:cstheme="minorHAnsi"/>
          <w:sz w:val="24"/>
          <w:szCs w:val="24"/>
        </w:rPr>
        <w:t>p</w:t>
      </w:r>
      <w:r w:rsidRPr="00AE106A">
        <w:rPr>
          <w:rFonts w:cstheme="minorHAnsi"/>
          <w:sz w:val="24"/>
          <w:szCs w:val="24"/>
        </w:rPr>
        <w:t xml:space="preserve">latformy </w:t>
      </w:r>
      <w:r w:rsidR="004C5C5B">
        <w:rPr>
          <w:rFonts w:cstheme="minorHAnsi"/>
          <w:sz w:val="24"/>
          <w:szCs w:val="24"/>
        </w:rPr>
        <w:t>s</w:t>
      </w:r>
      <w:r w:rsidRPr="00AE106A">
        <w:rPr>
          <w:rFonts w:cstheme="minorHAnsi"/>
          <w:sz w:val="24"/>
          <w:szCs w:val="24"/>
        </w:rPr>
        <w:t>tartowej, otrzymują idealne warunki do dopracowania nowatorskich projektów od etapu koncepcji, przez stworzenie MVP, aż po przygotowanie do wejścia na rynek.</w:t>
      </w:r>
    </w:p>
    <w:p w14:paraId="0C8FC5D6" w14:textId="2DB25103" w:rsidR="00AE106A" w:rsidRPr="007F128F" w:rsidRDefault="00AE106A" w:rsidP="007F128F">
      <w:pPr>
        <w:pStyle w:val="Nagwek2"/>
        <w:spacing w:before="120" w:after="120" w:line="276" w:lineRule="auto"/>
      </w:pPr>
      <w:r w:rsidRPr="007F128F">
        <w:lastRenderedPageBreak/>
        <w:t xml:space="preserve">Komponent IIa </w:t>
      </w:r>
      <w:r w:rsidR="004C5C5B">
        <w:t>–</w:t>
      </w:r>
      <w:r w:rsidRPr="007F128F">
        <w:t xml:space="preserve"> do 600 tys. zł na rozwój młodych spółek</w:t>
      </w:r>
    </w:p>
    <w:p w14:paraId="02A563DC" w14:textId="2CDAA327" w:rsidR="00AE106A" w:rsidRPr="00857910" w:rsidRDefault="00AE106A" w:rsidP="007F128F">
      <w:pPr>
        <w:spacing w:before="120" w:after="120" w:line="276" w:lineRule="auto"/>
        <w:rPr>
          <w:rFonts w:cstheme="minorHAnsi"/>
          <w:sz w:val="24"/>
          <w:szCs w:val="24"/>
        </w:rPr>
      </w:pPr>
      <w:r w:rsidRPr="00857910">
        <w:rPr>
          <w:rFonts w:cstheme="minorHAnsi"/>
          <w:sz w:val="24"/>
          <w:szCs w:val="24"/>
        </w:rPr>
        <w:t xml:space="preserve">Dla wielu firm zakończenie inkubacji to dopiero początek prawdziwych wyzwań. Z pomocą przychodzi </w:t>
      </w:r>
      <w:r w:rsidR="00E6039A">
        <w:rPr>
          <w:rFonts w:cstheme="minorHAnsi"/>
          <w:sz w:val="24"/>
          <w:szCs w:val="24"/>
        </w:rPr>
        <w:t>„</w:t>
      </w:r>
      <w:r w:rsidRPr="00857910">
        <w:rPr>
          <w:rFonts w:cstheme="minorHAnsi"/>
          <w:b/>
          <w:bCs/>
          <w:sz w:val="24"/>
          <w:szCs w:val="24"/>
        </w:rPr>
        <w:t>Komponent IIa – Wsparcie rozwoju działalności gospodarczej startupu</w:t>
      </w:r>
      <w:r w:rsidR="00E6039A">
        <w:rPr>
          <w:rFonts w:cstheme="minorHAnsi"/>
          <w:b/>
          <w:bCs/>
          <w:sz w:val="24"/>
          <w:szCs w:val="24"/>
        </w:rPr>
        <w:t>”</w:t>
      </w:r>
      <w:r w:rsidRPr="00857910">
        <w:rPr>
          <w:rFonts w:cstheme="minorHAnsi"/>
          <w:sz w:val="24"/>
          <w:szCs w:val="24"/>
        </w:rPr>
        <w:t xml:space="preserve">. To program dla młodych spółek kapitałowych, które </w:t>
      </w:r>
      <w:r w:rsidR="004C5C5B">
        <w:rPr>
          <w:rFonts w:cstheme="minorHAnsi"/>
          <w:sz w:val="24"/>
          <w:szCs w:val="24"/>
        </w:rPr>
        <w:t>m</w:t>
      </w:r>
      <w:r w:rsidR="004C5C5B" w:rsidRPr="00857910">
        <w:rPr>
          <w:rFonts w:cstheme="minorHAnsi"/>
          <w:sz w:val="24"/>
          <w:szCs w:val="24"/>
        </w:rPr>
        <w:t xml:space="preserve">ają </w:t>
      </w:r>
      <w:r w:rsidRPr="00857910">
        <w:rPr>
          <w:rFonts w:cstheme="minorHAnsi"/>
          <w:sz w:val="24"/>
          <w:szCs w:val="24"/>
        </w:rPr>
        <w:t>już prototyp i sprawdzony model biznesowy, ale potrzebują funduszy, by rozwinąć skrzydła.</w:t>
      </w:r>
    </w:p>
    <w:p w14:paraId="4C23DEF2" w14:textId="77777777" w:rsidR="00AE106A" w:rsidRPr="00857910" w:rsidRDefault="00AE106A" w:rsidP="007F128F">
      <w:pPr>
        <w:spacing w:before="120" w:after="120" w:line="276" w:lineRule="auto"/>
        <w:rPr>
          <w:rFonts w:cstheme="minorHAnsi"/>
          <w:sz w:val="24"/>
          <w:szCs w:val="24"/>
        </w:rPr>
      </w:pPr>
      <w:r w:rsidRPr="00857910">
        <w:rPr>
          <w:rFonts w:cstheme="minorHAnsi"/>
          <w:sz w:val="24"/>
          <w:szCs w:val="24"/>
        </w:rPr>
        <w:t xml:space="preserve">W ramach wsparcia można otrzymać nawet 600 tys. zł, które można przeznaczyć na: </w:t>
      </w:r>
    </w:p>
    <w:p w14:paraId="5D177857" w14:textId="77777777" w:rsidR="00857910" w:rsidRDefault="00AE106A" w:rsidP="007F128F">
      <w:pPr>
        <w:spacing w:before="120" w:after="120" w:line="276" w:lineRule="auto"/>
        <w:rPr>
          <w:rFonts w:cstheme="minorHAnsi"/>
          <w:b/>
          <w:bCs/>
          <w:sz w:val="24"/>
          <w:szCs w:val="24"/>
        </w:rPr>
      </w:pPr>
      <w:r w:rsidRPr="00857910">
        <w:rPr>
          <w:rFonts w:cstheme="minorHAnsi"/>
          <w:b/>
          <w:bCs/>
          <w:sz w:val="24"/>
          <w:szCs w:val="24"/>
        </w:rPr>
        <w:t>Koszty bezpośrednie:</w:t>
      </w:r>
    </w:p>
    <w:p w14:paraId="5716495A" w14:textId="738C0136" w:rsidR="00857910" w:rsidRPr="00857910" w:rsidRDefault="00AE106A" w:rsidP="007F128F">
      <w:pPr>
        <w:pStyle w:val="Akapitzlist"/>
        <w:numPr>
          <w:ilvl w:val="0"/>
          <w:numId w:val="24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857910">
        <w:rPr>
          <w:rFonts w:cstheme="minorHAnsi"/>
          <w:sz w:val="24"/>
          <w:szCs w:val="24"/>
        </w:rPr>
        <w:t>środki trwałe (np. sprzęt, maszyny, urządzenia potrzebne do wdrożenia produktu),</w:t>
      </w:r>
    </w:p>
    <w:p w14:paraId="67D5FF28" w14:textId="77777777" w:rsidR="00857910" w:rsidRPr="00857910" w:rsidRDefault="00AE106A" w:rsidP="007F128F">
      <w:pPr>
        <w:pStyle w:val="Akapitzlist"/>
        <w:numPr>
          <w:ilvl w:val="0"/>
          <w:numId w:val="23"/>
        </w:numPr>
        <w:spacing w:before="120" w:after="120" w:line="276" w:lineRule="auto"/>
        <w:rPr>
          <w:rFonts w:cstheme="minorHAnsi"/>
          <w:b/>
          <w:bCs/>
          <w:sz w:val="24"/>
          <w:szCs w:val="24"/>
        </w:rPr>
      </w:pPr>
      <w:r w:rsidRPr="00857910">
        <w:rPr>
          <w:rFonts w:cstheme="minorHAnsi"/>
          <w:sz w:val="24"/>
          <w:szCs w:val="24"/>
        </w:rPr>
        <w:t>wartości niematerialne i prawne (np. oprogramowanie, licencje),</w:t>
      </w:r>
    </w:p>
    <w:p w14:paraId="6E1D3099" w14:textId="77777777" w:rsidR="00857910" w:rsidRPr="00857910" w:rsidRDefault="00AE106A" w:rsidP="007F128F">
      <w:pPr>
        <w:pStyle w:val="Akapitzlist"/>
        <w:numPr>
          <w:ilvl w:val="0"/>
          <w:numId w:val="23"/>
        </w:numPr>
        <w:spacing w:before="120" w:after="120" w:line="276" w:lineRule="auto"/>
        <w:rPr>
          <w:rFonts w:cstheme="minorHAnsi"/>
          <w:b/>
          <w:bCs/>
          <w:sz w:val="24"/>
          <w:szCs w:val="24"/>
        </w:rPr>
      </w:pPr>
      <w:r w:rsidRPr="00857910">
        <w:rPr>
          <w:rFonts w:cstheme="minorHAnsi"/>
          <w:sz w:val="24"/>
          <w:szCs w:val="24"/>
        </w:rPr>
        <w:t xml:space="preserve">wynagrodzenia zespołu, </w:t>
      </w:r>
    </w:p>
    <w:p w14:paraId="74277411" w14:textId="77777777" w:rsidR="00857910" w:rsidRPr="00857910" w:rsidRDefault="00AE106A" w:rsidP="007F128F">
      <w:pPr>
        <w:pStyle w:val="Akapitzlist"/>
        <w:numPr>
          <w:ilvl w:val="0"/>
          <w:numId w:val="23"/>
        </w:numPr>
        <w:spacing w:before="120" w:after="120" w:line="276" w:lineRule="auto"/>
        <w:rPr>
          <w:rFonts w:cstheme="minorHAnsi"/>
          <w:b/>
          <w:bCs/>
          <w:sz w:val="24"/>
          <w:szCs w:val="24"/>
        </w:rPr>
      </w:pPr>
      <w:r w:rsidRPr="00857910">
        <w:rPr>
          <w:rFonts w:cstheme="minorHAnsi"/>
          <w:sz w:val="24"/>
          <w:szCs w:val="24"/>
        </w:rPr>
        <w:t xml:space="preserve">usługi zewnętrzne (np. doradztwo biznesowe, marketingowe, prawne, badania, usługi ICT), </w:t>
      </w:r>
    </w:p>
    <w:p w14:paraId="7EEAD91F" w14:textId="16DB3FB3" w:rsidR="00AE106A" w:rsidRPr="00857910" w:rsidRDefault="00AE106A" w:rsidP="007F128F">
      <w:pPr>
        <w:pStyle w:val="Akapitzlist"/>
        <w:numPr>
          <w:ilvl w:val="0"/>
          <w:numId w:val="23"/>
        </w:numPr>
        <w:spacing w:before="120" w:after="120" w:line="276" w:lineRule="auto"/>
        <w:rPr>
          <w:rFonts w:cstheme="minorHAnsi"/>
          <w:b/>
          <w:bCs/>
          <w:sz w:val="24"/>
          <w:szCs w:val="24"/>
        </w:rPr>
      </w:pPr>
      <w:r w:rsidRPr="00857910">
        <w:rPr>
          <w:rFonts w:cstheme="minorHAnsi"/>
          <w:sz w:val="24"/>
          <w:szCs w:val="24"/>
        </w:rPr>
        <w:t xml:space="preserve">zakup surowców i materiałów. </w:t>
      </w:r>
    </w:p>
    <w:p w14:paraId="37BD1F95" w14:textId="73C97FFA" w:rsidR="00857910" w:rsidRDefault="00AE106A" w:rsidP="007F128F">
      <w:pPr>
        <w:spacing w:before="120" w:after="120" w:line="276" w:lineRule="auto"/>
        <w:rPr>
          <w:rFonts w:cstheme="minorHAnsi"/>
          <w:sz w:val="24"/>
          <w:szCs w:val="24"/>
        </w:rPr>
      </w:pPr>
      <w:r w:rsidRPr="00857910">
        <w:rPr>
          <w:rFonts w:cstheme="minorHAnsi"/>
          <w:b/>
          <w:bCs/>
          <w:sz w:val="24"/>
          <w:szCs w:val="24"/>
        </w:rPr>
        <w:t>Koszty pośrednie</w:t>
      </w:r>
      <w:r w:rsidRPr="00857910">
        <w:rPr>
          <w:rFonts w:cstheme="minorHAnsi"/>
          <w:sz w:val="24"/>
          <w:szCs w:val="24"/>
        </w:rPr>
        <w:t xml:space="preserve"> </w:t>
      </w:r>
      <w:r w:rsidR="00A854E1">
        <w:rPr>
          <w:rFonts w:cstheme="minorHAnsi"/>
          <w:sz w:val="24"/>
          <w:szCs w:val="24"/>
        </w:rPr>
        <w:t>–</w:t>
      </w:r>
      <w:r w:rsidRPr="00857910">
        <w:rPr>
          <w:rFonts w:cstheme="minorHAnsi"/>
          <w:sz w:val="24"/>
          <w:szCs w:val="24"/>
        </w:rPr>
        <w:t xml:space="preserve"> rozliczane w formie ryczałtu, wynoszące ma</w:t>
      </w:r>
      <w:r w:rsidR="00A854E1">
        <w:rPr>
          <w:rFonts w:cstheme="minorHAnsi"/>
          <w:sz w:val="24"/>
          <w:szCs w:val="24"/>
        </w:rPr>
        <w:t>ks</w:t>
      </w:r>
      <w:r w:rsidRPr="00857910">
        <w:rPr>
          <w:rFonts w:cstheme="minorHAnsi"/>
          <w:sz w:val="24"/>
          <w:szCs w:val="24"/>
        </w:rPr>
        <w:t>.</w:t>
      </w:r>
      <w:r w:rsidR="00A854E1">
        <w:rPr>
          <w:rFonts w:cstheme="minorHAnsi"/>
          <w:sz w:val="24"/>
          <w:szCs w:val="24"/>
        </w:rPr>
        <w:t xml:space="preserve"> </w:t>
      </w:r>
      <w:r w:rsidRPr="00857910">
        <w:rPr>
          <w:rFonts w:cstheme="minorHAnsi"/>
          <w:sz w:val="24"/>
          <w:szCs w:val="24"/>
        </w:rPr>
        <w:t>15% wartości kosztów wynagrodzeń personelu:</w:t>
      </w:r>
    </w:p>
    <w:p w14:paraId="7525F9F8" w14:textId="77777777" w:rsidR="00857910" w:rsidRDefault="00AE106A" w:rsidP="007F128F">
      <w:pPr>
        <w:pStyle w:val="Akapitzlist"/>
        <w:numPr>
          <w:ilvl w:val="0"/>
          <w:numId w:val="25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857910">
        <w:rPr>
          <w:rFonts w:cstheme="minorHAnsi"/>
          <w:sz w:val="24"/>
          <w:szCs w:val="24"/>
        </w:rPr>
        <w:t xml:space="preserve">koszty administracyjne i organizacyjne, </w:t>
      </w:r>
    </w:p>
    <w:p w14:paraId="71970305" w14:textId="77777777" w:rsidR="00857910" w:rsidRDefault="00AE106A" w:rsidP="007F128F">
      <w:pPr>
        <w:pStyle w:val="Akapitzlist"/>
        <w:numPr>
          <w:ilvl w:val="0"/>
          <w:numId w:val="25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857910">
        <w:rPr>
          <w:rFonts w:cstheme="minorHAnsi"/>
          <w:sz w:val="24"/>
          <w:szCs w:val="24"/>
        </w:rPr>
        <w:t xml:space="preserve">wynajem i utrzymanie powierzchni biurowych, </w:t>
      </w:r>
    </w:p>
    <w:p w14:paraId="072645E0" w14:textId="143F8F9C" w:rsidR="00AE106A" w:rsidRPr="00857910" w:rsidRDefault="00A854E1" w:rsidP="007F128F">
      <w:pPr>
        <w:pStyle w:val="Akapitzlist"/>
        <w:numPr>
          <w:ilvl w:val="0"/>
          <w:numId w:val="25"/>
        </w:numPr>
        <w:spacing w:before="120"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AE106A" w:rsidRPr="00857910">
        <w:rPr>
          <w:rFonts w:cstheme="minorHAnsi"/>
          <w:sz w:val="24"/>
          <w:szCs w:val="24"/>
        </w:rPr>
        <w:t xml:space="preserve">nne koszty związane z realizacją projektu, zgodne z regulaminem konkursu. </w:t>
      </w:r>
    </w:p>
    <w:p w14:paraId="30F4CAAC" w14:textId="65751BD3" w:rsidR="00AE106A" w:rsidRPr="00857910" w:rsidRDefault="00AE106A" w:rsidP="007F128F">
      <w:pPr>
        <w:spacing w:before="120" w:after="120" w:line="276" w:lineRule="auto"/>
        <w:rPr>
          <w:rFonts w:cstheme="minorHAnsi"/>
          <w:sz w:val="24"/>
          <w:szCs w:val="24"/>
        </w:rPr>
      </w:pPr>
      <w:r w:rsidRPr="00857910">
        <w:rPr>
          <w:rFonts w:cstheme="minorHAnsi"/>
          <w:sz w:val="24"/>
          <w:szCs w:val="24"/>
        </w:rPr>
        <w:t xml:space="preserve">Dzięki temu wsparciu startupy mogą szybko przejść od fazy testów i prób do regularnej sprzedaży, a następnie budować swoją pozycję na rynku. Komponent IIa to nie tylko zastrzyk finansowy, ale przede wszystkim prosta droga do odważnego patrzenia w przyszłość i szybkiego skalowania biznesu. </w:t>
      </w:r>
    </w:p>
    <w:p w14:paraId="3A0FF3DD" w14:textId="77777777" w:rsidR="00AE106A" w:rsidRPr="007F128F" w:rsidRDefault="00AE106A" w:rsidP="007F128F">
      <w:pPr>
        <w:pStyle w:val="Nagwek2"/>
        <w:spacing w:before="120" w:after="120" w:line="276" w:lineRule="auto"/>
      </w:pPr>
      <w:r w:rsidRPr="007F128F">
        <w:t>Zielona rewolucja dla MŚP</w:t>
      </w:r>
    </w:p>
    <w:p w14:paraId="110B34CA" w14:textId="1256B440" w:rsidR="00AE106A" w:rsidRPr="00AE106A" w:rsidRDefault="00AE106A" w:rsidP="007F128F">
      <w:pPr>
        <w:spacing w:before="120" w:after="120" w:line="276" w:lineRule="auto"/>
        <w:rPr>
          <w:rFonts w:cstheme="minorHAnsi"/>
          <w:sz w:val="24"/>
          <w:szCs w:val="24"/>
        </w:rPr>
      </w:pPr>
      <w:r w:rsidRPr="00AE106A">
        <w:rPr>
          <w:rFonts w:cstheme="minorHAnsi"/>
          <w:sz w:val="24"/>
          <w:szCs w:val="24"/>
        </w:rPr>
        <w:t xml:space="preserve">Nowe możliwości dla regionu Polski Wschodniej nie kończą się na startupach. Mikro, małe i średnie przedsiębiorstwa mogą sięgnąć po środki z programu </w:t>
      </w:r>
      <w:r w:rsidR="00A854E1">
        <w:rPr>
          <w:rFonts w:cstheme="minorHAnsi"/>
          <w:sz w:val="24"/>
          <w:szCs w:val="24"/>
        </w:rPr>
        <w:t>„</w:t>
      </w:r>
      <w:r w:rsidRPr="00AE106A">
        <w:rPr>
          <w:rFonts w:cstheme="minorHAnsi"/>
          <w:sz w:val="24"/>
          <w:szCs w:val="24"/>
        </w:rPr>
        <w:t>Gospodarka o obiegu zamkniętym w MŚP, Etap II</w:t>
      </w:r>
      <w:r w:rsidR="00A854E1">
        <w:rPr>
          <w:rFonts w:cstheme="minorHAnsi"/>
          <w:sz w:val="24"/>
          <w:szCs w:val="24"/>
        </w:rPr>
        <w:t>”</w:t>
      </w:r>
      <w:r w:rsidRPr="00AE106A">
        <w:rPr>
          <w:rFonts w:cstheme="minorHAnsi"/>
          <w:sz w:val="24"/>
          <w:szCs w:val="24"/>
        </w:rPr>
        <w:t xml:space="preserve">. </w:t>
      </w:r>
    </w:p>
    <w:p w14:paraId="4C2EA816" w14:textId="495BD5BF" w:rsidR="00AE106A" w:rsidRPr="00AE106A" w:rsidRDefault="00AE106A" w:rsidP="007F128F">
      <w:pPr>
        <w:spacing w:before="120" w:after="120" w:line="276" w:lineRule="auto"/>
        <w:rPr>
          <w:rFonts w:cstheme="minorHAnsi"/>
          <w:sz w:val="24"/>
          <w:szCs w:val="24"/>
        </w:rPr>
      </w:pPr>
      <w:r w:rsidRPr="00AE106A">
        <w:rPr>
          <w:rFonts w:cstheme="minorHAnsi"/>
          <w:sz w:val="24"/>
          <w:szCs w:val="24"/>
        </w:rPr>
        <w:t>Maksymalne wsparcie na wdrożenie swojego modelu GOZ-transformacji wynosi aż 3,5 mln zł, a katalog wydatków jest szeroki – od inwestycji w środki trwałe i technologie przyjazne środowisku, przez zakup oprogramowania i licencji, aż po szkolenia i doradztwo. Firmy mogą także przeznaczyć część środków na działania promujące zieloną transformację, budując przy tym wizerunek nowoczesnej i odpowiedzialnej marki.</w:t>
      </w:r>
    </w:p>
    <w:p w14:paraId="72377EC5" w14:textId="5C426188" w:rsidR="00AE106A" w:rsidRPr="00AE106A" w:rsidRDefault="00A854E1" w:rsidP="007F128F">
      <w:pPr>
        <w:spacing w:before="120"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</w:t>
      </w:r>
      <w:r w:rsidR="00AE106A" w:rsidRPr="00AE106A">
        <w:rPr>
          <w:rFonts w:cstheme="minorHAnsi"/>
          <w:sz w:val="24"/>
          <w:szCs w:val="24"/>
        </w:rPr>
        <w:t>Gospodarka o obiegu zamkniętym w MŚP</w:t>
      </w:r>
      <w:r>
        <w:rPr>
          <w:rFonts w:cstheme="minorHAnsi"/>
          <w:sz w:val="24"/>
          <w:szCs w:val="24"/>
        </w:rPr>
        <w:t>”</w:t>
      </w:r>
      <w:r w:rsidR="00AE106A" w:rsidRPr="00AE106A">
        <w:rPr>
          <w:rFonts w:cstheme="minorHAnsi"/>
          <w:sz w:val="24"/>
          <w:szCs w:val="24"/>
        </w:rPr>
        <w:t xml:space="preserve"> daje podwójną korzyść – nie tylko pozwala przedsiębiorstwom ograniczyć koszty i zwiększyć efektywność, </w:t>
      </w:r>
      <w:r>
        <w:rPr>
          <w:rFonts w:cstheme="minorHAnsi"/>
          <w:sz w:val="24"/>
          <w:szCs w:val="24"/>
        </w:rPr>
        <w:t>lecz także</w:t>
      </w:r>
      <w:r w:rsidR="00AE106A" w:rsidRPr="00AE106A">
        <w:rPr>
          <w:rFonts w:cstheme="minorHAnsi"/>
          <w:sz w:val="24"/>
          <w:szCs w:val="24"/>
        </w:rPr>
        <w:t xml:space="preserve"> wzmacnia ich konkurencyjność na wymagającym rynku.</w:t>
      </w:r>
    </w:p>
    <w:p w14:paraId="56073E6E" w14:textId="77777777" w:rsidR="00AE106A" w:rsidRPr="007F128F" w:rsidRDefault="00AE106A" w:rsidP="007F128F">
      <w:pPr>
        <w:pStyle w:val="Nagwek2"/>
        <w:spacing w:before="120" w:after="120" w:line="276" w:lineRule="auto"/>
      </w:pPr>
      <w:r w:rsidRPr="007F128F">
        <w:lastRenderedPageBreak/>
        <w:t>Polska Wschodnia – region przedsiębiorczych szans</w:t>
      </w:r>
    </w:p>
    <w:p w14:paraId="7887BAE1" w14:textId="585663BA" w:rsidR="00AE106A" w:rsidRPr="00AE106A" w:rsidRDefault="00AE106A" w:rsidP="007F128F">
      <w:pPr>
        <w:spacing w:before="120" w:after="120" w:line="276" w:lineRule="auto"/>
        <w:rPr>
          <w:rFonts w:cstheme="minorHAnsi"/>
          <w:sz w:val="24"/>
          <w:szCs w:val="24"/>
        </w:rPr>
      </w:pPr>
      <w:r w:rsidRPr="00AE106A">
        <w:rPr>
          <w:rFonts w:cstheme="minorHAnsi"/>
          <w:sz w:val="24"/>
          <w:szCs w:val="24"/>
        </w:rPr>
        <w:t xml:space="preserve">Fundusze Europejskie dla Polski Wschodniej są dostępne dla firm działających w województwach: lubelskim, podkarpackim, podlaskim, świętokrzyskim, warmińsko-mazurskim oraz części mazowieckiego (z wyłączeniem Warszawy i okolicznych powiatów). To właśnie tu PARP chce otwierać drzwi do przyspieszonego rozwoju i budowania nowoczesnego ekosystemu biznesowego. Tym samym unijne wsparcie staje się siłą napędową transformacji gospodarczej, </w:t>
      </w:r>
      <w:r w:rsidR="00A854E1">
        <w:rPr>
          <w:rFonts w:cstheme="minorHAnsi"/>
          <w:sz w:val="24"/>
          <w:szCs w:val="24"/>
        </w:rPr>
        <w:t xml:space="preserve">daje szanse na </w:t>
      </w:r>
      <w:r w:rsidRPr="00AE106A">
        <w:rPr>
          <w:rFonts w:cstheme="minorHAnsi"/>
          <w:sz w:val="24"/>
          <w:szCs w:val="24"/>
        </w:rPr>
        <w:t>wyrówna</w:t>
      </w:r>
      <w:r w:rsidR="00A854E1">
        <w:rPr>
          <w:rFonts w:cstheme="minorHAnsi"/>
          <w:sz w:val="24"/>
          <w:szCs w:val="24"/>
        </w:rPr>
        <w:t>nie</w:t>
      </w:r>
      <w:r w:rsidRPr="00AE106A">
        <w:rPr>
          <w:rFonts w:cstheme="minorHAnsi"/>
          <w:sz w:val="24"/>
          <w:szCs w:val="24"/>
        </w:rPr>
        <w:t xml:space="preserve"> szans regionu wobec innych części Polski i wspomaga lokalne inicjatywy.</w:t>
      </w:r>
    </w:p>
    <w:p w14:paraId="087EB925" w14:textId="0A194440" w:rsidR="006501D5" w:rsidRDefault="00AE106A" w:rsidP="007F128F">
      <w:pPr>
        <w:spacing w:before="120" w:after="120" w:line="276" w:lineRule="auto"/>
        <w:rPr>
          <w:rFonts w:cstheme="minorHAnsi"/>
          <w:sz w:val="24"/>
          <w:szCs w:val="24"/>
        </w:rPr>
      </w:pPr>
      <w:r w:rsidRPr="00AE106A">
        <w:rPr>
          <w:rFonts w:cstheme="minorHAnsi"/>
          <w:sz w:val="24"/>
          <w:szCs w:val="24"/>
        </w:rPr>
        <w:t>Dzięki nowym naborom startupy mogą przekształcać pomysły w stabilne biznesy, a MŚP – inwestować w modernizację i stawać się liderami zielonej zmiany. Polska Wschodnia zyskuje więc realną szansę, by stać się regionem, w którym kreatywność spotyka się z praktycznym wsparciem, a rozwój gospodarczy idzie w parze ze zrównoważonym modelem działań.</w:t>
      </w:r>
    </w:p>
    <w:p w14:paraId="23BA183D" w14:textId="0BAD510B" w:rsidR="007F128F" w:rsidRPr="00AE106A" w:rsidRDefault="007F128F" w:rsidP="00AE106A">
      <w:pPr>
        <w:spacing w:before="120" w:after="120" w:line="276" w:lineRule="auto"/>
        <w:rPr>
          <w:rFonts w:ascii="Calibri" w:eastAsiaTheme="majorEastAsia" w:hAnsi="Calibri" w:cstheme="minorHAnsi"/>
          <w:color w:val="000000" w:themeColor="text1"/>
          <w:sz w:val="24"/>
          <w:szCs w:val="24"/>
        </w:rPr>
      </w:pPr>
      <w:r>
        <w:rPr>
          <w:rFonts w:ascii="Calibri" w:eastAsiaTheme="majorEastAsia" w:hAnsi="Calibri" w:cstheme="minorHAns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30ABB16" wp14:editId="52A0F3E5">
            <wp:simplePos x="0" y="0"/>
            <wp:positionH relativeFrom="margin">
              <wp:align>right</wp:align>
            </wp:positionH>
            <wp:positionV relativeFrom="paragraph">
              <wp:posOffset>284480</wp:posOffset>
            </wp:positionV>
            <wp:extent cx="5760720" cy="431165"/>
            <wp:effectExtent l="0" t="0" r="0" b="6985"/>
            <wp:wrapNone/>
            <wp:docPr id="79358814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588147" name="Obraz 79358814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F128F" w:rsidRPr="00AE1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DDD68" w14:textId="77777777" w:rsidR="00215FA8" w:rsidRDefault="00215FA8" w:rsidP="001305C5">
      <w:pPr>
        <w:spacing w:after="0" w:line="240" w:lineRule="auto"/>
      </w:pPr>
      <w:r>
        <w:separator/>
      </w:r>
    </w:p>
  </w:endnote>
  <w:endnote w:type="continuationSeparator" w:id="0">
    <w:p w14:paraId="7C877410" w14:textId="77777777" w:rsidR="00215FA8" w:rsidRDefault="00215FA8" w:rsidP="0013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FA63A" w14:textId="77777777" w:rsidR="00215FA8" w:rsidRDefault="00215FA8" w:rsidP="001305C5">
      <w:pPr>
        <w:spacing w:after="0" w:line="240" w:lineRule="auto"/>
      </w:pPr>
      <w:r>
        <w:separator/>
      </w:r>
    </w:p>
  </w:footnote>
  <w:footnote w:type="continuationSeparator" w:id="0">
    <w:p w14:paraId="58DD630B" w14:textId="77777777" w:rsidR="00215FA8" w:rsidRDefault="00215FA8" w:rsidP="00130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3D2C"/>
    <w:multiLevelType w:val="multilevel"/>
    <w:tmpl w:val="1FFC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F0E4A"/>
    <w:multiLevelType w:val="hybridMultilevel"/>
    <w:tmpl w:val="DDF0D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31456"/>
    <w:multiLevelType w:val="hybridMultilevel"/>
    <w:tmpl w:val="AB4C2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709E7"/>
    <w:multiLevelType w:val="hybridMultilevel"/>
    <w:tmpl w:val="066CB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D12E3"/>
    <w:multiLevelType w:val="hybridMultilevel"/>
    <w:tmpl w:val="84900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F26B0"/>
    <w:multiLevelType w:val="hybridMultilevel"/>
    <w:tmpl w:val="D8EEC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E4FF4"/>
    <w:multiLevelType w:val="hybridMultilevel"/>
    <w:tmpl w:val="02446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967F2"/>
    <w:multiLevelType w:val="hybridMultilevel"/>
    <w:tmpl w:val="4D94BFE0"/>
    <w:lvl w:ilvl="0" w:tplc="95BCE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E5879"/>
    <w:multiLevelType w:val="hybridMultilevel"/>
    <w:tmpl w:val="E25C5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514D5"/>
    <w:multiLevelType w:val="hybridMultilevel"/>
    <w:tmpl w:val="BCF6B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469EA"/>
    <w:multiLevelType w:val="multilevel"/>
    <w:tmpl w:val="1A58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6E4D9E"/>
    <w:multiLevelType w:val="multilevel"/>
    <w:tmpl w:val="BFDC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E87674"/>
    <w:multiLevelType w:val="hybridMultilevel"/>
    <w:tmpl w:val="329CD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3152E"/>
    <w:multiLevelType w:val="multilevel"/>
    <w:tmpl w:val="9312B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1F073A"/>
    <w:multiLevelType w:val="multilevel"/>
    <w:tmpl w:val="EB3C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F86F01"/>
    <w:multiLevelType w:val="hybridMultilevel"/>
    <w:tmpl w:val="9FC4C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560B7"/>
    <w:multiLevelType w:val="multilevel"/>
    <w:tmpl w:val="0E40EA98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9855C5"/>
    <w:multiLevelType w:val="multilevel"/>
    <w:tmpl w:val="7A5A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6F051D"/>
    <w:multiLevelType w:val="hybridMultilevel"/>
    <w:tmpl w:val="D14CD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606C0"/>
    <w:multiLevelType w:val="multilevel"/>
    <w:tmpl w:val="42CE2A98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A586442"/>
    <w:multiLevelType w:val="hybridMultilevel"/>
    <w:tmpl w:val="0E460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C1499"/>
    <w:multiLevelType w:val="hybridMultilevel"/>
    <w:tmpl w:val="AED0D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975015">
    <w:abstractNumId w:val="7"/>
  </w:num>
  <w:num w:numId="2" w16cid:durableId="786629129">
    <w:abstractNumId w:val="19"/>
  </w:num>
  <w:num w:numId="3" w16cid:durableId="607390910">
    <w:abstractNumId w:val="3"/>
  </w:num>
  <w:num w:numId="4" w16cid:durableId="509375921">
    <w:abstractNumId w:val="16"/>
  </w:num>
  <w:num w:numId="5" w16cid:durableId="1624732920">
    <w:abstractNumId w:val="0"/>
  </w:num>
  <w:num w:numId="6" w16cid:durableId="1552302551">
    <w:abstractNumId w:val="8"/>
  </w:num>
  <w:num w:numId="7" w16cid:durableId="291055369">
    <w:abstractNumId w:val="12"/>
  </w:num>
  <w:num w:numId="8" w16cid:durableId="56824066">
    <w:abstractNumId w:val="15"/>
  </w:num>
  <w:num w:numId="9" w16cid:durableId="1969512268">
    <w:abstractNumId w:val="9"/>
  </w:num>
  <w:num w:numId="10" w16cid:durableId="193272289">
    <w:abstractNumId w:val="18"/>
  </w:num>
  <w:num w:numId="11" w16cid:durableId="1457021209">
    <w:abstractNumId w:val="6"/>
  </w:num>
  <w:num w:numId="12" w16cid:durableId="387847210">
    <w:abstractNumId w:val="4"/>
  </w:num>
  <w:num w:numId="13" w16cid:durableId="917598740">
    <w:abstractNumId w:val="17"/>
  </w:num>
  <w:num w:numId="14" w16cid:durableId="1750155627">
    <w:abstractNumId w:val="10"/>
  </w:num>
  <w:num w:numId="15" w16cid:durableId="952245320">
    <w:abstractNumId w:val="14"/>
  </w:num>
  <w:num w:numId="16" w16cid:durableId="1061054788">
    <w:abstractNumId w:val="13"/>
  </w:num>
  <w:num w:numId="17" w16cid:durableId="382028450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020666717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493569783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552694424">
    <w:abstractNumId w:val="11"/>
  </w:num>
  <w:num w:numId="21" w16cid:durableId="1810897547">
    <w:abstractNumId w:val="1"/>
  </w:num>
  <w:num w:numId="22" w16cid:durableId="1945307115">
    <w:abstractNumId w:val="21"/>
  </w:num>
  <w:num w:numId="23" w16cid:durableId="544607509">
    <w:abstractNumId w:val="2"/>
  </w:num>
  <w:num w:numId="24" w16cid:durableId="148719613">
    <w:abstractNumId w:val="20"/>
  </w:num>
  <w:num w:numId="25" w16cid:durableId="1516504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3AB"/>
    <w:rsid w:val="00016940"/>
    <w:rsid w:val="00016A57"/>
    <w:rsid w:val="000210B0"/>
    <w:rsid w:val="000322AA"/>
    <w:rsid w:val="0006084F"/>
    <w:rsid w:val="0006592A"/>
    <w:rsid w:val="00075049"/>
    <w:rsid w:val="000A2B7E"/>
    <w:rsid w:val="000A3E78"/>
    <w:rsid w:val="000B393A"/>
    <w:rsid w:val="000B53D4"/>
    <w:rsid w:val="000C0C0C"/>
    <w:rsid w:val="000C10C5"/>
    <w:rsid w:val="000C3660"/>
    <w:rsid w:val="000D30B4"/>
    <w:rsid w:val="000D4591"/>
    <w:rsid w:val="000F004E"/>
    <w:rsid w:val="000F0719"/>
    <w:rsid w:val="000F5521"/>
    <w:rsid w:val="000F79C2"/>
    <w:rsid w:val="00104221"/>
    <w:rsid w:val="0010752E"/>
    <w:rsid w:val="00110CC4"/>
    <w:rsid w:val="001153A3"/>
    <w:rsid w:val="00125459"/>
    <w:rsid w:val="001305C5"/>
    <w:rsid w:val="0013332F"/>
    <w:rsid w:val="0013369E"/>
    <w:rsid w:val="00133BE9"/>
    <w:rsid w:val="001626AF"/>
    <w:rsid w:val="00164C92"/>
    <w:rsid w:val="0017444D"/>
    <w:rsid w:val="00185EAB"/>
    <w:rsid w:val="00193244"/>
    <w:rsid w:val="001D5A9F"/>
    <w:rsid w:val="001E3E93"/>
    <w:rsid w:val="002027A3"/>
    <w:rsid w:val="00215FA8"/>
    <w:rsid w:val="00221B3A"/>
    <w:rsid w:val="00230CA5"/>
    <w:rsid w:val="0024444F"/>
    <w:rsid w:val="002570F2"/>
    <w:rsid w:val="002647EC"/>
    <w:rsid w:val="00280CB5"/>
    <w:rsid w:val="002C3D78"/>
    <w:rsid w:val="002E64DB"/>
    <w:rsid w:val="002F5D19"/>
    <w:rsid w:val="0030747E"/>
    <w:rsid w:val="003117EE"/>
    <w:rsid w:val="003263B0"/>
    <w:rsid w:val="003713BF"/>
    <w:rsid w:val="003779A6"/>
    <w:rsid w:val="003948D1"/>
    <w:rsid w:val="003960E9"/>
    <w:rsid w:val="003A3E64"/>
    <w:rsid w:val="003B2E21"/>
    <w:rsid w:val="003B4862"/>
    <w:rsid w:val="003C3DD8"/>
    <w:rsid w:val="003C57A3"/>
    <w:rsid w:val="003C7F4C"/>
    <w:rsid w:val="003D43B4"/>
    <w:rsid w:val="003D5FE7"/>
    <w:rsid w:val="003D6A9B"/>
    <w:rsid w:val="00400B6A"/>
    <w:rsid w:val="004024D6"/>
    <w:rsid w:val="00412B2B"/>
    <w:rsid w:val="00420385"/>
    <w:rsid w:val="00427841"/>
    <w:rsid w:val="004301E6"/>
    <w:rsid w:val="0044142F"/>
    <w:rsid w:val="00443A3A"/>
    <w:rsid w:val="00446BCC"/>
    <w:rsid w:val="004700BC"/>
    <w:rsid w:val="00472863"/>
    <w:rsid w:val="00477D9D"/>
    <w:rsid w:val="00482747"/>
    <w:rsid w:val="004A456C"/>
    <w:rsid w:val="004B0DA6"/>
    <w:rsid w:val="004C5C5B"/>
    <w:rsid w:val="004C701E"/>
    <w:rsid w:val="004D405A"/>
    <w:rsid w:val="004F6E28"/>
    <w:rsid w:val="005062C5"/>
    <w:rsid w:val="00516E9C"/>
    <w:rsid w:val="005539D3"/>
    <w:rsid w:val="00557FFB"/>
    <w:rsid w:val="00560CE5"/>
    <w:rsid w:val="0056206E"/>
    <w:rsid w:val="00565EE2"/>
    <w:rsid w:val="005711B4"/>
    <w:rsid w:val="00582E88"/>
    <w:rsid w:val="00591EFB"/>
    <w:rsid w:val="005A4E70"/>
    <w:rsid w:val="005B257F"/>
    <w:rsid w:val="005B5B1C"/>
    <w:rsid w:val="005C4354"/>
    <w:rsid w:val="005C7B4D"/>
    <w:rsid w:val="005D093F"/>
    <w:rsid w:val="005F2BF3"/>
    <w:rsid w:val="0061250F"/>
    <w:rsid w:val="00617099"/>
    <w:rsid w:val="0062154C"/>
    <w:rsid w:val="00641D0C"/>
    <w:rsid w:val="006429C6"/>
    <w:rsid w:val="00645B0B"/>
    <w:rsid w:val="006501D5"/>
    <w:rsid w:val="00653D4D"/>
    <w:rsid w:val="00661D8A"/>
    <w:rsid w:val="00694729"/>
    <w:rsid w:val="0069732B"/>
    <w:rsid w:val="006A3ACF"/>
    <w:rsid w:val="006A6FF7"/>
    <w:rsid w:val="006A7E37"/>
    <w:rsid w:val="006B6EFC"/>
    <w:rsid w:val="006C5BBF"/>
    <w:rsid w:val="006D4A41"/>
    <w:rsid w:val="00705BC9"/>
    <w:rsid w:val="00710833"/>
    <w:rsid w:val="00710EAA"/>
    <w:rsid w:val="0071283D"/>
    <w:rsid w:val="007203D7"/>
    <w:rsid w:val="00737190"/>
    <w:rsid w:val="00737469"/>
    <w:rsid w:val="0074746A"/>
    <w:rsid w:val="00751E31"/>
    <w:rsid w:val="0075501A"/>
    <w:rsid w:val="00757066"/>
    <w:rsid w:val="0076781D"/>
    <w:rsid w:val="00772D2E"/>
    <w:rsid w:val="007735BB"/>
    <w:rsid w:val="00780DC3"/>
    <w:rsid w:val="00785450"/>
    <w:rsid w:val="007A3848"/>
    <w:rsid w:val="007A7704"/>
    <w:rsid w:val="007B1D62"/>
    <w:rsid w:val="007C4BBD"/>
    <w:rsid w:val="007C5273"/>
    <w:rsid w:val="007C6F72"/>
    <w:rsid w:val="007C7668"/>
    <w:rsid w:val="007E2C59"/>
    <w:rsid w:val="007F128F"/>
    <w:rsid w:val="00814082"/>
    <w:rsid w:val="00814BD5"/>
    <w:rsid w:val="00814C5D"/>
    <w:rsid w:val="008362B3"/>
    <w:rsid w:val="00837FF6"/>
    <w:rsid w:val="00840D54"/>
    <w:rsid w:val="00851A5D"/>
    <w:rsid w:val="008529C6"/>
    <w:rsid w:val="00857910"/>
    <w:rsid w:val="0088151A"/>
    <w:rsid w:val="008858B6"/>
    <w:rsid w:val="00886C62"/>
    <w:rsid w:val="008A4555"/>
    <w:rsid w:val="008A60E6"/>
    <w:rsid w:val="008B01DF"/>
    <w:rsid w:val="008C1879"/>
    <w:rsid w:val="008E31B9"/>
    <w:rsid w:val="008F73FA"/>
    <w:rsid w:val="009075D3"/>
    <w:rsid w:val="00914ED1"/>
    <w:rsid w:val="009215A0"/>
    <w:rsid w:val="009249FD"/>
    <w:rsid w:val="00924CEB"/>
    <w:rsid w:val="00926F4A"/>
    <w:rsid w:val="0093350E"/>
    <w:rsid w:val="00941FAC"/>
    <w:rsid w:val="009517CC"/>
    <w:rsid w:val="00952B12"/>
    <w:rsid w:val="00957CDE"/>
    <w:rsid w:val="00961D91"/>
    <w:rsid w:val="00961DE6"/>
    <w:rsid w:val="00965B1D"/>
    <w:rsid w:val="00975D27"/>
    <w:rsid w:val="009818FD"/>
    <w:rsid w:val="009A227B"/>
    <w:rsid w:val="009A2875"/>
    <w:rsid w:val="009A6307"/>
    <w:rsid w:val="009B544E"/>
    <w:rsid w:val="009B574A"/>
    <w:rsid w:val="009B5A1F"/>
    <w:rsid w:val="009C73AA"/>
    <w:rsid w:val="009D6779"/>
    <w:rsid w:val="009D7966"/>
    <w:rsid w:val="00A13788"/>
    <w:rsid w:val="00A151DD"/>
    <w:rsid w:val="00A1607E"/>
    <w:rsid w:val="00A252EA"/>
    <w:rsid w:val="00A53625"/>
    <w:rsid w:val="00A63E09"/>
    <w:rsid w:val="00A66263"/>
    <w:rsid w:val="00A666A5"/>
    <w:rsid w:val="00A67D69"/>
    <w:rsid w:val="00A85246"/>
    <w:rsid w:val="00A854E1"/>
    <w:rsid w:val="00A8734A"/>
    <w:rsid w:val="00A972F9"/>
    <w:rsid w:val="00AB222E"/>
    <w:rsid w:val="00AB7D3A"/>
    <w:rsid w:val="00AC761E"/>
    <w:rsid w:val="00AE039C"/>
    <w:rsid w:val="00AE106A"/>
    <w:rsid w:val="00AE785D"/>
    <w:rsid w:val="00B16AFF"/>
    <w:rsid w:val="00B25FE6"/>
    <w:rsid w:val="00B362AE"/>
    <w:rsid w:val="00B369D9"/>
    <w:rsid w:val="00B40AFC"/>
    <w:rsid w:val="00B50B6E"/>
    <w:rsid w:val="00B628E3"/>
    <w:rsid w:val="00B6663A"/>
    <w:rsid w:val="00B8239A"/>
    <w:rsid w:val="00B82807"/>
    <w:rsid w:val="00B85D85"/>
    <w:rsid w:val="00BA4F40"/>
    <w:rsid w:val="00BA756B"/>
    <w:rsid w:val="00BB224A"/>
    <w:rsid w:val="00BB5BAC"/>
    <w:rsid w:val="00BB5F05"/>
    <w:rsid w:val="00BC2B31"/>
    <w:rsid w:val="00BC6E1D"/>
    <w:rsid w:val="00BD5968"/>
    <w:rsid w:val="00BD755D"/>
    <w:rsid w:val="00BE6B6A"/>
    <w:rsid w:val="00BE6F78"/>
    <w:rsid w:val="00BF2007"/>
    <w:rsid w:val="00BF492E"/>
    <w:rsid w:val="00C010C6"/>
    <w:rsid w:val="00C0245D"/>
    <w:rsid w:val="00C206F0"/>
    <w:rsid w:val="00C24268"/>
    <w:rsid w:val="00C35FB6"/>
    <w:rsid w:val="00C40617"/>
    <w:rsid w:val="00C5332E"/>
    <w:rsid w:val="00C5461F"/>
    <w:rsid w:val="00C710AB"/>
    <w:rsid w:val="00C774B3"/>
    <w:rsid w:val="00C97F91"/>
    <w:rsid w:val="00CB1A06"/>
    <w:rsid w:val="00CC1FD8"/>
    <w:rsid w:val="00CC297E"/>
    <w:rsid w:val="00CF5FD4"/>
    <w:rsid w:val="00CF7C95"/>
    <w:rsid w:val="00D11725"/>
    <w:rsid w:val="00D151EC"/>
    <w:rsid w:val="00D15557"/>
    <w:rsid w:val="00D15DAC"/>
    <w:rsid w:val="00D30B96"/>
    <w:rsid w:val="00D46D5B"/>
    <w:rsid w:val="00D554E0"/>
    <w:rsid w:val="00D61203"/>
    <w:rsid w:val="00D6764B"/>
    <w:rsid w:val="00D81782"/>
    <w:rsid w:val="00D83905"/>
    <w:rsid w:val="00D85639"/>
    <w:rsid w:val="00D956AF"/>
    <w:rsid w:val="00DA21E7"/>
    <w:rsid w:val="00DA227E"/>
    <w:rsid w:val="00DA73CC"/>
    <w:rsid w:val="00DC55F1"/>
    <w:rsid w:val="00DC6327"/>
    <w:rsid w:val="00DF6BE0"/>
    <w:rsid w:val="00E03AF6"/>
    <w:rsid w:val="00E07DA5"/>
    <w:rsid w:val="00E12A5A"/>
    <w:rsid w:val="00E143F2"/>
    <w:rsid w:val="00E1605E"/>
    <w:rsid w:val="00E23972"/>
    <w:rsid w:val="00E40B4F"/>
    <w:rsid w:val="00E5410D"/>
    <w:rsid w:val="00E56EEB"/>
    <w:rsid w:val="00E57A60"/>
    <w:rsid w:val="00E6039A"/>
    <w:rsid w:val="00E63CFD"/>
    <w:rsid w:val="00E7556E"/>
    <w:rsid w:val="00E8193A"/>
    <w:rsid w:val="00E8655D"/>
    <w:rsid w:val="00EA508C"/>
    <w:rsid w:val="00EC6482"/>
    <w:rsid w:val="00ED63AB"/>
    <w:rsid w:val="00EF79C7"/>
    <w:rsid w:val="00F0101D"/>
    <w:rsid w:val="00F01AF8"/>
    <w:rsid w:val="00F020AD"/>
    <w:rsid w:val="00F12AF7"/>
    <w:rsid w:val="00F278F3"/>
    <w:rsid w:val="00F31559"/>
    <w:rsid w:val="00F359B9"/>
    <w:rsid w:val="00F44B4A"/>
    <w:rsid w:val="00F477E4"/>
    <w:rsid w:val="00F5194C"/>
    <w:rsid w:val="00F51BB8"/>
    <w:rsid w:val="00F54457"/>
    <w:rsid w:val="00F55195"/>
    <w:rsid w:val="00F55639"/>
    <w:rsid w:val="00F66C2A"/>
    <w:rsid w:val="00F70202"/>
    <w:rsid w:val="00F900A0"/>
    <w:rsid w:val="00F901EA"/>
    <w:rsid w:val="00F9172B"/>
    <w:rsid w:val="00FA3316"/>
    <w:rsid w:val="00FA60D6"/>
    <w:rsid w:val="00FC7BF6"/>
    <w:rsid w:val="00FD557F"/>
    <w:rsid w:val="00FD6150"/>
    <w:rsid w:val="00FD7291"/>
    <w:rsid w:val="00FE2B63"/>
    <w:rsid w:val="00FE4047"/>
    <w:rsid w:val="00FE4111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D108"/>
  <w15:chartTrackingRefBased/>
  <w15:docId w15:val="{57E10813-838F-4E6E-A717-22DA02D2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7556E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Times New Roman"/>
      <w:b/>
      <w:bCs/>
      <w:color w:val="000000" w:themeColor="text1"/>
      <w:kern w:val="36"/>
      <w:sz w:val="32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556E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2B6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7BF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0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3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F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5F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F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F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F05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5410D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7556E"/>
    <w:rPr>
      <w:rFonts w:ascii="Calibri" w:eastAsia="Times New Roman" w:hAnsi="Calibri" w:cs="Times New Roman"/>
      <w:b/>
      <w:bCs/>
      <w:color w:val="000000" w:themeColor="text1"/>
      <w:kern w:val="36"/>
      <w:sz w:val="32"/>
      <w:szCs w:val="48"/>
      <w:lang w:eastAsia="pl-PL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AB222E"/>
    <w:pPr>
      <w:ind w:left="720"/>
      <w:contextualSpacing/>
    </w:p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qFormat/>
    <w:rsid w:val="00961DE6"/>
  </w:style>
  <w:style w:type="paragraph" w:styleId="NormalnyWeb">
    <w:name w:val="Normal (Web)"/>
    <w:basedOn w:val="Normalny"/>
    <w:uiPriority w:val="99"/>
    <w:unhideWhenUsed/>
    <w:rsid w:val="00DA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397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E7556E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05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05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05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media@par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76678B-5D96-8541-8825-BF82C569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3</Pages>
  <Words>772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Strojecka</dc:creator>
  <cp:keywords/>
  <dc:description/>
  <cp:lastModifiedBy>Czyżewska Magdalena</cp:lastModifiedBy>
  <cp:revision>5</cp:revision>
  <dcterms:created xsi:type="dcterms:W3CDTF">2025-08-29T05:27:00Z</dcterms:created>
  <dcterms:modified xsi:type="dcterms:W3CDTF">2025-09-03T08:04:00Z</dcterms:modified>
</cp:coreProperties>
</file>