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00" w:lineRule="auto"/>
        <w:rPr/>
      </w:pPr>
      <w:bookmarkStart w:colFirst="0" w:colLast="0" w:name="_w6dvpc3vp736" w:id="0"/>
      <w:bookmarkEnd w:id="0"/>
      <w:r w:rsidDel="00000000" w:rsidR="00000000" w:rsidRPr="00000000">
        <w:rPr>
          <w:rtl w:val="0"/>
        </w:rPr>
        <w:t xml:space="preserve">Jak zarabiać legalnie bez płacenia ZUS-u? Trzy sposoby dla początkujących</w:t>
      </w:r>
    </w:p>
    <w:p w:rsidR="00000000" w:rsidDel="00000000" w:rsidP="00000000" w:rsidRDefault="00000000" w:rsidRPr="00000000" w14:paraId="00000002">
      <w:pPr>
        <w:spacing w:after="0"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Coraz więcej osób szuka sposobu na dodatkowy zarobek poza etatem – czy to poprzez freelancing, czy realizację okazjonalnych zleceń. Największą przeszkodą często okazuje się wizja obowiązkowych składek ZUS, które potrafią znacząco obciążyć budżet. Na szczęście istnieją rozwiązania prawne pozwalające wystartować w pełni legalnie, bez konieczności zakładania firmy i ponoszenia wysokich kosztów już na starcie.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Dla wielu osób marzących o niezależności zawodowej i elastycznym stylu pracy największą barierą przy rozpoczęciu działalności są wysokie składki na ZUS. Freelancerzy, którzy chcą spróbować swoich sił w pracy na własny rachunek, często odkładają decyzję o zleceniach właśnie ze względu na obawę przed kosztami, które pojawiają się, zanim na konto wpłyną pierwsze przychody. Na szczęście istnieją rozwiązania, które pozwalają zacząć legalnie, bez zakładania firmy i bez obowiązku odprowadzania składek.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="276" w:lineRule="auto"/>
        <w:rPr>
          <w:rFonts w:ascii="Lato" w:cs="Lato" w:eastAsia="Lato" w:hAnsi="Lato"/>
          <w:color w:val="000000"/>
          <w:sz w:val="22"/>
          <w:szCs w:val="22"/>
        </w:rPr>
      </w:pPr>
      <w:bookmarkStart w:colFirst="0" w:colLast="0" w:name="_44qsb1om5crl" w:id="1"/>
      <w:bookmarkEnd w:id="1"/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Działalność nierejestrowana – dla tych, którzy dopiero zaczynają</w:t>
      </w:r>
    </w:p>
    <w:p w:rsidR="00000000" w:rsidDel="00000000" w:rsidP="00000000" w:rsidRDefault="00000000" w:rsidRPr="00000000" w14:paraId="00000005">
      <w:pPr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Jednym z przyjaznych rozwiązań dla osób, które chcą sprawdzić swoje możliwości, jest działalność nierejestrowana. To forma, która nie wymaga zakładania firmy ani zgłaszania się do ZUS-u. Wystarczy spełnić dwa podstawowe warunki: prowadzić działalność na niewielką skalę oraz </w:t>
      </w:r>
      <w:r w:rsidDel="00000000" w:rsidR="00000000" w:rsidRPr="00000000">
        <w:rPr>
          <w:sz w:val="22"/>
          <w:szCs w:val="22"/>
          <w:rtl w:val="0"/>
        </w:rPr>
        <w:t xml:space="preserve">nie przekraczać miesięcznego limitu przychodów, który w 2025 roku wynosi 75 proc. minimalnego wynagrodzenia, czyli 3 499,50 zł brutto.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Działalność nierejestrowana świetnie sprawdza się w przypadku freelancerów, którzy testują rynek, pozyskują pierwszych klientów i nie mają jeszcze pewności, czy praca na własny rachunek stanie się ich głównym źródłem utrzymania. W praktyce oznacza to możliwość legalnego wystawiania rachunków, podpisywania umów i zarabiania bez ryzyka wejścia w konflikt z urzędem skarbowym czy ZUS-em.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– </w:t>
      </w:r>
      <w:r w:rsidDel="00000000" w:rsidR="00000000" w:rsidRPr="00000000">
        <w:rPr>
          <w:i w:val="1"/>
          <w:sz w:val="22"/>
          <w:szCs w:val="22"/>
          <w:rtl w:val="0"/>
        </w:rPr>
        <w:t xml:space="preserve">Decydując się na działalność nierejestrowaną, należy pamiętać o dokładnej kontroli limitu przychodów. Przekroczenie progu wiąże się z obowiązkiem natychmiastowej rejestracji działalności, co bywa zaskoczeniem dla początkujących. Ponadto, brak możliwości rozliczania kosztów oznacza, że opodatkowany jest cały przychód – co w przypadku działalności wymagającej większych nakładów (np. zakup materiałów, sprzętu, dojazdy) może być mniej korzystne niż własna firma. Po trzecie, działalność nierejestrowana sprawdza się w drobnych usługach i zleceniach, ale nie nadaje się do branż wymagających licencji czy koncesji </w:t>
      </w:r>
      <w:r w:rsidDel="00000000" w:rsidR="00000000" w:rsidRPr="00000000">
        <w:rPr>
          <w:sz w:val="22"/>
          <w:szCs w:val="22"/>
          <w:rtl w:val="0"/>
        </w:rPr>
        <w:t xml:space="preserve">– komentuje Żaneta Siwik, Product Marketing Lead w Useme, platformie upraszczającej rozliczenie na linii klient-freelancer.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="276" w:lineRule="auto"/>
        <w:rPr>
          <w:rFonts w:ascii="Lato" w:cs="Lato" w:eastAsia="Lato" w:hAnsi="Lato"/>
          <w:color w:val="000000"/>
          <w:sz w:val="22"/>
          <w:szCs w:val="22"/>
        </w:rPr>
      </w:pPr>
      <w:bookmarkStart w:colFirst="0" w:colLast="0" w:name="_jboi6sdbwqj3" w:id="2"/>
      <w:bookmarkEnd w:id="2"/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Umowy cywilnoprawne – elastyczność dla wykonawcy i zleceniodawcy</w:t>
      </w:r>
    </w:p>
    <w:p w:rsidR="00000000" w:rsidDel="00000000" w:rsidP="00000000" w:rsidRDefault="00000000" w:rsidRPr="00000000" w14:paraId="00000009">
      <w:pPr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Drugim popularnym rozwiązaniem są umowy cywilnoprawne, przede wszystkim umowa zlecenie lub umowa o dzieło. Te rozwiązanie często jest wykorzystywane w przypadku współpracy z klientami biznesowymi, którzy wymagają formalności i dokumentacji. Umowa o dzieło nie wiąże się ze składkami ZUS, ale jest opodatkowana. Z kolei w przypadku umowy zlecenia składki są obowiązkowe, choć sytuacja wygląda inaczej, jeżeli wykonawca ma już inny tytuł do ubezpieczenia – na przykład etat w pełnym wymiarze godzin.</w:t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Dla freelancera, który traktuje dodatkowe zlecenia jako sposób na uzupełnienie domowego budżetu, umowa cywilnoprawna to rozwiązanie bezpieczne i akceptowane przez rynek. Ważne jednak, aby pamiętać, że każda z umów rządzi się swoimi zasadami – od wysokości podatku po ewentualne prawa autorskie, które mogą być istotne zwłaszcza w branżach kreatywnych.</w:t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– </w:t>
      </w:r>
      <w:r w:rsidDel="00000000" w:rsidR="00000000" w:rsidRPr="00000000">
        <w:rPr>
          <w:i w:val="1"/>
          <w:sz w:val="22"/>
          <w:szCs w:val="22"/>
          <w:rtl w:val="0"/>
        </w:rPr>
        <w:t xml:space="preserve">Warto pamiętać, że w przypadku umowy zlecenia składki ZUS są obowiązkowe niemal zawsze. Z tego obowiązku zwolnieni są wyłącznie studenci do 26. roku życia oraz osoby mające już inne, pełne ubezpieczenie, np. z etatu. Z kolei przy umowie o dzieło istotne jest, aby jasno wskazać rezultat pracy – inaczej ZUS może zakwestionować kontrakt i potraktować go jak zlecenie. Dlatego dobrze sformułowana umowa to dla freelancera podstawa bezpiecznej współpracy </w:t>
      </w:r>
      <w:r w:rsidDel="00000000" w:rsidR="00000000" w:rsidRPr="00000000">
        <w:rPr>
          <w:sz w:val="22"/>
          <w:szCs w:val="22"/>
          <w:rtl w:val="0"/>
        </w:rPr>
        <w:t xml:space="preserve">– radzi Żaneta Siwik, Product Marketing Lead w Useme.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="276" w:lineRule="auto"/>
        <w:rPr>
          <w:rFonts w:ascii="Lato" w:cs="Lato" w:eastAsia="Lato" w:hAnsi="Lato"/>
          <w:color w:val="000000"/>
          <w:sz w:val="22"/>
          <w:szCs w:val="22"/>
        </w:rPr>
      </w:pPr>
      <w:bookmarkStart w:colFirst="0" w:colLast="0" w:name="_itxr33myfm8h" w:id="3"/>
      <w:bookmarkEnd w:id="3"/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Platformy rozliczeniowe – legalność i prostota</w:t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Coraz większą popularnością cieszą się także platformy rozliczeniowe, które działają jako pośrednik pomiędzy freelancerem a klientem. Dzięki nim można legalnie wystawiać faktury, nawet bez posiadania własnej działalności gospodarczej. Platforma formalnie staje się stroną transakcji, a freelancer otrzymuje wynagrodzenie jako wypłatę, najczęściej w oparciu o umowę o dzieło lub zlecenie.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 rozwiązanie szczególnie atrakcyjne dla osób, które chcą od początku budować profesjonalny wizerunek – wystawiają faktury klientom biznesowym, nie martwiąc się przy tym o rejestrację firmy i składki ZUS. Co więcej, platforma dba także o kwestie prawne, w tym przenoszenie praw autorskich, dzięki czemu zarówno freelancer, jak i zleceniodawca mają pewność, że współpraca jest uregulowana zgodnie z obowiązującymi przepisami. Minusem jest prowizja pobierana przez pośrednika, ale dla wielu osób to koszt, który rekompensuje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wygoda, bezpieczeństwo, przejrzystość całego procesu transakcji i brak limitu jak w przypadku działalności nierejestrowanej.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="276" w:lineRule="auto"/>
        <w:rPr>
          <w:rFonts w:ascii="Lato" w:cs="Lato" w:eastAsia="Lato" w:hAnsi="Lato"/>
          <w:color w:val="000000"/>
          <w:sz w:val="22"/>
          <w:szCs w:val="22"/>
        </w:rPr>
      </w:pPr>
      <w:bookmarkStart w:colFirst="0" w:colLast="0" w:name="_uhoo22cqxnp2" w:id="4"/>
      <w:bookmarkEnd w:id="4"/>
      <w:r w:rsidDel="00000000" w:rsidR="00000000" w:rsidRPr="00000000">
        <w:rPr>
          <w:rFonts w:ascii="Lato" w:cs="Lato" w:eastAsia="Lato" w:hAnsi="Lato"/>
          <w:color w:val="000000"/>
          <w:sz w:val="22"/>
          <w:szCs w:val="22"/>
          <w:rtl w:val="0"/>
        </w:rPr>
        <w:t xml:space="preserve">Kiedy warto założyć firmę?</w:t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Choć początkowo większość freelancerów stara się pracować bez własnej działalności, przychodzi moment, w którym jej założenie staje się nie tylko konieczne, ale i opłacalne. Dzieje się tak zwłaszcza wtedy, gdy miesięczne przychody zaczynają regularnie przekraczać limit działalności nierejestrowanej, a współpraca z klientami biznesowymi wymaga wystawiania faktur. Wtedy można skorzystać z ulg – takich jak ulga na start czy preferencyjny ZUS – które łagodzą wejście w pełną działalność gospodarczą.</w:t>
      </w:r>
    </w:p>
    <w:p w:rsidR="00000000" w:rsidDel="00000000" w:rsidP="00000000" w:rsidRDefault="00000000" w:rsidRPr="00000000" w14:paraId="00000011">
      <w:pPr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Decyzja o rejestracji firmy powinna być poprzedzona analizą rynku, przewidywanych dochodów i kosztów, a także planów rozwoju. Dla osób, które planują systematycznie zwiększać skalę działalności, własna firma to krok w stronę stabilności i profesjonalizacji.</w:t>
      </w:r>
    </w:p>
    <w:p w:rsidR="00000000" w:rsidDel="00000000" w:rsidP="00000000" w:rsidRDefault="00000000" w:rsidRPr="00000000" w14:paraId="00000012">
      <w:pPr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– </w:t>
      </w:r>
      <w:r w:rsidDel="00000000" w:rsidR="00000000" w:rsidRPr="00000000">
        <w:rPr>
          <w:i w:val="1"/>
          <w:sz w:val="22"/>
          <w:szCs w:val="22"/>
          <w:rtl w:val="0"/>
        </w:rPr>
        <w:t xml:space="preserve">Start w freelancingu nie musi oznaczać natychmiastowych kosztów i skomplikowanych formalności. Polskie przepisy przewidują legalne formy zarabiania bez ZUS-u od pierwszego dnia – od działalności nierejestrowanej, przez umowy cywilnoprawne, po platformy rozliczeniowe. Kluczowe jest, by zacząć w sposób bezpieczny i zgodny z prawem, stopniowo budować portfolio i bazę klientów. Dopiero gdy przychody staną się stabilne, można myśleć o rejestracji firmy. Taki etap przejściowy daje freelancerowi czas na poznanie rynku i sprawdzenie swoich możliwości bez ryzyka finansowego </w:t>
      </w:r>
      <w:r w:rsidDel="00000000" w:rsidR="00000000" w:rsidRPr="00000000">
        <w:rPr>
          <w:sz w:val="22"/>
          <w:szCs w:val="22"/>
          <w:rtl w:val="0"/>
        </w:rPr>
        <w:t xml:space="preserve">– podsumowuje Żaneta Siwik, Product Marketing Lead w Useme, platformie upraszczającej rozliczenie na linii klient-freelancer.</w:t>
      </w:r>
    </w:p>
    <w:p w:rsidR="00000000" w:rsidDel="00000000" w:rsidP="00000000" w:rsidRDefault="00000000" w:rsidRPr="00000000" w14:paraId="00000013">
      <w:pPr>
        <w:spacing w:after="200" w:before="200" w:line="276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Useme to istniejąca od 2014 roku platforma dla freelancerów oraz zleceniodawców z siedzibą we Wrocławiu. W bazie Useme znajduje się ponad 200 000 freelancerów z takich dziedzin jak IT, grafika, copywriting, marketing, tłumaczenia i inne. Platforma zajmuje się wszystkimi kwestiami prawnymi i podatkowymi po stronie freelancera i zleceniodawcy, a także umożliwia rozliczanie podwykonawców zagranicznych. Obecnie Useme jest liderem rozliczeń pracy zdalnej w Polsce, Europie Centralnej i Wschodniej.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00" w:line="276" w:lineRule="auto"/>
        <w:ind w:firstLine="709"/>
        <w:jc w:val="right"/>
        <w:rPr/>
      </w:pPr>
      <w:r w:rsidDel="00000000" w:rsidR="00000000" w:rsidRPr="00000000">
        <w:rPr>
          <w:rtl w:val="0"/>
        </w:rPr>
        <w:t xml:space="preserve">Kontakt dla mediów:</w:t>
      </w:r>
    </w:p>
    <w:p w:rsidR="00000000" w:rsidDel="00000000" w:rsidP="00000000" w:rsidRDefault="00000000" w:rsidRPr="00000000" w14:paraId="00000016">
      <w:pPr>
        <w:widowControl w:val="0"/>
        <w:spacing w:after="200" w:line="240" w:lineRule="auto"/>
        <w:ind w:firstLine="709"/>
        <w:jc w:val="right"/>
        <w:rPr/>
      </w:pPr>
      <w:r w:rsidDel="00000000" w:rsidR="00000000" w:rsidRPr="00000000">
        <w:rPr>
          <w:rtl w:val="0"/>
        </w:rPr>
        <w:t xml:space="preserve">Paulina Bartkowska</w:t>
      </w:r>
    </w:p>
    <w:p w:rsidR="00000000" w:rsidDel="00000000" w:rsidP="00000000" w:rsidRDefault="00000000" w:rsidRPr="00000000" w14:paraId="00000017">
      <w:pPr>
        <w:widowControl w:val="0"/>
        <w:spacing w:after="200" w:line="240" w:lineRule="auto"/>
        <w:ind w:firstLine="709"/>
        <w:jc w:val="right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paulina.bartkowska@goodonepr.pl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00" w:line="240" w:lineRule="auto"/>
        <w:ind w:firstLine="709"/>
        <w:jc w:val="right"/>
        <w:rPr>
          <w:i w:val="1"/>
        </w:rPr>
      </w:pPr>
      <w:r w:rsidDel="00000000" w:rsidR="00000000" w:rsidRPr="00000000">
        <w:rPr>
          <w:rtl w:val="0"/>
        </w:rPr>
        <w:t xml:space="preserve">+48 796 996 844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rPr>
          <w:i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948.3070866141725" w:top="1440" w:left="1440" w:right="1440" w:header="566.9291338582677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85726</wp:posOffset>
          </wp:positionH>
          <wp:positionV relativeFrom="paragraph">
            <wp:posOffset>517525</wp:posOffset>
          </wp:positionV>
          <wp:extent cx="187325" cy="257572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325" cy="25757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9029.0" w:type="dxa"/>
      <w:jc w:val="right"/>
      <w:tblLayout w:type="fixed"/>
      <w:tblLook w:val="0600"/>
    </w:tblPr>
    <w:tblGrid>
      <w:gridCol w:w="675"/>
      <w:gridCol w:w="6854"/>
      <w:gridCol w:w="1500"/>
      <w:tblGridChange w:id="0">
        <w:tblGrid>
          <w:gridCol w:w="675"/>
          <w:gridCol w:w="6854"/>
          <w:gridCol w:w="15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58.740157480315" w:type="dxa"/>
            <w:left w:w="158.740157480315" w:type="dxa"/>
            <w:bottom w:w="158.740157480315" w:type="dxa"/>
            <w:right w:w="158.740157480315" w:type="dxa"/>
          </w:tcMar>
          <w:vAlign w:val="bottom"/>
        </w:tcPr>
        <w:p w:rsidR="00000000" w:rsidDel="00000000" w:rsidP="00000000" w:rsidRDefault="00000000" w:rsidRPr="00000000" w14:paraId="0000001C">
          <w:pPr>
            <w:spacing w:after="0" w:line="240" w:lineRule="auto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-807.3070866141733" w:type="dxa"/>
            <w:left w:w="-807.3070866141733" w:type="dxa"/>
            <w:bottom w:w="-807.3070866141733" w:type="dxa"/>
            <w:right w:w="-807.3070866141733" w:type="dxa"/>
          </w:tcMar>
          <w:vAlign w:val="bottom"/>
        </w:tcPr>
        <w:p w:rsidR="00000000" w:rsidDel="00000000" w:rsidP="00000000" w:rsidRDefault="00000000" w:rsidRPr="00000000" w14:paraId="0000001D">
          <w:pPr>
            <w:spacing w:after="0" w:line="240" w:lineRule="auto"/>
            <w:jc w:val="center"/>
            <w:rPr>
              <w:color w:val="787b93"/>
              <w:sz w:val="16"/>
              <w:szCs w:val="16"/>
            </w:rPr>
          </w:pPr>
          <w:r w:rsidDel="00000000" w:rsidR="00000000" w:rsidRPr="00000000">
            <w:rPr>
              <w:color w:val="787b93"/>
              <w:sz w:val="16"/>
              <w:szCs w:val="16"/>
              <w:rtl w:val="0"/>
            </w:rPr>
            <w:t xml:space="preserve">Useme Sp. z o.o. · ul. Świdnicka 12-16 · 50-068 Wrocław · Polska · NIP: 8992744965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-807.3070866141733" w:type="dxa"/>
            <w:left w:w="-807.3070866141733" w:type="dxa"/>
            <w:bottom w:w="-807.3070866141733" w:type="dxa"/>
            <w:right w:w="-807.3070866141733" w:type="dxa"/>
          </w:tcMar>
          <w:vAlign w:val="bottom"/>
        </w:tcPr>
        <w:p w:rsidR="00000000" w:rsidDel="00000000" w:rsidP="00000000" w:rsidRDefault="00000000" w:rsidRPr="00000000" w14:paraId="0000001E">
          <w:pPr>
            <w:widowControl w:val="0"/>
            <w:spacing w:after="0" w:line="240" w:lineRule="auto"/>
            <w:jc w:val="left"/>
            <w:rPr>
              <w:b w:val="1"/>
              <w:color w:val="4955ff"/>
              <w:sz w:val="18"/>
              <w:szCs w:val="18"/>
            </w:rPr>
          </w:pPr>
          <w:r w:rsidDel="00000000" w:rsidR="00000000" w:rsidRPr="00000000">
            <w:rPr>
              <w:b w:val="1"/>
              <w:color w:val="4955ff"/>
              <w:sz w:val="18"/>
              <w:szCs w:val="18"/>
              <w:rtl w:val="0"/>
            </w:rPr>
            <w:t xml:space="preserve">useme.com</w:t>
          </w:r>
        </w:p>
      </w:tc>
    </w:tr>
  </w:tbl>
  <w:p w:rsidR="00000000" w:rsidDel="00000000" w:rsidP="00000000" w:rsidRDefault="00000000" w:rsidRPr="00000000" w14:paraId="0000001F">
    <w:pPr>
      <w:spacing w:line="240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inline distB="114300" distT="114300" distL="114300" distR="114300">
          <wp:extent cx="5731200" cy="508000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9252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4500"/>
      <w:gridCol w:w="4752.000000000001"/>
      <w:tblGridChange w:id="0">
        <w:tblGrid>
          <w:gridCol w:w="4500"/>
          <w:gridCol w:w="4752.000000000001"/>
        </w:tblGrid>
      </w:tblGridChange>
    </w:tblGrid>
    <w:tr>
      <w:trPr>
        <w:cantSplit w:val="0"/>
        <w:trHeight w:val="993.6000000000001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228725" cy="6191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7857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/>
          </w:pPr>
          <w:r w:rsidDel="00000000" w:rsidR="00000000" w:rsidRPr="00000000">
            <w:rPr>
              <w:rFonts w:ascii="PT Sans" w:cs="PT Sans" w:eastAsia="PT Sans" w:hAnsi="PT Sans"/>
              <w:i w:val="1"/>
              <w:color w:val="787b93"/>
              <w:sz w:val="18"/>
              <w:szCs w:val="18"/>
              <w:rtl w:val="0"/>
            </w:rPr>
            <w:t xml:space="preserve">3 wrz 2025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4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pl"/>
      </w:rPr>
    </w:rPrDefault>
    <w:pPrDefault>
      <w:pPr>
        <w:spacing w:after="3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PT Sans" w:cs="PT Sans" w:eastAsia="PT Sans" w:hAnsi="PT Sans"/>
      <w:b w:val="1"/>
      <w:color w:val="303458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PT Sans" w:cs="PT Sans" w:eastAsia="PT Sans" w:hAnsi="PT Sans"/>
      <w:b w:val="1"/>
      <w:color w:val="303458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color w:val="43434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PT Sans" w:cs="PT Sans" w:eastAsia="PT Sans" w:hAnsi="PT Sans"/>
      <w:b w:val="1"/>
      <w:color w:val="303458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paulina.bartkowska@goodonepr.pl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PTSans-regular.ttf"/><Relationship Id="rId6" Type="http://schemas.openxmlformats.org/officeDocument/2006/relationships/font" Target="fonts/PTSans-bold.ttf"/><Relationship Id="rId7" Type="http://schemas.openxmlformats.org/officeDocument/2006/relationships/font" Target="fonts/PTSans-italic.ttf"/><Relationship Id="rId8" Type="http://schemas.openxmlformats.org/officeDocument/2006/relationships/font" Target="fonts/PT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