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DAF7" w14:textId="3A24067F" w:rsidR="00FE43D5" w:rsidRPr="000D0D60" w:rsidRDefault="00AE1D9E">
      <w:pPr>
        <w:spacing w:line="276" w:lineRule="auto"/>
        <w:ind w:right="-483"/>
        <w:rPr>
          <w:rFonts w:asciiTheme="majorHAnsi" w:eastAsia="Arial" w:hAnsiTheme="majorHAnsi" w:cstheme="majorHAnsi"/>
          <w:b/>
          <w:color w:val="000000" w:themeColor="text1"/>
          <w:sz w:val="20"/>
          <w:szCs w:val="20"/>
        </w:rPr>
      </w:pPr>
      <w:r w:rsidRPr="000D0D60">
        <w:rPr>
          <w:rFonts w:asciiTheme="majorHAnsi" w:hAnsiTheme="majorHAnsi" w:cstheme="maj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DC87B5" wp14:editId="0D714BF0">
                <wp:simplePos x="0" y="0"/>
                <wp:positionH relativeFrom="column">
                  <wp:posOffset>-277495</wp:posOffset>
                </wp:positionH>
                <wp:positionV relativeFrom="paragraph">
                  <wp:posOffset>253365</wp:posOffset>
                </wp:positionV>
                <wp:extent cx="6010910" cy="1022350"/>
                <wp:effectExtent l="0" t="0" r="27940" b="25400"/>
                <wp:wrapSquare wrapText="bothSides" distT="0" distB="0" distL="114300" distR="1143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580BE" w14:textId="4F7B158B" w:rsidR="00FE43D5" w:rsidRPr="00C96B8A" w:rsidRDefault="00864FF9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Ghelamco sprzedało </w:t>
                            </w:r>
                            <w:r w:rsidR="00D21D3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VIBE. </w:t>
                            </w:r>
                            <w:r w:rsidR="00270597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Jedna z największych</w:t>
                            </w:r>
                            <w:r w:rsidR="00D21D3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0597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w tym roku </w:t>
                            </w:r>
                            <w:r w:rsidR="00D21D3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transakcj</w:t>
                            </w:r>
                            <w:r w:rsidR="00270597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 w:rsidR="00D21D3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biurow</w:t>
                            </w:r>
                            <w:r w:rsidR="00270597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ych</w:t>
                            </w:r>
                            <w:r w:rsidR="00D21D3E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0597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w regionie</w:t>
                            </w:r>
                          </w:p>
                          <w:p w14:paraId="1B1427CF" w14:textId="77777777" w:rsidR="001E6FC8" w:rsidRPr="00C96B8A" w:rsidRDefault="001E6FC8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1A8CE5E" w14:textId="7788021C" w:rsidR="00FE43D5" w:rsidRPr="00432B01" w:rsidRDefault="007927DF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29</w:t>
                            </w:r>
                            <w:r w:rsidR="00527427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 w:rsidR="00D21D3E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sierpnia</w:t>
                            </w:r>
                            <w:r w:rsidR="00A07532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 w:rsidR="005A4288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202</w:t>
                            </w:r>
                            <w:r w:rsidR="00D21D3E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C87B5" id="Prostokąt 17" o:spid="_x0000_s1026" style="position:absolute;margin-left:-21.85pt;margin-top:19.95pt;width:473.3pt;height: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98580BE" w14:textId="4F7B158B" w:rsidR="00FE43D5" w:rsidRPr="00C96B8A" w:rsidRDefault="00864FF9">
                      <w:pPr>
                        <w:textDirection w:val="btL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Ghelamco sprzedało </w:t>
                      </w:r>
                      <w:r w:rsidR="00D21D3E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VIBE. </w:t>
                      </w:r>
                      <w:r w:rsidR="00270597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Jedna z największych</w:t>
                      </w:r>
                      <w:r w:rsidR="00D21D3E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270597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w tym roku </w:t>
                      </w:r>
                      <w:r w:rsidR="00D21D3E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transakcj</w:t>
                      </w:r>
                      <w:r w:rsidR="00270597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i</w:t>
                      </w:r>
                      <w:r w:rsidR="00D21D3E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biurow</w:t>
                      </w:r>
                      <w:r w:rsidR="00270597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ych</w:t>
                      </w:r>
                      <w:r w:rsidR="00D21D3E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270597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w regionie</w:t>
                      </w:r>
                    </w:p>
                    <w:p w14:paraId="1B1427CF" w14:textId="77777777" w:rsidR="001E6FC8" w:rsidRPr="00C96B8A" w:rsidRDefault="001E6FC8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14:paraId="51A8CE5E" w14:textId="7788021C" w:rsidR="00FE43D5" w:rsidRPr="00432B01" w:rsidRDefault="007927DF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29</w:t>
                      </w:r>
                      <w:r w:rsidR="00527427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 w:rsidR="00D21D3E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sierpnia</w:t>
                      </w:r>
                      <w:r w:rsidR="00A07532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 w:rsidR="005A4288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202</w:t>
                      </w:r>
                      <w:r w:rsidR="00D21D3E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B91482F" w14:textId="1820B748" w:rsidR="001A6375" w:rsidRPr="00AE1D9E" w:rsidRDefault="001A6375" w:rsidP="00AE1D9E">
      <w:pPr>
        <w:spacing w:line="276" w:lineRule="auto"/>
        <w:ind w:right="-483"/>
        <w:rPr>
          <w:rFonts w:asciiTheme="majorHAnsi" w:eastAsia="Arial" w:hAnsiTheme="majorHAnsi" w:cstheme="majorHAnsi"/>
          <w:b/>
          <w:color w:val="000000" w:themeColor="text1"/>
          <w:sz w:val="20"/>
          <w:szCs w:val="20"/>
        </w:rPr>
      </w:pPr>
    </w:p>
    <w:p w14:paraId="5A80AA53" w14:textId="321090FC" w:rsidR="00D13CDC" w:rsidRPr="007746DE" w:rsidRDefault="0066212D" w:rsidP="00D55690">
      <w:pPr>
        <w:spacing w:line="276" w:lineRule="auto"/>
        <w:ind w:left="-284" w:right="-483"/>
        <w:jc w:val="both"/>
      </w:pPr>
      <w:r>
        <w:rPr>
          <w:rFonts w:ascii="Arial" w:hAnsi="Arial" w:cs="Arial"/>
          <w:b/>
          <w:sz w:val="22"/>
          <w:szCs w:val="22"/>
        </w:rPr>
        <w:t>Ghelamco, c</w:t>
      </w:r>
      <w:r w:rsidR="00864FF9">
        <w:rPr>
          <w:rFonts w:ascii="Arial" w:hAnsi="Arial" w:cs="Arial"/>
          <w:b/>
          <w:sz w:val="22"/>
          <w:szCs w:val="22"/>
        </w:rPr>
        <w:t>zołowy deweloper na polskim rynku</w:t>
      </w:r>
      <w:r>
        <w:rPr>
          <w:rFonts w:ascii="Arial" w:hAnsi="Arial" w:cs="Arial"/>
          <w:b/>
          <w:sz w:val="22"/>
          <w:szCs w:val="22"/>
        </w:rPr>
        <w:t xml:space="preserve"> nieruchomości </w:t>
      </w:r>
      <w:r w:rsidR="00D21D3E">
        <w:rPr>
          <w:rFonts w:ascii="Arial" w:hAnsi="Arial" w:cs="Arial"/>
          <w:b/>
          <w:sz w:val="22"/>
          <w:szCs w:val="22"/>
        </w:rPr>
        <w:t>biurowych</w:t>
      </w:r>
      <w:r w:rsidR="00864FF9">
        <w:rPr>
          <w:rFonts w:ascii="Arial" w:hAnsi="Arial" w:cs="Arial"/>
          <w:b/>
          <w:sz w:val="22"/>
          <w:szCs w:val="22"/>
        </w:rPr>
        <w:t>,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 </w:t>
      </w:r>
      <w:r w:rsidR="0072052D">
        <w:rPr>
          <w:rFonts w:ascii="Arial" w:hAnsi="Arial" w:cs="Arial"/>
          <w:b/>
          <w:sz w:val="22"/>
          <w:szCs w:val="22"/>
        </w:rPr>
        <w:t>sprzedał</w:t>
      </w:r>
      <w:r w:rsidR="0052636E">
        <w:rPr>
          <w:rFonts w:ascii="Arial" w:hAnsi="Arial" w:cs="Arial"/>
          <w:b/>
          <w:sz w:val="22"/>
          <w:szCs w:val="22"/>
        </w:rPr>
        <w:t>o</w:t>
      </w:r>
      <w:r w:rsidR="0072052D">
        <w:rPr>
          <w:rFonts w:ascii="Arial" w:hAnsi="Arial" w:cs="Arial"/>
          <w:b/>
          <w:sz w:val="22"/>
          <w:szCs w:val="22"/>
        </w:rPr>
        <w:t xml:space="preserve"> </w:t>
      </w:r>
      <w:r w:rsidR="00D21D3E">
        <w:rPr>
          <w:rFonts w:ascii="Arial" w:hAnsi="Arial" w:cs="Arial"/>
          <w:b/>
          <w:sz w:val="22"/>
          <w:szCs w:val="22"/>
        </w:rPr>
        <w:t xml:space="preserve">jedną ze swoich </w:t>
      </w:r>
      <w:r w:rsidR="007F7D7D">
        <w:rPr>
          <w:rFonts w:ascii="Arial" w:hAnsi="Arial" w:cs="Arial"/>
          <w:b/>
          <w:sz w:val="22"/>
          <w:szCs w:val="22"/>
        </w:rPr>
        <w:t>najnowszych</w:t>
      </w:r>
      <w:r w:rsidR="00D21D3E">
        <w:rPr>
          <w:rFonts w:ascii="Arial" w:hAnsi="Arial" w:cs="Arial"/>
          <w:b/>
          <w:sz w:val="22"/>
          <w:szCs w:val="22"/>
        </w:rPr>
        <w:t xml:space="preserve"> warszawskich inwestycji w rejonie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 rond</w:t>
      </w:r>
      <w:r w:rsidR="00D21D3E">
        <w:rPr>
          <w:rFonts w:ascii="Arial" w:hAnsi="Arial" w:cs="Arial"/>
          <w:b/>
          <w:sz w:val="22"/>
          <w:szCs w:val="22"/>
        </w:rPr>
        <w:t>a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 Daszyńskiego</w:t>
      </w:r>
      <w:r w:rsidR="00D21D3E">
        <w:rPr>
          <w:rFonts w:ascii="Arial" w:hAnsi="Arial" w:cs="Arial"/>
          <w:b/>
          <w:sz w:val="22"/>
          <w:szCs w:val="22"/>
        </w:rPr>
        <w:t xml:space="preserve"> – </w:t>
      </w:r>
      <w:r w:rsidR="00270597">
        <w:rPr>
          <w:rFonts w:ascii="Arial" w:hAnsi="Arial" w:cs="Arial"/>
          <w:b/>
          <w:sz w:val="22"/>
          <w:szCs w:val="22"/>
        </w:rPr>
        <w:t>biurowiec</w:t>
      </w:r>
      <w:r w:rsidR="00D21D3E">
        <w:rPr>
          <w:rFonts w:ascii="Arial" w:hAnsi="Arial" w:cs="Arial"/>
          <w:b/>
          <w:sz w:val="22"/>
          <w:szCs w:val="22"/>
        </w:rPr>
        <w:t xml:space="preserve"> VIBE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. </w:t>
      </w:r>
      <w:r w:rsidR="00AA638F">
        <w:rPr>
          <w:rFonts w:ascii="Arial" w:hAnsi="Arial" w:cs="Arial"/>
          <w:b/>
          <w:sz w:val="22"/>
          <w:szCs w:val="22"/>
        </w:rPr>
        <w:t>N</w:t>
      </w:r>
      <w:r w:rsidR="00584540">
        <w:rPr>
          <w:rFonts w:ascii="Arial" w:hAnsi="Arial" w:cs="Arial"/>
          <w:b/>
          <w:sz w:val="22"/>
          <w:szCs w:val="22"/>
        </w:rPr>
        <w:t>abył</w:t>
      </w:r>
      <w:r w:rsidR="00E1297B">
        <w:rPr>
          <w:rFonts w:ascii="Arial" w:hAnsi="Arial" w:cs="Arial"/>
          <w:b/>
          <w:sz w:val="22"/>
          <w:szCs w:val="22"/>
        </w:rPr>
        <w:t>a</w:t>
      </w:r>
      <w:r w:rsidR="00584540">
        <w:rPr>
          <w:rFonts w:ascii="Arial" w:hAnsi="Arial" w:cs="Arial"/>
          <w:b/>
          <w:sz w:val="22"/>
          <w:szCs w:val="22"/>
        </w:rPr>
        <w:t xml:space="preserve"> go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 </w:t>
      </w:r>
      <w:r w:rsidR="0097110A">
        <w:rPr>
          <w:rFonts w:ascii="Arial" w:hAnsi="Arial" w:cs="Arial"/>
          <w:b/>
          <w:sz w:val="22"/>
          <w:szCs w:val="22"/>
        </w:rPr>
        <w:t>międzynarodowa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 </w:t>
      </w:r>
      <w:r w:rsidR="00270597">
        <w:rPr>
          <w:rFonts w:ascii="Arial" w:hAnsi="Arial" w:cs="Arial"/>
          <w:b/>
          <w:sz w:val="22"/>
          <w:szCs w:val="22"/>
        </w:rPr>
        <w:t>firma inwestycyjna</w:t>
      </w:r>
      <w:r w:rsidR="0097110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110A">
        <w:rPr>
          <w:rFonts w:ascii="Arial" w:hAnsi="Arial" w:cs="Arial"/>
          <w:b/>
          <w:sz w:val="22"/>
          <w:szCs w:val="22"/>
        </w:rPr>
        <w:t>Manova</w:t>
      </w:r>
      <w:proofErr w:type="spellEnd"/>
      <w:r w:rsidR="0097110A">
        <w:rPr>
          <w:rFonts w:ascii="Arial" w:hAnsi="Arial" w:cs="Arial"/>
          <w:b/>
          <w:sz w:val="22"/>
          <w:szCs w:val="22"/>
        </w:rPr>
        <w:t xml:space="preserve"> Partners</w:t>
      </w:r>
      <w:r w:rsidR="00864FF9" w:rsidRPr="00864FF9">
        <w:rPr>
          <w:rFonts w:ascii="Arial" w:hAnsi="Arial" w:cs="Arial"/>
          <w:b/>
          <w:sz w:val="22"/>
          <w:szCs w:val="22"/>
        </w:rPr>
        <w:t xml:space="preserve">. </w:t>
      </w:r>
      <w:r w:rsidR="00864FF9">
        <w:rPr>
          <w:rFonts w:ascii="Arial" w:hAnsi="Arial" w:cs="Arial"/>
          <w:b/>
          <w:sz w:val="22"/>
          <w:szCs w:val="22"/>
        </w:rPr>
        <w:t xml:space="preserve">To </w:t>
      </w:r>
      <w:r w:rsidR="00270597">
        <w:rPr>
          <w:rFonts w:ascii="Arial" w:hAnsi="Arial" w:cs="Arial"/>
          <w:b/>
          <w:sz w:val="22"/>
          <w:szCs w:val="22"/>
        </w:rPr>
        <w:t xml:space="preserve">jedna z </w:t>
      </w:r>
      <w:r w:rsidR="00D21D3E">
        <w:rPr>
          <w:rFonts w:ascii="Arial" w:hAnsi="Arial" w:cs="Arial"/>
          <w:b/>
          <w:sz w:val="22"/>
          <w:szCs w:val="22"/>
        </w:rPr>
        <w:t>największ</w:t>
      </w:r>
      <w:r w:rsidR="00270597">
        <w:rPr>
          <w:rFonts w:ascii="Arial" w:hAnsi="Arial" w:cs="Arial"/>
          <w:b/>
          <w:sz w:val="22"/>
          <w:szCs w:val="22"/>
        </w:rPr>
        <w:t>ych</w:t>
      </w:r>
      <w:r w:rsidR="00D21D3E">
        <w:rPr>
          <w:rFonts w:ascii="Arial" w:hAnsi="Arial" w:cs="Arial"/>
          <w:b/>
          <w:sz w:val="22"/>
          <w:szCs w:val="22"/>
        </w:rPr>
        <w:t xml:space="preserve"> transakcj</w:t>
      </w:r>
      <w:r w:rsidR="00270597">
        <w:rPr>
          <w:rFonts w:ascii="Arial" w:hAnsi="Arial" w:cs="Arial"/>
          <w:b/>
          <w:sz w:val="22"/>
          <w:szCs w:val="22"/>
        </w:rPr>
        <w:t>i</w:t>
      </w:r>
      <w:r w:rsidR="00D21D3E">
        <w:rPr>
          <w:rFonts w:ascii="Arial" w:hAnsi="Arial" w:cs="Arial"/>
          <w:b/>
          <w:sz w:val="22"/>
          <w:szCs w:val="22"/>
        </w:rPr>
        <w:t xml:space="preserve">, jaką w tym roku odnotowano </w:t>
      </w:r>
      <w:r w:rsidR="002779E3">
        <w:rPr>
          <w:rFonts w:ascii="Arial" w:hAnsi="Arial" w:cs="Arial"/>
          <w:b/>
          <w:sz w:val="22"/>
          <w:szCs w:val="22"/>
        </w:rPr>
        <w:t>na</w:t>
      </w:r>
      <w:r w:rsidR="00D21D3E">
        <w:rPr>
          <w:rFonts w:ascii="Arial" w:hAnsi="Arial" w:cs="Arial"/>
          <w:b/>
          <w:sz w:val="22"/>
          <w:szCs w:val="22"/>
        </w:rPr>
        <w:t xml:space="preserve"> rynku biurowym</w:t>
      </w:r>
      <w:r w:rsidR="00270597">
        <w:rPr>
          <w:rFonts w:ascii="Arial" w:hAnsi="Arial" w:cs="Arial"/>
          <w:b/>
          <w:sz w:val="22"/>
          <w:szCs w:val="22"/>
        </w:rPr>
        <w:t xml:space="preserve"> w Europie Środkowo-Wschodniej</w:t>
      </w:r>
      <w:r w:rsidR="008857D8">
        <w:rPr>
          <w:rFonts w:ascii="Arial" w:hAnsi="Arial" w:cs="Arial"/>
          <w:b/>
          <w:sz w:val="22"/>
          <w:szCs w:val="22"/>
        </w:rPr>
        <w:t>.</w:t>
      </w:r>
    </w:p>
    <w:p w14:paraId="6A417542" w14:textId="7F7453C1" w:rsidR="001E6FC8" w:rsidRDefault="001E6FC8" w:rsidP="00D55690">
      <w:pPr>
        <w:spacing w:line="276" w:lineRule="auto"/>
        <w:ind w:right="-483"/>
        <w:jc w:val="both"/>
        <w:rPr>
          <w:rFonts w:ascii="Arial" w:hAnsi="Arial" w:cs="Arial"/>
          <w:sz w:val="22"/>
          <w:szCs w:val="22"/>
        </w:rPr>
      </w:pPr>
    </w:p>
    <w:p w14:paraId="2CBE14E4" w14:textId="77777777" w:rsidR="009E3C48" w:rsidRDefault="009E3C48" w:rsidP="00D55690">
      <w:pPr>
        <w:spacing w:line="276" w:lineRule="auto"/>
        <w:ind w:right="-483"/>
        <w:jc w:val="both"/>
        <w:rPr>
          <w:rFonts w:ascii="Arial" w:hAnsi="Arial" w:cs="Arial"/>
          <w:sz w:val="22"/>
          <w:szCs w:val="22"/>
        </w:rPr>
      </w:pPr>
    </w:p>
    <w:p w14:paraId="6124B0AF" w14:textId="2359E0DC" w:rsidR="00A84EB7" w:rsidRDefault="00584540" w:rsidP="00D55690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Ghelamco</w:t>
      </w:r>
      <w:r w:rsidR="0097110A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="0097110A">
        <w:rPr>
          <w:rFonts w:ascii="Arial" w:hAnsi="Arial" w:cs="Arial"/>
          <w:bCs/>
          <w:sz w:val="22"/>
          <w:szCs w:val="22"/>
        </w:rPr>
        <w:t>Manova</w:t>
      </w:r>
      <w:proofErr w:type="spellEnd"/>
      <w:r w:rsidR="0097110A">
        <w:rPr>
          <w:rFonts w:ascii="Arial" w:hAnsi="Arial" w:cs="Arial"/>
          <w:bCs/>
          <w:sz w:val="22"/>
          <w:szCs w:val="22"/>
        </w:rPr>
        <w:t xml:space="preserve"> Partners</w:t>
      </w:r>
      <w:r>
        <w:rPr>
          <w:rFonts w:ascii="Arial" w:hAnsi="Arial" w:cs="Arial"/>
          <w:bCs/>
          <w:sz w:val="22"/>
          <w:szCs w:val="22"/>
        </w:rPr>
        <w:t xml:space="preserve"> poinformowały o podpisaniu umowy</w:t>
      </w:r>
      <w:r w:rsidR="002779E3">
        <w:rPr>
          <w:rFonts w:ascii="Arial" w:hAnsi="Arial" w:cs="Arial"/>
          <w:bCs/>
          <w:sz w:val="22"/>
          <w:szCs w:val="22"/>
        </w:rPr>
        <w:t xml:space="preserve"> końcowej</w:t>
      </w:r>
      <w:r>
        <w:rPr>
          <w:rFonts w:ascii="Arial" w:hAnsi="Arial" w:cs="Arial"/>
          <w:bCs/>
          <w:sz w:val="22"/>
          <w:szCs w:val="22"/>
        </w:rPr>
        <w:t xml:space="preserve"> kupna-sprzedaży położonego w centrum Warszawy </w:t>
      </w:r>
      <w:r w:rsidR="00270597">
        <w:rPr>
          <w:rFonts w:ascii="Arial" w:hAnsi="Arial" w:cs="Arial"/>
          <w:bCs/>
          <w:sz w:val="22"/>
          <w:szCs w:val="22"/>
        </w:rPr>
        <w:t>budynku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70597">
        <w:rPr>
          <w:rFonts w:ascii="Arial" w:hAnsi="Arial" w:cs="Arial"/>
          <w:bCs/>
          <w:sz w:val="22"/>
          <w:szCs w:val="22"/>
        </w:rPr>
        <w:t xml:space="preserve">A </w:t>
      </w:r>
      <w:r w:rsidR="00034368">
        <w:rPr>
          <w:rFonts w:ascii="Arial" w:hAnsi="Arial" w:cs="Arial"/>
          <w:bCs/>
          <w:sz w:val="22"/>
          <w:szCs w:val="22"/>
        </w:rPr>
        <w:t>w</w:t>
      </w:r>
      <w:r w:rsidR="00270597">
        <w:rPr>
          <w:rFonts w:ascii="Arial" w:hAnsi="Arial" w:cs="Arial"/>
          <w:bCs/>
          <w:sz w:val="22"/>
          <w:szCs w:val="22"/>
        </w:rPr>
        <w:t xml:space="preserve"> kompleks</w:t>
      </w:r>
      <w:r w:rsidR="00034368">
        <w:rPr>
          <w:rFonts w:ascii="Arial" w:hAnsi="Arial" w:cs="Arial"/>
          <w:bCs/>
          <w:sz w:val="22"/>
          <w:szCs w:val="22"/>
        </w:rPr>
        <w:t>ie</w:t>
      </w:r>
      <w:r w:rsidR="00270597">
        <w:rPr>
          <w:rFonts w:ascii="Arial" w:hAnsi="Arial" w:cs="Arial"/>
          <w:bCs/>
          <w:sz w:val="22"/>
          <w:szCs w:val="22"/>
        </w:rPr>
        <w:t xml:space="preserve"> biurow</w:t>
      </w:r>
      <w:r w:rsidR="00034368">
        <w:rPr>
          <w:rFonts w:ascii="Arial" w:hAnsi="Arial" w:cs="Arial"/>
          <w:bCs/>
          <w:sz w:val="22"/>
          <w:szCs w:val="22"/>
        </w:rPr>
        <w:t>ym</w:t>
      </w:r>
      <w:r w:rsidR="00270597">
        <w:rPr>
          <w:rFonts w:ascii="Arial" w:hAnsi="Arial" w:cs="Arial"/>
          <w:bCs/>
          <w:sz w:val="22"/>
          <w:szCs w:val="22"/>
        </w:rPr>
        <w:t xml:space="preserve"> </w:t>
      </w:r>
      <w:r w:rsidR="0097110A">
        <w:rPr>
          <w:rFonts w:ascii="Arial" w:hAnsi="Arial" w:cs="Arial"/>
          <w:bCs/>
          <w:sz w:val="22"/>
          <w:szCs w:val="22"/>
        </w:rPr>
        <w:t>VIBE</w:t>
      </w:r>
      <w:r w:rsidR="00270597">
        <w:rPr>
          <w:rFonts w:ascii="Arial" w:hAnsi="Arial" w:cs="Arial"/>
          <w:bCs/>
          <w:sz w:val="22"/>
          <w:szCs w:val="22"/>
        </w:rPr>
        <w:t xml:space="preserve"> (I etap)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A84EB7">
        <w:rPr>
          <w:rFonts w:ascii="Arial" w:hAnsi="Arial" w:cs="Arial"/>
          <w:bCs/>
          <w:sz w:val="22"/>
          <w:szCs w:val="22"/>
        </w:rPr>
        <w:t xml:space="preserve">Liczący </w:t>
      </w:r>
      <w:r w:rsidR="00D810C8">
        <w:rPr>
          <w:rFonts w:ascii="Arial" w:hAnsi="Arial" w:cs="Arial"/>
          <w:bCs/>
          <w:sz w:val="22"/>
          <w:szCs w:val="22"/>
        </w:rPr>
        <w:t xml:space="preserve">około </w:t>
      </w:r>
      <w:r w:rsidR="0097110A">
        <w:rPr>
          <w:rFonts w:ascii="Arial" w:hAnsi="Arial" w:cs="Arial"/>
          <w:bCs/>
          <w:sz w:val="22"/>
          <w:szCs w:val="22"/>
        </w:rPr>
        <w:t>15</w:t>
      </w:r>
      <w:r w:rsidR="00A84EB7">
        <w:rPr>
          <w:rFonts w:ascii="Arial" w:hAnsi="Arial" w:cs="Arial"/>
          <w:bCs/>
          <w:sz w:val="22"/>
          <w:szCs w:val="22"/>
        </w:rPr>
        <w:t xml:space="preserve"> tys. mkw. powierzchni </w:t>
      </w:r>
      <w:r w:rsidR="0007644D">
        <w:rPr>
          <w:rFonts w:ascii="Arial" w:hAnsi="Arial" w:cs="Arial"/>
          <w:bCs/>
          <w:sz w:val="22"/>
          <w:szCs w:val="22"/>
        </w:rPr>
        <w:t>najmu</w:t>
      </w:r>
      <w:r w:rsidR="00A84EB7">
        <w:rPr>
          <w:rFonts w:ascii="Arial" w:hAnsi="Arial" w:cs="Arial"/>
          <w:bCs/>
          <w:sz w:val="22"/>
          <w:szCs w:val="22"/>
        </w:rPr>
        <w:t xml:space="preserve"> </w:t>
      </w:r>
      <w:r w:rsidR="0007644D">
        <w:rPr>
          <w:rFonts w:ascii="Arial" w:hAnsi="Arial" w:cs="Arial"/>
          <w:bCs/>
          <w:sz w:val="22"/>
          <w:szCs w:val="22"/>
        </w:rPr>
        <w:t>biurowiec</w:t>
      </w:r>
      <w:r w:rsidR="00A84EB7">
        <w:rPr>
          <w:rFonts w:ascii="Arial" w:hAnsi="Arial" w:cs="Arial"/>
          <w:bCs/>
          <w:sz w:val="22"/>
          <w:szCs w:val="22"/>
        </w:rPr>
        <w:t xml:space="preserve"> należy do najnowocześniejszych i najbardziej ekologicznych obiektów tej klasy </w:t>
      </w:r>
      <w:r w:rsidR="0097110A">
        <w:rPr>
          <w:rFonts w:ascii="Arial" w:hAnsi="Arial" w:cs="Arial"/>
          <w:bCs/>
          <w:sz w:val="22"/>
          <w:szCs w:val="22"/>
        </w:rPr>
        <w:t>w Polsce</w:t>
      </w:r>
      <w:r w:rsidR="00A84EB7">
        <w:rPr>
          <w:rFonts w:ascii="Arial" w:hAnsi="Arial" w:cs="Arial"/>
          <w:bCs/>
          <w:sz w:val="22"/>
          <w:szCs w:val="22"/>
        </w:rPr>
        <w:t>.</w:t>
      </w:r>
      <w:r w:rsidR="00BF5500">
        <w:rPr>
          <w:rFonts w:ascii="Arial" w:hAnsi="Arial" w:cs="Arial"/>
          <w:bCs/>
          <w:sz w:val="22"/>
          <w:szCs w:val="22"/>
        </w:rPr>
        <w:t xml:space="preserve"> Budynek jest w </w:t>
      </w:r>
      <w:r w:rsidR="002779E3">
        <w:rPr>
          <w:rFonts w:ascii="Arial" w:hAnsi="Arial" w:cs="Arial"/>
          <w:bCs/>
          <w:sz w:val="22"/>
          <w:szCs w:val="22"/>
        </w:rPr>
        <w:t>100%</w:t>
      </w:r>
      <w:r w:rsidR="00BF5500">
        <w:rPr>
          <w:rFonts w:ascii="Arial" w:hAnsi="Arial" w:cs="Arial"/>
          <w:bCs/>
          <w:sz w:val="22"/>
          <w:szCs w:val="22"/>
        </w:rPr>
        <w:t xml:space="preserve"> skomercjalizowany, a do jego największych najemców należą</w:t>
      </w:r>
      <w:r w:rsidR="002779E3">
        <w:rPr>
          <w:rFonts w:ascii="Arial" w:hAnsi="Arial" w:cs="Arial"/>
          <w:bCs/>
          <w:sz w:val="22"/>
          <w:szCs w:val="22"/>
        </w:rPr>
        <w:t xml:space="preserve"> znane i prestiżowe firmy</w:t>
      </w:r>
      <w:r w:rsidR="007927DF">
        <w:rPr>
          <w:rFonts w:ascii="Arial" w:hAnsi="Arial" w:cs="Arial"/>
          <w:bCs/>
          <w:sz w:val="22"/>
          <w:szCs w:val="22"/>
        </w:rPr>
        <w:t>, jak</w:t>
      </w:r>
      <w:r w:rsidR="002779E3">
        <w:rPr>
          <w:rFonts w:ascii="Arial" w:hAnsi="Arial" w:cs="Arial"/>
          <w:bCs/>
          <w:sz w:val="22"/>
          <w:szCs w:val="22"/>
        </w:rPr>
        <w:t xml:space="preserve"> </w:t>
      </w:r>
      <w:r w:rsidR="002779E3" w:rsidRPr="002779E3">
        <w:rPr>
          <w:rFonts w:ascii="Arial" w:hAnsi="Arial" w:cs="Arial"/>
          <w:bCs/>
          <w:sz w:val="22"/>
          <w:szCs w:val="22"/>
        </w:rPr>
        <w:t>Reckitt</w:t>
      </w:r>
      <w:r w:rsidR="007927DF">
        <w:rPr>
          <w:rFonts w:ascii="Arial" w:hAnsi="Arial" w:cs="Arial"/>
          <w:bCs/>
          <w:sz w:val="22"/>
          <w:szCs w:val="22"/>
        </w:rPr>
        <w:t xml:space="preserve"> Benckiser</w:t>
      </w:r>
      <w:r w:rsidR="002779E3" w:rsidRPr="002779E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779E3" w:rsidRPr="002779E3">
        <w:rPr>
          <w:rFonts w:ascii="Arial" w:hAnsi="Arial" w:cs="Arial"/>
          <w:bCs/>
          <w:sz w:val="22"/>
          <w:szCs w:val="22"/>
        </w:rPr>
        <w:t>Rödl</w:t>
      </w:r>
      <w:proofErr w:type="spellEnd"/>
      <w:r w:rsidR="002779E3" w:rsidRPr="002779E3">
        <w:rPr>
          <w:rFonts w:ascii="Arial" w:hAnsi="Arial" w:cs="Arial"/>
          <w:bCs/>
          <w:sz w:val="22"/>
          <w:szCs w:val="22"/>
        </w:rPr>
        <w:t xml:space="preserve"> &amp; Partner, MDDP Outsourcing, Porsche i Knight Frank.</w:t>
      </w:r>
    </w:p>
    <w:p w14:paraId="61FC6ED7" w14:textId="77777777" w:rsidR="00606A2A" w:rsidRDefault="00606A2A" w:rsidP="00D55690">
      <w:pPr>
        <w:spacing w:line="276" w:lineRule="auto"/>
        <w:ind w:right="-483"/>
        <w:jc w:val="both"/>
        <w:rPr>
          <w:rFonts w:ascii="Arial" w:hAnsi="Arial" w:cs="Arial"/>
          <w:sz w:val="22"/>
          <w:szCs w:val="22"/>
        </w:rPr>
      </w:pPr>
    </w:p>
    <w:p w14:paraId="609FF1C3" w14:textId="68C6F6F8" w:rsidR="00F75241" w:rsidRDefault="009533A7" w:rsidP="009F07D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  <w:r w:rsidRPr="00E615C1">
        <w:rPr>
          <w:rFonts w:ascii="Arial" w:hAnsi="Arial" w:cs="Arial"/>
          <w:iCs/>
          <w:sz w:val="22"/>
          <w:szCs w:val="22"/>
        </w:rPr>
        <w:t>–</w:t>
      </w:r>
      <w:r w:rsidRPr="00190138">
        <w:rPr>
          <w:rFonts w:ascii="Arial" w:hAnsi="Arial" w:cs="Arial"/>
          <w:i/>
          <w:iCs/>
          <w:sz w:val="22"/>
          <w:szCs w:val="22"/>
        </w:rPr>
        <w:t xml:space="preserve"> </w:t>
      </w:r>
      <w:r w:rsidR="00B7049C" w:rsidRPr="00B7049C">
        <w:rPr>
          <w:rFonts w:ascii="Arial" w:hAnsi="Arial" w:cs="Arial"/>
          <w:i/>
          <w:iCs/>
          <w:sz w:val="22"/>
          <w:szCs w:val="22"/>
        </w:rPr>
        <w:t>VIBE to wyjątkowy projekt w portfolio</w:t>
      </w:r>
      <w:r w:rsidR="009F07DE">
        <w:rPr>
          <w:rFonts w:ascii="Arial" w:hAnsi="Arial" w:cs="Arial"/>
          <w:i/>
          <w:iCs/>
          <w:sz w:val="22"/>
          <w:szCs w:val="22"/>
        </w:rPr>
        <w:t xml:space="preserve"> Ghelamco</w:t>
      </w:r>
      <w:r w:rsidR="00B7049C" w:rsidRPr="00B7049C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B7049C">
        <w:rPr>
          <w:rFonts w:ascii="Arial" w:hAnsi="Arial" w:cs="Arial"/>
          <w:i/>
          <w:iCs/>
          <w:sz w:val="22"/>
          <w:szCs w:val="22"/>
        </w:rPr>
        <w:t>wykorzystujący najnowocześniejsze</w:t>
      </w:r>
      <w:r w:rsidR="00CF7FB9">
        <w:rPr>
          <w:rFonts w:ascii="Arial" w:hAnsi="Arial" w:cs="Arial"/>
          <w:i/>
          <w:iCs/>
          <w:sz w:val="22"/>
          <w:szCs w:val="22"/>
        </w:rPr>
        <w:t>,</w:t>
      </w:r>
      <w:r w:rsidR="00B7049C">
        <w:rPr>
          <w:rFonts w:ascii="Arial" w:hAnsi="Arial" w:cs="Arial"/>
          <w:i/>
          <w:iCs/>
          <w:sz w:val="22"/>
          <w:szCs w:val="22"/>
        </w:rPr>
        <w:t xml:space="preserve"> ekologiczne technologie i rozwiązania</w:t>
      </w:r>
      <w:r w:rsidR="00B7049C" w:rsidRPr="00B7049C">
        <w:rPr>
          <w:rFonts w:ascii="Arial" w:hAnsi="Arial" w:cs="Arial"/>
          <w:i/>
          <w:iCs/>
          <w:sz w:val="22"/>
          <w:szCs w:val="22"/>
        </w:rPr>
        <w:t xml:space="preserve">, w pełni </w:t>
      </w:r>
      <w:r w:rsidR="007927DF">
        <w:rPr>
          <w:rFonts w:ascii="Arial" w:hAnsi="Arial" w:cs="Arial"/>
          <w:i/>
          <w:iCs/>
          <w:sz w:val="22"/>
          <w:szCs w:val="22"/>
        </w:rPr>
        <w:t>skomercjalizowany</w:t>
      </w:r>
      <w:r w:rsidR="007927DF" w:rsidRPr="00B7049C">
        <w:rPr>
          <w:rFonts w:ascii="Arial" w:hAnsi="Arial" w:cs="Arial"/>
          <w:i/>
          <w:iCs/>
          <w:sz w:val="22"/>
          <w:szCs w:val="22"/>
        </w:rPr>
        <w:t xml:space="preserve"> </w:t>
      </w:r>
      <w:r w:rsidR="009F07DE">
        <w:rPr>
          <w:rFonts w:ascii="Arial" w:hAnsi="Arial" w:cs="Arial"/>
          <w:i/>
          <w:iCs/>
          <w:sz w:val="22"/>
          <w:szCs w:val="22"/>
        </w:rPr>
        <w:t xml:space="preserve">oraz </w:t>
      </w:r>
      <w:r w:rsidR="00B7049C" w:rsidRPr="00B7049C">
        <w:rPr>
          <w:rFonts w:ascii="Arial" w:hAnsi="Arial" w:cs="Arial"/>
          <w:i/>
          <w:iCs/>
          <w:sz w:val="22"/>
          <w:szCs w:val="22"/>
        </w:rPr>
        <w:t xml:space="preserve">doskonale wpisujący się w dynamicznie rozwijające się centrum biznesowe Warszawy. </w:t>
      </w:r>
      <w:r w:rsidR="009F07DE">
        <w:rPr>
          <w:rFonts w:ascii="Arial" w:hAnsi="Arial" w:cs="Arial"/>
          <w:i/>
          <w:iCs/>
          <w:sz w:val="22"/>
          <w:szCs w:val="22"/>
        </w:rPr>
        <w:t>Cieszy nas</w:t>
      </w:r>
      <w:r w:rsidR="00190138" w:rsidRPr="00190138">
        <w:rPr>
          <w:rFonts w:ascii="Arial" w:hAnsi="Arial" w:cs="Arial"/>
          <w:i/>
          <w:iCs/>
          <w:sz w:val="22"/>
          <w:szCs w:val="22"/>
        </w:rPr>
        <w:t xml:space="preserve">, że docenili </w:t>
      </w:r>
      <w:r w:rsidR="00CF7FB9">
        <w:rPr>
          <w:rFonts w:ascii="Arial" w:hAnsi="Arial" w:cs="Arial"/>
          <w:i/>
          <w:iCs/>
          <w:sz w:val="22"/>
          <w:szCs w:val="22"/>
        </w:rPr>
        <w:t>go</w:t>
      </w:r>
      <w:r w:rsidR="00190138" w:rsidRPr="00190138">
        <w:rPr>
          <w:rFonts w:ascii="Arial" w:hAnsi="Arial" w:cs="Arial"/>
          <w:i/>
          <w:iCs/>
          <w:sz w:val="22"/>
          <w:szCs w:val="22"/>
        </w:rPr>
        <w:t xml:space="preserve"> nasi partnerzy z </w:t>
      </w:r>
      <w:proofErr w:type="spellStart"/>
      <w:r w:rsidR="009F07DE">
        <w:rPr>
          <w:rFonts w:ascii="Arial" w:hAnsi="Arial" w:cs="Arial"/>
          <w:bCs/>
          <w:i/>
          <w:iCs/>
          <w:sz w:val="22"/>
          <w:szCs w:val="22"/>
        </w:rPr>
        <w:t>Manova</w:t>
      </w:r>
      <w:proofErr w:type="spellEnd"/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, dla których te aspekty </w:t>
      </w:r>
      <w:r w:rsidR="009F07DE">
        <w:rPr>
          <w:rFonts w:ascii="Arial" w:hAnsi="Arial" w:cs="Arial"/>
          <w:bCs/>
          <w:i/>
          <w:iCs/>
          <w:sz w:val="22"/>
          <w:szCs w:val="22"/>
        </w:rPr>
        <w:t>były</w:t>
      </w:r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9F07DE">
        <w:rPr>
          <w:rFonts w:ascii="Arial" w:hAnsi="Arial" w:cs="Arial"/>
          <w:bCs/>
          <w:i/>
          <w:iCs/>
          <w:sz w:val="22"/>
          <w:szCs w:val="22"/>
        </w:rPr>
        <w:t>kluczowe</w:t>
      </w:r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 przy </w:t>
      </w:r>
      <w:r w:rsidR="009F07DE">
        <w:rPr>
          <w:rFonts w:ascii="Arial" w:hAnsi="Arial" w:cs="Arial"/>
          <w:bCs/>
          <w:i/>
          <w:iCs/>
          <w:sz w:val="22"/>
          <w:szCs w:val="22"/>
        </w:rPr>
        <w:t xml:space="preserve">wyborze </w:t>
      </w:r>
      <w:r w:rsidR="00F90CAB">
        <w:rPr>
          <w:rFonts w:ascii="Arial" w:hAnsi="Arial" w:cs="Arial"/>
          <w:bCs/>
          <w:i/>
          <w:iCs/>
          <w:sz w:val="22"/>
          <w:szCs w:val="22"/>
        </w:rPr>
        <w:t>nieruchomości</w:t>
      </w:r>
      <w:r w:rsidR="009F07DE">
        <w:rPr>
          <w:rFonts w:ascii="Arial" w:hAnsi="Arial" w:cs="Arial"/>
          <w:bCs/>
          <w:i/>
          <w:iCs/>
          <w:sz w:val="22"/>
          <w:szCs w:val="22"/>
        </w:rPr>
        <w:t xml:space="preserve"> do swojego portfela</w:t>
      </w:r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9F07DE">
        <w:rPr>
          <w:rFonts w:ascii="Arial" w:hAnsi="Arial" w:cs="Arial"/>
          <w:bCs/>
          <w:i/>
          <w:iCs/>
          <w:sz w:val="22"/>
          <w:szCs w:val="22"/>
        </w:rPr>
        <w:t>Serdecznie g</w:t>
      </w:r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ratulujemy </w:t>
      </w:r>
      <w:r w:rsidR="007927DF">
        <w:rPr>
          <w:rFonts w:ascii="Arial" w:hAnsi="Arial" w:cs="Arial"/>
          <w:bCs/>
          <w:i/>
          <w:iCs/>
          <w:sz w:val="22"/>
          <w:szCs w:val="22"/>
        </w:rPr>
        <w:t xml:space="preserve">im </w:t>
      </w:r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wyboru i jesteśmy przekonani, że </w:t>
      </w:r>
      <w:r w:rsidR="009F07DE">
        <w:rPr>
          <w:rFonts w:ascii="Arial" w:hAnsi="Arial" w:cs="Arial"/>
          <w:bCs/>
          <w:i/>
          <w:iCs/>
          <w:sz w:val="22"/>
          <w:szCs w:val="22"/>
        </w:rPr>
        <w:t>VIBE</w:t>
      </w:r>
      <w:r w:rsidR="00190138" w:rsidRPr="0019013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9F07DE">
        <w:rPr>
          <w:rFonts w:ascii="Arial" w:hAnsi="Arial" w:cs="Arial"/>
          <w:bCs/>
          <w:i/>
          <w:iCs/>
          <w:sz w:val="22"/>
          <w:szCs w:val="22"/>
        </w:rPr>
        <w:t>będzie cennym nabytkiem, który przez wiele lat będzie służył wysokiej klasy powierzchnią biurową.</w:t>
      </w:r>
      <w:r w:rsidR="00190138" w:rsidRPr="00190138">
        <w:rPr>
          <w:rFonts w:ascii="Arial" w:hAnsi="Arial" w:cs="Arial"/>
          <w:i/>
          <w:iCs/>
          <w:sz w:val="22"/>
          <w:szCs w:val="22"/>
        </w:rPr>
        <w:t xml:space="preserve"> </w:t>
      </w:r>
      <w:r w:rsidR="007927DF" w:rsidRPr="007927DF">
        <w:rPr>
          <w:rFonts w:ascii="Arial" w:hAnsi="Arial" w:cs="Arial"/>
          <w:i/>
          <w:iCs/>
          <w:sz w:val="22"/>
          <w:szCs w:val="22"/>
        </w:rPr>
        <w:t xml:space="preserve">Co warto podkreślić, </w:t>
      </w:r>
      <w:r w:rsidR="007927DF">
        <w:rPr>
          <w:rFonts w:ascii="Arial" w:hAnsi="Arial" w:cs="Arial"/>
          <w:i/>
          <w:iCs/>
          <w:sz w:val="22"/>
          <w:szCs w:val="22"/>
        </w:rPr>
        <w:t xml:space="preserve">ta </w:t>
      </w:r>
      <w:r w:rsidR="007927DF" w:rsidRPr="007927DF">
        <w:rPr>
          <w:rFonts w:ascii="Arial" w:hAnsi="Arial" w:cs="Arial"/>
          <w:i/>
          <w:iCs/>
          <w:sz w:val="22"/>
          <w:szCs w:val="22"/>
        </w:rPr>
        <w:t xml:space="preserve">transakcja to przykład powrotu </w:t>
      </w:r>
      <w:proofErr w:type="spellStart"/>
      <w:r w:rsidR="007927DF" w:rsidRPr="007927DF">
        <w:rPr>
          <w:rFonts w:ascii="Arial" w:hAnsi="Arial" w:cs="Arial"/>
          <w:i/>
          <w:iCs/>
          <w:sz w:val="22"/>
          <w:szCs w:val="22"/>
        </w:rPr>
        <w:t>corowych</w:t>
      </w:r>
      <w:proofErr w:type="spellEnd"/>
      <w:r w:rsidR="007927DF" w:rsidRPr="007927DF">
        <w:rPr>
          <w:rFonts w:ascii="Arial" w:hAnsi="Arial" w:cs="Arial"/>
          <w:i/>
          <w:iCs/>
          <w:sz w:val="22"/>
          <w:szCs w:val="22"/>
        </w:rPr>
        <w:t xml:space="preserve"> inwestorów na polski rynek biurowy</w:t>
      </w:r>
      <w:r w:rsidR="007927DF">
        <w:rPr>
          <w:rFonts w:ascii="Arial" w:hAnsi="Arial" w:cs="Arial"/>
          <w:i/>
          <w:iCs/>
          <w:sz w:val="22"/>
          <w:szCs w:val="22"/>
        </w:rPr>
        <w:t xml:space="preserve">, </w:t>
      </w:r>
      <w:r w:rsidR="007927DF" w:rsidRPr="007927DF">
        <w:rPr>
          <w:rFonts w:ascii="Arial" w:hAnsi="Arial" w:cs="Arial"/>
          <w:i/>
          <w:iCs/>
          <w:sz w:val="22"/>
          <w:szCs w:val="22"/>
        </w:rPr>
        <w:t>dla których najważniejsza jest jakość projektu w długiej perspektywie inwestycyjnej</w:t>
      </w:r>
      <w:r w:rsidR="00D8428A">
        <w:rPr>
          <w:rFonts w:ascii="Arial" w:hAnsi="Arial" w:cs="Arial"/>
          <w:i/>
          <w:iCs/>
          <w:sz w:val="22"/>
          <w:szCs w:val="22"/>
        </w:rPr>
        <w:t xml:space="preserve"> </w:t>
      </w:r>
      <w:r w:rsidR="004E5F20" w:rsidRPr="00E615C1">
        <w:rPr>
          <w:rFonts w:ascii="Arial" w:hAnsi="Arial" w:cs="Arial"/>
          <w:iCs/>
          <w:sz w:val="22"/>
          <w:szCs w:val="22"/>
        </w:rPr>
        <w:t>–</w:t>
      </w:r>
      <w:r w:rsidR="00D8428A">
        <w:rPr>
          <w:rFonts w:ascii="Arial" w:hAnsi="Arial" w:cs="Arial"/>
          <w:sz w:val="22"/>
          <w:szCs w:val="22"/>
        </w:rPr>
        <w:t> </w:t>
      </w:r>
      <w:r w:rsidR="004E5F20">
        <w:rPr>
          <w:rFonts w:ascii="Arial" w:hAnsi="Arial" w:cs="Arial"/>
          <w:sz w:val="22"/>
          <w:szCs w:val="22"/>
        </w:rPr>
        <w:t xml:space="preserve">mówi </w:t>
      </w:r>
      <w:r w:rsidR="00E370C6">
        <w:rPr>
          <w:rFonts w:ascii="Arial" w:hAnsi="Arial" w:cs="Arial"/>
          <w:b/>
          <w:sz w:val="22"/>
          <w:szCs w:val="22"/>
        </w:rPr>
        <w:t>Jarosław Zagórski</w:t>
      </w:r>
      <w:r w:rsidR="004E5F20" w:rsidRPr="00F75241">
        <w:rPr>
          <w:rFonts w:ascii="Arial" w:hAnsi="Arial" w:cs="Arial"/>
          <w:b/>
          <w:sz w:val="22"/>
          <w:szCs w:val="22"/>
        </w:rPr>
        <w:t>,</w:t>
      </w:r>
      <w:r w:rsidR="004E5F20">
        <w:rPr>
          <w:rFonts w:ascii="Arial" w:hAnsi="Arial" w:cs="Arial"/>
          <w:sz w:val="22"/>
          <w:szCs w:val="22"/>
        </w:rPr>
        <w:t xml:space="preserve"> dyrektor </w:t>
      </w:r>
      <w:r w:rsidR="00E370C6">
        <w:rPr>
          <w:rFonts w:ascii="Arial" w:hAnsi="Arial" w:cs="Arial"/>
          <w:sz w:val="22"/>
          <w:szCs w:val="22"/>
        </w:rPr>
        <w:t>zarządzający</w:t>
      </w:r>
      <w:r w:rsidR="004E5F20">
        <w:rPr>
          <w:rFonts w:ascii="Arial" w:hAnsi="Arial" w:cs="Arial"/>
          <w:sz w:val="22"/>
          <w:szCs w:val="22"/>
        </w:rPr>
        <w:t xml:space="preserve"> Ghelamco Poland.</w:t>
      </w:r>
    </w:p>
    <w:p w14:paraId="33FD8513" w14:textId="1FE702D8" w:rsidR="00270597" w:rsidRDefault="00270597" w:rsidP="009F07D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</w:p>
    <w:p w14:paraId="7C64E33E" w14:textId="06CE714E" w:rsidR="00270597" w:rsidRDefault="00270597" w:rsidP="009F07D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  <w:r w:rsidRPr="00270597">
        <w:rPr>
          <w:rFonts w:ascii="Arial" w:hAnsi="Arial" w:cs="Arial"/>
          <w:i/>
          <w:sz w:val="22"/>
          <w:szCs w:val="22"/>
        </w:rPr>
        <w:t xml:space="preserve">– Transakcja odzwierciedla nasze ambicje inwestowania w wysokiej jakości aktywa w najlepszych lokalizacjach. Jesteśmy przekonani o wartości Polski, a w szczególności Warszawy, jako lokalizacji inwestycyjnej. Dzięki przejęciu </w:t>
      </w:r>
      <w:proofErr w:type="spellStart"/>
      <w:r w:rsidRPr="00270597">
        <w:rPr>
          <w:rFonts w:ascii="Arial" w:hAnsi="Arial" w:cs="Arial"/>
          <w:i/>
          <w:sz w:val="22"/>
          <w:szCs w:val="22"/>
        </w:rPr>
        <w:t>Vibe</w:t>
      </w:r>
      <w:proofErr w:type="spellEnd"/>
      <w:r w:rsidRPr="00270597">
        <w:rPr>
          <w:rFonts w:ascii="Arial" w:hAnsi="Arial" w:cs="Arial"/>
          <w:i/>
          <w:sz w:val="22"/>
          <w:szCs w:val="22"/>
        </w:rPr>
        <w:t xml:space="preserve"> A, zarządzamy obecnie pięcioma nieruchomościami biurowymi w Warszawie w imieniu różnych podmiotów i spółek. Jednocześnie rozwijamy naszą dwudziestoletnią historię w Europie Środkowo-Wschodniej. Łącznie zrealizowaliśmy w tym regionie transakcje o wartości ponad 4,1 miliarda euro i zarządzamy portfelem 34 nieruchomości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70597">
        <w:rPr>
          <w:rFonts w:ascii="Arial" w:hAnsi="Arial" w:cs="Arial"/>
          <w:i/>
          <w:sz w:val="22"/>
          <w:szCs w:val="22"/>
        </w:rPr>
        <w:t>wynajętych w 97 procentach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70597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Cs/>
          <w:sz w:val="22"/>
          <w:szCs w:val="22"/>
        </w:rPr>
        <w:t xml:space="preserve"> mówi </w:t>
      </w:r>
      <w:r w:rsidRPr="00270597">
        <w:rPr>
          <w:rFonts w:ascii="Arial" w:hAnsi="Arial" w:cs="Arial"/>
          <w:b/>
          <w:bCs/>
          <w:iCs/>
          <w:sz w:val="22"/>
          <w:szCs w:val="22"/>
        </w:rPr>
        <w:t xml:space="preserve">Katarina </w:t>
      </w:r>
      <w:proofErr w:type="spellStart"/>
      <w:r w:rsidRPr="00270597">
        <w:rPr>
          <w:rFonts w:ascii="Arial" w:hAnsi="Arial" w:cs="Arial"/>
          <w:b/>
          <w:bCs/>
          <w:iCs/>
          <w:sz w:val="22"/>
          <w:szCs w:val="22"/>
        </w:rPr>
        <w:lastRenderedPageBreak/>
        <w:t>Horvathova</w:t>
      </w:r>
      <w:proofErr w:type="spellEnd"/>
      <w:r w:rsidRPr="00270597">
        <w:rPr>
          <w:rFonts w:ascii="Arial" w:hAnsi="Arial" w:cs="Arial"/>
          <w:iCs/>
          <w:sz w:val="22"/>
          <w:szCs w:val="22"/>
        </w:rPr>
        <w:t xml:space="preserve">, szefowa zespołu ds. transakcji w Europie Środkowo-Wschodniej (CEE) w </w:t>
      </w:r>
      <w:proofErr w:type="spellStart"/>
      <w:r w:rsidRPr="00270597">
        <w:rPr>
          <w:rFonts w:ascii="Arial" w:hAnsi="Arial" w:cs="Arial"/>
          <w:iCs/>
          <w:sz w:val="22"/>
          <w:szCs w:val="22"/>
        </w:rPr>
        <w:t>Manova</w:t>
      </w:r>
      <w:proofErr w:type="spellEnd"/>
      <w:r w:rsidRPr="00270597">
        <w:rPr>
          <w:rFonts w:ascii="Arial" w:hAnsi="Arial" w:cs="Arial"/>
          <w:iCs/>
          <w:sz w:val="22"/>
          <w:szCs w:val="22"/>
        </w:rPr>
        <w:t xml:space="preserve"> Partners</w:t>
      </w:r>
      <w:r w:rsidR="007F7D7D">
        <w:rPr>
          <w:rFonts w:ascii="Arial" w:hAnsi="Arial" w:cs="Arial"/>
          <w:iCs/>
          <w:sz w:val="22"/>
          <w:szCs w:val="22"/>
        </w:rPr>
        <w:t>.</w:t>
      </w:r>
    </w:p>
    <w:p w14:paraId="044D0368" w14:textId="198870D2" w:rsidR="00DA74CE" w:rsidRDefault="00DA74CE" w:rsidP="00972174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225CD912" w14:textId="3538B208" w:rsid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DA74CE">
        <w:rPr>
          <w:rFonts w:ascii="Arial" w:hAnsi="Arial" w:cs="Arial"/>
          <w:bCs/>
          <w:sz w:val="22"/>
          <w:szCs w:val="22"/>
        </w:rPr>
        <w:t>Manova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Partners to globalna firma inwestycyjna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72174">
        <w:rPr>
          <w:rFonts w:ascii="Arial" w:hAnsi="Arial" w:cs="Arial"/>
          <w:bCs/>
          <w:sz w:val="22"/>
          <w:szCs w:val="22"/>
        </w:rPr>
        <w:t>założona w 2000 r. w Monachium</w:t>
      </w:r>
      <w:r>
        <w:rPr>
          <w:rFonts w:ascii="Arial" w:hAnsi="Arial" w:cs="Arial"/>
          <w:bCs/>
          <w:sz w:val="22"/>
          <w:szCs w:val="22"/>
        </w:rPr>
        <w:t>,</w:t>
      </w:r>
      <w:r w:rsidRPr="00DA74CE">
        <w:rPr>
          <w:rFonts w:ascii="Arial" w:hAnsi="Arial" w:cs="Arial"/>
          <w:bCs/>
          <w:sz w:val="22"/>
          <w:szCs w:val="22"/>
        </w:rPr>
        <w:t xml:space="preserve"> specjalizująca się w nieruchomościach komercyjnych, mieszkaniowych i przemysłowych. Działa w Europie, USA, Ameryce Łacińskiej i Australii, zarządzając aktywami o wartości 12 mld euro oraz portfelem ponad 170 inwestycji na całym świecie. </w:t>
      </w:r>
      <w:r w:rsidRPr="00D21D3E">
        <w:rPr>
          <w:rFonts w:ascii="Arial" w:hAnsi="Arial" w:cs="Arial"/>
          <w:bCs/>
          <w:sz w:val="22"/>
          <w:szCs w:val="22"/>
        </w:rPr>
        <w:t>W Polsce posiada nieruchomości biurow</w:t>
      </w:r>
      <w:r w:rsidR="00972174">
        <w:rPr>
          <w:rFonts w:ascii="Arial" w:hAnsi="Arial" w:cs="Arial"/>
          <w:bCs/>
          <w:sz w:val="22"/>
          <w:szCs w:val="22"/>
        </w:rPr>
        <w:t>e</w:t>
      </w:r>
      <w:r w:rsidRPr="00D21D3E">
        <w:rPr>
          <w:rFonts w:ascii="Arial" w:hAnsi="Arial" w:cs="Arial"/>
          <w:bCs/>
          <w:sz w:val="22"/>
          <w:szCs w:val="22"/>
        </w:rPr>
        <w:t xml:space="preserve"> o łącznej powierzchni około 75</w:t>
      </w:r>
      <w:r>
        <w:rPr>
          <w:rFonts w:ascii="Arial" w:hAnsi="Arial" w:cs="Arial"/>
          <w:bCs/>
          <w:sz w:val="22"/>
          <w:szCs w:val="22"/>
        </w:rPr>
        <w:t> </w:t>
      </w:r>
      <w:r w:rsidRPr="00D21D3E">
        <w:rPr>
          <w:rFonts w:ascii="Arial" w:hAnsi="Arial" w:cs="Arial"/>
          <w:bCs/>
          <w:sz w:val="22"/>
          <w:szCs w:val="22"/>
        </w:rPr>
        <w:t>000 m</w:t>
      </w:r>
      <w:r>
        <w:rPr>
          <w:rFonts w:ascii="Arial" w:hAnsi="Arial" w:cs="Arial"/>
          <w:bCs/>
          <w:sz w:val="22"/>
          <w:szCs w:val="22"/>
        </w:rPr>
        <w:t>kw.</w:t>
      </w:r>
      <w:r w:rsidRPr="00D21D3E">
        <w:rPr>
          <w:rFonts w:ascii="Arial" w:hAnsi="Arial" w:cs="Arial"/>
          <w:bCs/>
          <w:sz w:val="22"/>
          <w:szCs w:val="22"/>
        </w:rPr>
        <w:t xml:space="preserve"> oraz logistycznych o</w:t>
      </w:r>
      <w:r w:rsidR="00D8428A">
        <w:rPr>
          <w:rFonts w:ascii="Arial" w:hAnsi="Arial" w:cs="Arial"/>
          <w:bCs/>
          <w:sz w:val="22"/>
          <w:szCs w:val="22"/>
        </w:rPr>
        <w:t> </w:t>
      </w:r>
      <w:r w:rsidRPr="00D21D3E">
        <w:rPr>
          <w:rFonts w:ascii="Arial" w:hAnsi="Arial" w:cs="Arial"/>
          <w:bCs/>
          <w:sz w:val="22"/>
          <w:szCs w:val="22"/>
        </w:rPr>
        <w:t>powierzchni sięgającej 540 000 m</w:t>
      </w:r>
      <w:r>
        <w:rPr>
          <w:rFonts w:ascii="Arial" w:hAnsi="Arial" w:cs="Arial"/>
          <w:bCs/>
          <w:sz w:val="22"/>
          <w:szCs w:val="22"/>
        </w:rPr>
        <w:t>kw</w:t>
      </w:r>
      <w:r w:rsidRPr="00D21D3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A74CE">
        <w:rPr>
          <w:rFonts w:ascii="Arial" w:hAnsi="Arial" w:cs="Arial"/>
          <w:bCs/>
          <w:sz w:val="22"/>
          <w:szCs w:val="22"/>
        </w:rPr>
        <w:t>Firma koncentruje się na stabilnych, wynajętych nieruchomościach generujących stały dochód, przygotowanych na wyzwania przyszłości.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Manova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Partners </w:t>
      </w:r>
      <w:r>
        <w:rPr>
          <w:rFonts w:ascii="Arial" w:hAnsi="Arial" w:cs="Arial"/>
          <w:bCs/>
          <w:sz w:val="22"/>
          <w:szCs w:val="22"/>
        </w:rPr>
        <w:t>j</w:t>
      </w:r>
      <w:r w:rsidRPr="00DA74CE">
        <w:rPr>
          <w:rFonts w:ascii="Arial" w:hAnsi="Arial" w:cs="Arial"/>
          <w:bCs/>
          <w:sz w:val="22"/>
          <w:szCs w:val="22"/>
        </w:rPr>
        <w:t xml:space="preserve">est członkiem GRESB Real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Estate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oraz sygnatariuszem Zasad Odpowiedzialnego Inwestowania ONZ, realizując strategię neutralności klimatycznej.</w:t>
      </w:r>
    </w:p>
    <w:p w14:paraId="391A5B82" w14:textId="77777777" w:rsidR="006430BA" w:rsidRPr="006430BA" w:rsidRDefault="006430BA" w:rsidP="00D21D3E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75865849" w14:textId="101A9EA5" w:rsidR="00D8428A" w:rsidRPr="00D8428A" w:rsidRDefault="002377F0" w:rsidP="00D8428A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transakcji </w:t>
      </w:r>
      <w:r w:rsidR="00BF5500">
        <w:rPr>
          <w:rFonts w:ascii="Arial" w:hAnsi="Arial" w:cs="Arial"/>
          <w:bCs/>
          <w:sz w:val="22"/>
          <w:szCs w:val="22"/>
        </w:rPr>
        <w:t xml:space="preserve">po stronie </w:t>
      </w:r>
      <w:r w:rsidR="003125CF">
        <w:rPr>
          <w:rFonts w:ascii="Arial" w:hAnsi="Arial" w:cs="Arial"/>
          <w:bCs/>
          <w:sz w:val="22"/>
          <w:szCs w:val="22"/>
        </w:rPr>
        <w:t xml:space="preserve">sprzedającego, </w:t>
      </w:r>
      <w:r w:rsidR="00BF5500">
        <w:rPr>
          <w:rFonts w:ascii="Arial" w:hAnsi="Arial" w:cs="Arial"/>
          <w:bCs/>
          <w:sz w:val="22"/>
          <w:szCs w:val="22"/>
        </w:rPr>
        <w:t>Ghelamco</w:t>
      </w:r>
      <w:r w:rsidR="003125CF">
        <w:rPr>
          <w:rFonts w:ascii="Arial" w:hAnsi="Arial" w:cs="Arial"/>
          <w:bCs/>
          <w:sz w:val="22"/>
          <w:szCs w:val="22"/>
        </w:rPr>
        <w:t>,</w:t>
      </w:r>
      <w:r w:rsidR="00BF5500">
        <w:rPr>
          <w:rFonts w:ascii="Arial" w:hAnsi="Arial" w:cs="Arial"/>
          <w:bCs/>
          <w:sz w:val="22"/>
          <w:szCs w:val="22"/>
        </w:rPr>
        <w:t xml:space="preserve"> doradza</w:t>
      </w:r>
      <w:r w:rsidR="0029122E">
        <w:rPr>
          <w:rFonts w:ascii="Arial" w:hAnsi="Arial" w:cs="Arial"/>
          <w:bCs/>
          <w:sz w:val="22"/>
          <w:szCs w:val="22"/>
        </w:rPr>
        <w:t>li</w:t>
      </w:r>
      <w:r w:rsidR="00594BC7">
        <w:rPr>
          <w:rFonts w:ascii="Arial" w:hAnsi="Arial" w:cs="Arial"/>
          <w:bCs/>
          <w:sz w:val="22"/>
          <w:szCs w:val="22"/>
        </w:rPr>
        <w:t>:</w:t>
      </w:r>
      <w:r w:rsidR="003125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8428A" w:rsidRPr="00D8428A">
        <w:rPr>
          <w:rFonts w:ascii="Arial" w:hAnsi="Arial" w:cs="Arial"/>
          <w:bCs/>
          <w:sz w:val="22"/>
          <w:szCs w:val="22"/>
        </w:rPr>
        <w:t>Cushman</w:t>
      </w:r>
      <w:proofErr w:type="spellEnd"/>
      <w:r w:rsidR="00D8428A" w:rsidRPr="00D8428A">
        <w:rPr>
          <w:rFonts w:ascii="Arial" w:hAnsi="Arial" w:cs="Arial"/>
          <w:bCs/>
          <w:sz w:val="22"/>
          <w:szCs w:val="22"/>
        </w:rPr>
        <w:t xml:space="preserve"> &amp; Wakefield, </w:t>
      </w:r>
      <w:proofErr w:type="spellStart"/>
      <w:r w:rsidR="00D8428A" w:rsidRPr="00D8428A">
        <w:rPr>
          <w:rFonts w:ascii="Arial" w:hAnsi="Arial" w:cs="Arial"/>
          <w:bCs/>
          <w:sz w:val="22"/>
          <w:szCs w:val="22"/>
        </w:rPr>
        <w:t>Dentons</w:t>
      </w:r>
      <w:proofErr w:type="spellEnd"/>
      <w:r w:rsidR="00D8428A" w:rsidRPr="00D8428A">
        <w:rPr>
          <w:rFonts w:ascii="Arial" w:hAnsi="Arial" w:cs="Arial"/>
          <w:bCs/>
          <w:sz w:val="22"/>
          <w:szCs w:val="22"/>
        </w:rPr>
        <w:t>, Knight Frank</w:t>
      </w:r>
      <w:r w:rsidR="00ED421F">
        <w:rPr>
          <w:rFonts w:ascii="Arial" w:hAnsi="Arial" w:cs="Arial"/>
          <w:bCs/>
          <w:sz w:val="22"/>
          <w:szCs w:val="22"/>
        </w:rPr>
        <w:t>,</w:t>
      </w:r>
      <w:r w:rsidR="00D8428A">
        <w:rPr>
          <w:rFonts w:ascii="Arial" w:hAnsi="Arial" w:cs="Arial"/>
          <w:bCs/>
          <w:sz w:val="22"/>
          <w:szCs w:val="22"/>
        </w:rPr>
        <w:t xml:space="preserve"> </w:t>
      </w:r>
      <w:r w:rsidR="00D8428A" w:rsidRPr="00D8428A">
        <w:rPr>
          <w:rFonts w:ascii="Arial" w:hAnsi="Arial" w:cs="Arial"/>
          <w:bCs/>
          <w:sz w:val="22"/>
          <w:szCs w:val="22"/>
        </w:rPr>
        <w:t>MDDP</w:t>
      </w:r>
      <w:r w:rsidR="00ED421F">
        <w:rPr>
          <w:rFonts w:ascii="Arial" w:hAnsi="Arial" w:cs="Arial"/>
          <w:bCs/>
          <w:sz w:val="22"/>
          <w:szCs w:val="22"/>
        </w:rPr>
        <w:t xml:space="preserve"> oraz </w:t>
      </w:r>
      <w:r w:rsidR="00ED421F" w:rsidRPr="00ED421F">
        <w:rPr>
          <w:rFonts w:ascii="Arial" w:hAnsi="Arial" w:cs="Arial"/>
          <w:bCs/>
          <w:sz w:val="22"/>
          <w:szCs w:val="22"/>
        </w:rPr>
        <w:t xml:space="preserve">Rymarz </w:t>
      </w:r>
      <w:proofErr w:type="spellStart"/>
      <w:r w:rsidR="00ED421F" w:rsidRPr="00ED421F">
        <w:rPr>
          <w:rFonts w:ascii="Arial" w:hAnsi="Arial" w:cs="Arial"/>
          <w:bCs/>
          <w:sz w:val="22"/>
          <w:szCs w:val="22"/>
        </w:rPr>
        <w:t>Zdort</w:t>
      </w:r>
      <w:proofErr w:type="spellEnd"/>
      <w:r w:rsidR="00ED421F" w:rsidRPr="00ED421F">
        <w:rPr>
          <w:rFonts w:ascii="Arial" w:hAnsi="Arial" w:cs="Arial"/>
          <w:bCs/>
          <w:sz w:val="22"/>
          <w:szCs w:val="22"/>
        </w:rPr>
        <w:t xml:space="preserve"> Maruta</w:t>
      </w:r>
      <w:r w:rsidR="003125CF">
        <w:rPr>
          <w:rFonts w:ascii="Arial" w:hAnsi="Arial" w:cs="Arial"/>
          <w:bCs/>
          <w:sz w:val="22"/>
          <w:szCs w:val="22"/>
        </w:rPr>
        <w:t xml:space="preserve">. </w:t>
      </w:r>
      <w:r w:rsidR="00411186">
        <w:rPr>
          <w:rFonts w:ascii="Arial" w:hAnsi="Arial" w:cs="Arial"/>
          <w:bCs/>
          <w:sz w:val="22"/>
          <w:szCs w:val="22"/>
        </w:rPr>
        <w:t xml:space="preserve">Kupującemu, firmie </w:t>
      </w:r>
      <w:proofErr w:type="spellStart"/>
      <w:r w:rsidR="00D21D3E">
        <w:rPr>
          <w:rFonts w:ascii="Arial" w:hAnsi="Arial" w:cs="Arial"/>
          <w:bCs/>
          <w:sz w:val="22"/>
          <w:szCs w:val="22"/>
        </w:rPr>
        <w:t>Manova</w:t>
      </w:r>
      <w:proofErr w:type="spellEnd"/>
      <w:r w:rsidR="00D21D3E">
        <w:rPr>
          <w:rFonts w:ascii="Arial" w:hAnsi="Arial" w:cs="Arial"/>
          <w:bCs/>
          <w:sz w:val="22"/>
          <w:szCs w:val="22"/>
        </w:rPr>
        <w:t xml:space="preserve"> Partners</w:t>
      </w:r>
      <w:r w:rsidR="00411186">
        <w:rPr>
          <w:rFonts w:ascii="Arial" w:hAnsi="Arial" w:cs="Arial"/>
          <w:bCs/>
          <w:sz w:val="22"/>
          <w:szCs w:val="22"/>
        </w:rPr>
        <w:t>, doradza</w:t>
      </w:r>
      <w:r w:rsidR="0029122E">
        <w:rPr>
          <w:rFonts w:ascii="Arial" w:hAnsi="Arial" w:cs="Arial"/>
          <w:bCs/>
          <w:sz w:val="22"/>
          <w:szCs w:val="22"/>
        </w:rPr>
        <w:t>li</w:t>
      </w:r>
      <w:r w:rsidR="00411186">
        <w:rPr>
          <w:rFonts w:ascii="Arial" w:hAnsi="Arial" w:cs="Arial"/>
          <w:bCs/>
          <w:sz w:val="22"/>
          <w:szCs w:val="22"/>
        </w:rPr>
        <w:t xml:space="preserve">: </w:t>
      </w:r>
      <w:r w:rsidR="00D8428A" w:rsidRPr="00D8428A">
        <w:rPr>
          <w:rFonts w:ascii="Arial" w:hAnsi="Arial" w:cs="Arial"/>
          <w:bCs/>
          <w:sz w:val="22"/>
          <w:szCs w:val="22"/>
        </w:rPr>
        <w:t xml:space="preserve">CBRE, </w:t>
      </w:r>
      <w:proofErr w:type="spellStart"/>
      <w:r w:rsidR="00D8428A" w:rsidRPr="00D8428A">
        <w:rPr>
          <w:rFonts w:ascii="Arial" w:hAnsi="Arial" w:cs="Arial"/>
          <w:bCs/>
          <w:sz w:val="22"/>
          <w:szCs w:val="22"/>
        </w:rPr>
        <w:t>Greenberg</w:t>
      </w:r>
      <w:proofErr w:type="spellEnd"/>
      <w:r w:rsidR="00D8428A" w:rsidRPr="00D842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8428A" w:rsidRPr="00D8428A">
        <w:rPr>
          <w:rFonts w:ascii="Arial" w:hAnsi="Arial" w:cs="Arial"/>
          <w:bCs/>
          <w:sz w:val="22"/>
          <w:szCs w:val="22"/>
        </w:rPr>
        <w:t>Traurig</w:t>
      </w:r>
      <w:proofErr w:type="spellEnd"/>
      <w:r w:rsidR="00D8428A" w:rsidRPr="00D8428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8428A" w:rsidRPr="00D8428A">
        <w:rPr>
          <w:rFonts w:ascii="Arial" w:hAnsi="Arial" w:cs="Arial"/>
          <w:bCs/>
          <w:sz w:val="22"/>
          <w:szCs w:val="22"/>
        </w:rPr>
        <w:t>Crido</w:t>
      </w:r>
      <w:proofErr w:type="spellEnd"/>
      <w:r w:rsidR="00D8428A" w:rsidRPr="00D8428A">
        <w:rPr>
          <w:rFonts w:ascii="Arial" w:hAnsi="Arial" w:cs="Arial"/>
          <w:bCs/>
          <w:sz w:val="22"/>
          <w:szCs w:val="22"/>
        </w:rPr>
        <w:t xml:space="preserve"> </w:t>
      </w:r>
      <w:r w:rsidR="00D8428A">
        <w:rPr>
          <w:rFonts w:ascii="Arial" w:hAnsi="Arial" w:cs="Arial"/>
          <w:bCs/>
          <w:sz w:val="22"/>
          <w:szCs w:val="22"/>
        </w:rPr>
        <w:t>i</w:t>
      </w:r>
      <w:r w:rsidR="00D8428A" w:rsidRPr="00D8428A">
        <w:rPr>
          <w:rFonts w:ascii="Arial" w:hAnsi="Arial" w:cs="Arial"/>
          <w:bCs/>
          <w:sz w:val="22"/>
          <w:szCs w:val="22"/>
        </w:rPr>
        <w:t xml:space="preserve"> Sentient</w:t>
      </w:r>
      <w:r w:rsidR="003125CF">
        <w:rPr>
          <w:rFonts w:ascii="Arial" w:hAnsi="Arial" w:cs="Arial"/>
          <w:bCs/>
          <w:sz w:val="22"/>
          <w:szCs w:val="22"/>
        </w:rPr>
        <w:t>.</w:t>
      </w:r>
    </w:p>
    <w:p w14:paraId="31E1C734" w14:textId="77777777" w:rsidR="00D13233" w:rsidRPr="00640847" w:rsidRDefault="00D13233" w:rsidP="00D55690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70465194" w14:textId="77777777" w:rsidR="003E5CDE" w:rsidRPr="00640847" w:rsidRDefault="003E5CDE" w:rsidP="00D55690">
      <w:pPr>
        <w:spacing w:line="276" w:lineRule="auto"/>
        <w:ind w:right="-483"/>
        <w:jc w:val="both"/>
        <w:rPr>
          <w:rFonts w:ascii="Arial" w:hAnsi="Arial" w:cs="Arial"/>
          <w:b/>
          <w:bCs/>
          <w:sz w:val="22"/>
          <w:szCs w:val="22"/>
        </w:rPr>
      </w:pPr>
    </w:p>
    <w:p w14:paraId="5054C34C" w14:textId="68CC0C58" w:rsidR="006C67FB" w:rsidRDefault="00D21D3E" w:rsidP="00D55690">
      <w:pPr>
        <w:spacing w:line="276" w:lineRule="auto"/>
        <w:ind w:left="-284" w:right="-4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VIBE</w:t>
      </w:r>
    </w:p>
    <w:p w14:paraId="77028C51" w14:textId="37CE0566" w:rsidR="00DA74CE" w:rsidRDefault="00DA74CE" w:rsidP="00D55690">
      <w:pPr>
        <w:spacing w:line="276" w:lineRule="auto"/>
        <w:ind w:left="-284" w:right="-483"/>
        <w:jc w:val="both"/>
        <w:rPr>
          <w:rFonts w:ascii="Arial" w:hAnsi="Arial" w:cs="Arial"/>
          <w:b/>
          <w:bCs/>
          <w:sz w:val="22"/>
          <w:szCs w:val="22"/>
        </w:rPr>
      </w:pPr>
    </w:p>
    <w:p w14:paraId="45F66C8D" w14:textId="5A7BBDFB" w:rsid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DA74CE">
        <w:rPr>
          <w:rFonts w:ascii="Arial" w:hAnsi="Arial" w:cs="Arial"/>
          <w:bCs/>
          <w:sz w:val="22"/>
          <w:szCs w:val="22"/>
        </w:rPr>
        <w:t xml:space="preserve">VIBE to ostatnia z inwestycji Ghelamco na warszawskiej Woli. Liczący 11 pięter i 15 tys. mkw. powierzchni biurowej budynek powstał w biznesowym centrum stolicy, w narożniku ulic Towarowej i Kolejowej. Zasłynął za sprawą swojego muzycznego DNA i specjalnie skomponowanej dla niego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audiosfery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>, co było pierwszym tego typu zabiegiem w Polsce.</w:t>
      </w:r>
    </w:p>
    <w:p w14:paraId="58343AFF" w14:textId="77777777" w:rsidR="00DA74CE" w:rsidRP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9AF42C1" w14:textId="66C8294B" w:rsid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DA74CE">
        <w:rPr>
          <w:rFonts w:ascii="Arial" w:hAnsi="Arial" w:cs="Arial"/>
          <w:bCs/>
          <w:sz w:val="22"/>
          <w:szCs w:val="22"/>
        </w:rPr>
        <w:t xml:space="preserve">Biurowiec wykorzystuje liczne nowatorskie rozwiązania, które czynią go ekologicznym – m.in. ultranowoczesny Building Energy Management System (BEMS) pozwalający na znaczące zmniejszenie zużycia energii, kanalizację podciśnieniową obniżającą zużycie wody w toaletach (do 75% w skali roku), a także innowacyjną aplikację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InBin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>, która służy do analizy generowanego śladu węglowego na podstawie wagi wytworzonych przez najemców odpadów i umożliwia optymalizację harmonogramu ich odbioru.</w:t>
      </w:r>
    </w:p>
    <w:p w14:paraId="27E5083A" w14:textId="77777777" w:rsidR="00DA74CE" w:rsidRP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73A09E4F" w14:textId="187954B7" w:rsid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DA74CE">
        <w:rPr>
          <w:rFonts w:ascii="Arial" w:hAnsi="Arial" w:cs="Arial"/>
          <w:bCs/>
          <w:sz w:val="22"/>
          <w:szCs w:val="22"/>
        </w:rPr>
        <w:t>W procesie budowy wykorzystano materiały o obniżonym śladzie węglowym (m.in. beton i stal), a w ramach wspierania bioróżnorodności wokół budynku zasadzono dużo nowej zieleni, m.in. 18 okazałych drzew (wysokich na 7 m) oraz ponad 8600 krzewów, bylin i innych roślin. Docelowo VIBE zasilany będzie w 100 proc. czystą energią pochodzącą m.in. z farm fotowoltaicznych należących do Ghelamco.</w:t>
      </w:r>
    </w:p>
    <w:p w14:paraId="01B3BA70" w14:textId="77777777" w:rsidR="00DA74CE" w:rsidRPr="00DA74CE" w:rsidRDefault="00DA74CE" w:rsidP="00DA74CE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5ED52B73" w14:textId="16F54CDA" w:rsidR="006C67FB" w:rsidRPr="00640847" w:rsidRDefault="00DA74CE" w:rsidP="00640847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DA74CE">
        <w:rPr>
          <w:rFonts w:ascii="Arial" w:hAnsi="Arial" w:cs="Arial"/>
          <w:bCs/>
          <w:sz w:val="22"/>
          <w:szCs w:val="22"/>
        </w:rPr>
        <w:lastRenderedPageBreak/>
        <w:t xml:space="preserve">Sukces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VIBE’a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podkreślają znakomite wyniki komercyjne (budynek jest w pełni wynajęty), a także liczne branżowe nagrody, jakie otrzymał: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Eurobuild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Awards 2024 w kategorii Office Building of the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Year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, Złoty Kompas 2024 dla najlepszego budynku biurowego w Polsce, CEE Investment Awards 2024 w kategorii Office Project, Real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Estate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IMPACTOR 2024 w kategorii "Imponujące projektowanie", a także statuetkę </w:t>
      </w:r>
      <w:proofErr w:type="spellStart"/>
      <w:r w:rsidRPr="00DA74CE">
        <w:rPr>
          <w:rFonts w:ascii="Arial" w:hAnsi="Arial" w:cs="Arial"/>
          <w:bCs/>
          <w:sz w:val="22"/>
          <w:szCs w:val="22"/>
        </w:rPr>
        <w:t>Up</w:t>
      </w:r>
      <w:proofErr w:type="spellEnd"/>
      <w:r w:rsidRPr="00DA74CE">
        <w:rPr>
          <w:rFonts w:ascii="Arial" w:hAnsi="Arial" w:cs="Arial"/>
          <w:bCs/>
          <w:sz w:val="22"/>
          <w:szCs w:val="22"/>
        </w:rPr>
        <w:t xml:space="preserve"> Awards! tygodnika „Wprost” w kategorii Ekologia.</w:t>
      </w:r>
    </w:p>
    <w:p w14:paraId="328A6D10" w14:textId="0386C6E5" w:rsidR="006430BA" w:rsidRDefault="006430BA" w:rsidP="006430BA">
      <w:pPr>
        <w:ind w:right="-483"/>
        <w:jc w:val="both"/>
        <w:rPr>
          <w:rFonts w:ascii="Arial" w:eastAsia="Arial" w:hAnsi="Arial" w:cs="Arial"/>
          <w:b/>
          <w:sz w:val="16"/>
          <w:szCs w:val="16"/>
        </w:rPr>
      </w:pPr>
    </w:p>
    <w:p w14:paraId="6488E0FB" w14:textId="495A85F1" w:rsidR="006430BA" w:rsidRDefault="006430BA" w:rsidP="00D13CDC">
      <w:pPr>
        <w:ind w:left="-284" w:right="-483"/>
        <w:jc w:val="both"/>
        <w:rPr>
          <w:rFonts w:ascii="Arial" w:eastAsia="Arial" w:hAnsi="Arial" w:cs="Arial"/>
          <w:b/>
          <w:sz w:val="16"/>
          <w:szCs w:val="16"/>
        </w:rPr>
      </w:pPr>
    </w:p>
    <w:p w14:paraId="30D13A3B" w14:textId="77777777" w:rsidR="00D21D3E" w:rsidRDefault="00D21D3E" w:rsidP="00D13CDC">
      <w:pPr>
        <w:ind w:left="-284" w:right="-483"/>
        <w:jc w:val="both"/>
        <w:rPr>
          <w:rFonts w:ascii="Arial" w:eastAsia="Arial" w:hAnsi="Arial" w:cs="Arial"/>
          <w:b/>
          <w:sz w:val="16"/>
          <w:szCs w:val="16"/>
        </w:rPr>
      </w:pPr>
    </w:p>
    <w:p w14:paraId="3DB39E99" w14:textId="77777777" w:rsidR="00DA74CE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  <w:r w:rsidRPr="00996888">
        <w:rPr>
          <w:rFonts w:ascii="Arial" w:eastAsia="Arial" w:hAnsi="Arial" w:cs="Arial"/>
          <w:b/>
          <w:sz w:val="16"/>
          <w:szCs w:val="16"/>
        </w:rPr>
        <w:t>O GHELAMCO POLAND</w:t>
      </w:r>
    </w:p>
    <w:p w14:paraId="2ED82A33" w14:textId="77777777" w:rsidR="00DA74CE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</w:p>
    <w:p w14:paraId="35D7BF78" w14:textId="77777777" w:rsidR="00DA74CE" w:rsidRPr="003650FA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  <w:r w:rsidRPr="003650FA">
        <w:rPr>
          <w:rFonts w:ascii="Arial" w:eastAsia="Arial" w:hAnsi="Arial" w:cs="Arial"/>
          <w:sz w:val="16"/>
          <w:szCs w:val="16"/>
        </w:rPr>
        <w:t>Ghelamco Poland to lider rynku biurowego w Polsce i pionier w zakresie ESG, innowacji i miastotwórczych projektów w branży nieruchomości. Przez 3</w:t>
      </w:r>
      <w:r>
        <w:rPr>
          <w:rFonts w:ascii="Arial" w:eastAsia="Arial" w:hAnsi="Arial" w:cs="Arial"/>
          <w:sz w:val="16"/>
          <w:szCs w:val="16"/>
        </w:rPr>
        <w:t>4</w:t>
      </w:r>
      <w:r w:rsidRPr="003650FA">
        <w:rPr>
          <w:rFonts w:ascii="Arial" w:eastAsia="Arial" w:hAnsi="Arial" w:cs="Arial"/>
          <w:sz w:val="16"/>
          <w:szCs w:val="16"/>
        </w:rPr>
        <w:t xml:space="preserve"> lata działalności jako inwestor, deweloper, a także generalny wykonawca, firma ugruntowała swoją wiodącą pozycję dostarczając ponad 1 200 000 mkw. najwyższej klasy powierzchni biurowej, mieszkaniowej, handlowej i magazynowej. Wolumen sprzedaży zrealizowanych projektów przekracza 1,3 mld euro. Spółka jest częścią grupy Ghelamco – jednego z największych międzynarodowych deweloperów w Europie, działającego na rynkach w Belgii, Wielkiej Brytanii i na Cyprze. W Polsce swoje inwestycje zrealizował m.in. w Warszawie, Krakowie, Katowicach, Łodzi i Wrocławiu.</w:t>
      </w:r>
    </w:p>
    <w:p w14:paraId="30D92960" w14:textId="77777777" w:rsidR="00DA74CE" w:rsidRPr="003650FA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</w:p>
    <w:p w14:paraId="161505FE" w14:textId="77777777" w:rsidR="00DA74CE" w:rsidRPr="003650FA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  <w:r w:rsidRPr="003650FA">
        <w:rPr>
          <w:rFonts w:ascii="Arial" w:eastAsia="Arial" w:hAnsi="Arial" w:cs="Arial"/>
          <w:sz w:val="16"/>
          <w:szCs w:val="16"/>
        </w:rPr>
        <w:t xml:space="preserve">Ghelamco od lat konsekwentnie wyznacza kierunki rozwoju polskiego rynku nieruchomości. Jako pierwszy deweloper w Polsce certyfikowało swoje biurowce w prestiżowym systemie BREEAM (2010), </w:t>
      </w:r>
      <w:proofErr w:type="spellStart"/>
      <w:r w:rsidRPr="003650FA">
        <w:rPr>
          <w:rFonts w:ascii="Arial" w:eastAsia="Arial" w:hAnsi="Arial" w:cs="Arial"/>
          <w:sz w:val="16"/>
          <w:szCs w:val="16"/>
        </w:rPr>
        <w:t>SmartScore</w:t>
      </w:r>
      <w:proofErr w:type="spellEnd"/>
      <w:r w:rsidRPr="003650FA">
        <w:rPr>
          <w:rFonts w:ascii="Arial" w:eastAsia="Arial" w:hAnsi="Arial" w:cs="Arial"/>
          <w:sz w:val="16"/>
          <w:szCs w:val="16"/>
        </w:rPr>
        <w:t xml:space="preserve"> i </w:t>
      </w:r>
      <w:proofErr w:type="spellStart"/>
      <w:r w:rsidRPr="003650FA">
        <w:rPr>
          <w:rFonts w:ascii="Arial" w:eastAsia="Arial" w:hAnsi="Arial" w:cs="Arial"/>
          <w:sz w:val="16"/>
          <w:szCs w:val="16"/>
        </w:rPr>
        <w:t>WiredScore</w:t>
      </w:r>
      <w:proofErr w:type="spellEnd"/>
      <w:r w:rsidRPr="003650FA">
        <w:rPr>
          <w:rFonts w:ascii="Arial" w:eastAsia="Arial" w:hAnsi="Arial" w:cs="Arial"/>
          <w:sz w:val="16"/>
          <w:szCs w:val="16"/>
        </w:rPr>
        <w:t xml:space="preserve"> (2022), a także odkryło biurowy potencjał stołecznej Woli, kreując w okolicach ronda Daszyńskiego biznesowe centrum Warszawy. Jego flagowe inwestycje jak Warsaw </w:t>
      </w:r>
      <w:proofErr w:type="spellStart"/>
      <w:r w:rsidRPr="003650FA">
        <w:rPr>
          <w:rFonts w:ascii="Arial" w:eastAsia="Arial" w:hAnsi="Arial" w:cs="Arial"/>
          <w:sz w:val="16"/>
          <w:szCs w:val="16"/>
        </w:rPr>
        <w:t>Spire</w:t>
      </w:r>
      <w:proofErr w:type="spellEnd"/>
      <w:r w:rsidRPr="003650FA">
        <w:rPr>
          <w:rFonts w:ascii="Arial" w:eastAsia="Arial" w:hAnsi="Arial" w:cs="Arial"/>
          <w:sz w:val="16"/>
          <w:szCs w:val="16"/>
        </w:rPr>
        <w:t xml:space="preserve">, The Warsaw HUB czy Warsaw UNIT wprowadziły nową jakość na polskim rynku biurowym i ukształtowały współczesną panoramę stolicy. Firma działa też na rynku nieruchomości luksusowych i mieszkaniowych, a do najbardziej spektakularnych projektów w tym segmencie należy Foksal 13/15 w Warszawie. </w:t>
      </w:r>
    </w:p>
    <w:p w14:paraId="3F93AB01" w14:textId="77777777" w:rsidR="00DA74CE" w:rsidRPr="003650FA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</w:p>
    <w:p w14:paraId="1F141504" w14:textId="77777777" w:rsidR="00DA74CE" w:rsidRPr="003650FA" w:rsidRDefault="00DA74CE" w:rsidP="00DA74CE">
      <w:pPr>
        <w:ind w:left="-284" w:right="-483"/>
        <w:jc w:val="both"/>
        <w:rPr>
          <w:rFonts w:ascii="Arial" w:eastAsia="Arial" w:hAnsi="Arial" w:cs="Arial"/>
          <w:sz w:val="16"/>
          <w:szCs w:val="16"/>
        </w:rPr>
      </w:pPr>
      <w:r w:rsidRPr="003650FA">
        <w:rPr>
          <w:rFonts w:ascii="Arial" w:eastAsia="Arial" w:hAnsi="Arial" w:cs="Arial"/>
          <w:sz w:val="16"/>
          <w:szCs w:val="16"/>
        </w:rPr>
        <w:t xml:space="preserve">Jako branżowy lider z zakresie ESG, Ghelamco dąży do osiągnięcia pełnej neutralności energetycznej do </w:t>
      </w:r>
      <w:r w:rsidRPr="008D186B">
        <w:rPr>
          <w:rFonts w:ascii="Arial" w:eastAsia="Arial" w:hAnsi="Arial" w:cs="Arial"/>
          <w:sz w:val="16"/>
          <w:szCs w:val="16"/>
        </w:rPr>
        <w:t>końca</w:t>
      </w:r>
      <w:r w:rsidRPr="00493C41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3650FA">
        <w:rPr>
          <w:rFonts w:ascii="Arial" w:eastAsia="Arial" w:hAnsi="Arial" w:cs="Arial"/>
          <w:sz w:val="16"/>
          <w:szCs w:val="16"/>
        </w:rPr>
        <w:t>2025 roku. W osiągnięciu tego celu pomaga program budowy własnych farm fotowoltaicznych oraz zasilanie nowych projektów wyłącznie czystą energią. Ghelamco postrzega zrównoważone budownictwo w szerszej perspektywie, aktywnie działając również na rzecz kształtowania przestrzeni miejskiej. Sztandarowym przykładem tej działalności było zbudowanie Placu Europejskiego w Warszawie i powołanie Fundacji Sztuka w Mieście, której celem jest podnoszenie jakości przestrzeni publicznej w polskich miastach.</w:t>
      </w:r>
    </w:p>
    <w:p w14:paraId="784F8635" w14:textId="684A2BC4" w:rsidR="00FE43D5" w:rsidRDefault="00FE43D5" w:rsidP="00D13CDC">
      <w:pPr>
        <w:spacing w:line="276" w:lineRule="auto"/>
        <w:ind w:left="-284" w:right="-48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07DE9CE" w14:textId="77777777" w:rsidR="001F3063" w:rsidRPr="00FF0994" w:rsidRDefault="001F3063" w:rsidP="00D13CDC">
      <w:pPr>
        <w:spacing w:line="276" w:lineRule="auto"/>
        <w:ind w:left="-284" w:right="-48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sectPr w:rsidR="001F3063" w:rsidRPr="00FF0994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3119" w:right="1797" w:bottom="1985" w:left="179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99A4" w14:textId="77777777" w:rsidR="008873AD" w:rsidRDefault="008873AD">
      <w:r>
        <w:separator/>
      </w:r>
    </w:p>
  </w:endnote>
  <w:endnote w:type="continuationSeparator" w:id="0">
    <w:p w14:paraId="2EFF5958" w14:textId="77777777" w:rsidR="008873AD" w:rsidRDefault="008873AD">
      <w:r>
        <w:continuationSeparator/>
      </w:r>
    </w:p>
  </w:endnote>
  <w:endnote w:type="continuationNotice" w:id="1">
    <w:p w14:paraId="23F233D2" w14:textId="77777777" w:rsidR="008873AD" w:rsidRDefault="00887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F125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5" behindDoc="0" locked="0" layoutInCell="1" hidden="0" allowOverlap="1" wp14:anchorId="14B8163C" wp14:editId="7539CA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22" name="Prostokąt 22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C8EB1" w14:textId="77777777" w:rsidR="00FE43D5" w:rsidRDefault="001A5B5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4B8163C" id="Prostokąt 22" o:spid="_x0000_s1027" alt="Business" style="position:absolute;margin-left:0;margin-top:0;width:35.7pt;height:35.7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" filled="f" stroked="f">
              <v:textbox inset="5pt,0,0,0">
                <w:txbxContent>
                  <w:p w14:paraId="6E5C8EB1" w14:textId="77777777" w:rsidR="00FE43D5" w:rsidRDefault="001A5B5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9FB2" w14:textId="070A7D66" w:rsidR="00FE43D5" w:rsidRDefault="00856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438F4A3D" wp14:editId="571BC237">
              <wp:simplePos x="0" y="0"/>
              <wp:positionH relativeFrom="column">
                <wp:posOffset>1106805</wp:posOffset>
              </wp:positionH>
              <wp:positionV relativeFrom="paragraph">
                <wp:posOffset>-993140</wp:posOffset>
              </wp:positionV>
              <wp:extent cx="3524250" cy="1175385"/>
              <wp:effectExtent l="0" t="0" r="0" b="5715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4250" cy="1175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3C65D" w14:textId="56B9A2FB" w:rsidR="00FE43D5" w:rsidRPr="0085634D" w:rsidRDefault="001A5B56">
                          <w:pPr>
                            <w:spacing w:line="288" w:lineRule="auto"/>
                            <w:textDirection w:val="btLr"/>
                            <w:rPr>
                              <w:lang w:val="it-IT"/>
                            </w:rPr>
                          </w:pPr>
                          <w:r w:rsidRPr="0091125B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Informacje dla mediów:</w:t>
                          </w:r>
                          <w:r w:rsidRPr="0091125B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br/>
                          </w:r>
                        </w:p>
                        <w:p w14:paraId="232DACC3" w14:textId="77777777" w:rsidR="00FE43D5" w:rsidRPr="00FD49B1" w:rsidRDefault="001A5B56">
                          <w:pPr>
                            <w:spacing w:line="288" w:lineRule="auto"/>
                            <w:textDirection w:val="btLr"/>
                            <w:rPr>
                              <w:lang w:val="it-IT"/>
                            </w:rPr>
                          </w:pPr>
                          <w:r w:rsidRPr="00FD49B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lang w:val="it-IT"/>
                            </w:rPr>
                            <w:t>Michał Nitychoruk</w:t>
                          </w:r>
                          <w:r w:rsidRPr="00FD49B1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it-IT"/>
                            </w:rPr>
                            <w:t>, Communication Manager, Ghelamco Poland</w:t>
                          </w:r>
                        </w:p>
                        <w:p w14:paraId="2A49798D" w14:textId="77777777" w:rsidR="00FE43D5" w:rsidRPr="00FD49B1" w:rsidRDefault="001A5B56">
                          <w:pPr>
                            <w:textDirection w:val="btLr"/>
                            <w:rPr>
                              <w:lang w:val="it-IT"/>
                            </w:rPr>
                          </w:pPr>
                          <w:r w:rsidRPr="00FD49B1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it-IT"/>
                            </w:rPr>
                            <w:t>e-mail: michal.nitychoruk@ghelamco.com, tel. 600 210 304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38F4A3D" id="Prostokąt 21" o:spid="_x0000_s1028" style="position:absolute;left:0;text-align:left;margin-left:87.15pt;margin-top:-78.2pt;width:277.5pt;height:92.5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" filled="f" stroked="f">
              <v:textbox inset="0,0,0,0">
                <w:txbxContent>
                  <w:p w14:paraId="3F93C65D" w14:textId="56B9A2FB" w:rsidR="00FE43D5" w:rsidRPr="0085634D" w:rsidRDefault="001A5B56">
                    <w:pPr>
                      <w:spacing w:line="288" w:lineRule="auto"/>
                      <w:textDirection w:val="btLr"/>
                      <w:rPr>
                        <w:lang w:val="it-IT"/>
                      </w:rPr>
                    </w:pPr>
                    <w:r w:rsidRPr="0091125B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Informacje dla mediów:</w:t>
                    </w:r>
                    <w:r w:rsidRPr="0091125B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br/>
                    </w:r>
                  </w:p>
                  <w:p w14:paraId="232DACC3" w14:textId="77777777" w:rsidR="00FE43D5" w:rsidRPr="00FD49B1" w:rsidRDefault="001A5B56">
                    <w:pPr>
                      <w:spacing w:line="288" w:lineRule="auto"/>
                      <w:textDirection w:val="btLr"/>
                      <w:rPr>
                        <w:lang w:val="it-IT"/>
                      </w:rPr>
                    </w:pPr>
                    <w:r w:rsidRPr="00FD49B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lang w:val="it-IT"/>
                      </w:rPr>
                      <w:t>Michał Nitychoruk</w:t>
                    </w:r>
                    <w:r w:rsidRPr="00FD49B1">
                      <w:rPr>
                        <w:rFonts w:ascii="Arial" w:eastAsia="Arial" w:hAnsi="Arial" w:cs="Arial"/>
                        <w:color w:val="000000"/>
                        <w:sz w:val="16"/>
                        <w:lang w:val="it-IT"/>
                      </w:rPr>
                      <w:t>, Communication Manager, Ghelamco Poland</w:t>
                    </w:r>
                  </w:p>
                  <w:p w14:paraId="2A49798D" w14:textId="77777777" w:rsidR="00FE43D5" w:rsidRPr="00FD49B1" w:rsidRDefault="001A5B56">
                    <w:pPr>
                      <w:textDirection w:val="btLr"/>
                      <w:rPr>
                        <w:lang w:val="it-IT"/>
                      </w:rPr>
                    </w:pPr>
                    <w:r w:rsidRPr="00FD49B1">
                      <w:rPr>
                        <w:rFonts w:ascii="Arial" w:eastAsia="Arial" w:hAnsi="Arial" w:cs="Arial"/>
                        <w:color w:val="000000"/>
                        <w:sz w:val="16"/>
                        <w:lang w:val="it-IT"/>
                      </w:rPr>
                      <w:t>e-mail: michal.nitychoruk@ghelamco.com, tel. 600 210 304</w:t>
                    </w:r>
                  </w:p>
                </w:txbxContent>
              </v:textbox>
            </v:rect>
          </w:pict>
        </mc:Fallback>
      </mc:AlternateContent>
    </w:r>
    <w:r w:rsidR="00A26E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513936A" wp14:editId="3879780A">
              <wp:simplePos x="0" y="0"/>
              <wp:positionH relativeFrom="column">
                <wp:posOffset>-826770</wp:posOffset>
              </wp:positionH>
              <wp:positionV relativeFrom="paragraph">
                <wp:posOffset>-1031240</wp:posOffset>
              </wp:positionV>
              <wp:extent cx="1714500" cy="1038225"/>
              <wp:effectExtent l="0" t="0" r="0" b="952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A35C0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Ghelamco Poland</w:t>
                          </w:r>
                        </w:p>
                        <w:p w14:paraId="2C6CE5FC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68BFC937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Plac Europejski 1</w:t>
                          </w:r>
                        </w:p>
                        <w:p w14:paraId="20972690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Warsaw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Spire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, 41p.</w:t>
                          </w:r>
                        </w:p>
                        <w:p w14:paraId="61AF2526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00-844 Warszawa</w:t>
                          </w:r>
                        </w:p>
                        <w:p w14:paraId="1730FD8C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: +48 22 455 16 00</w:t>
                          </w:r>
                        </w:p>
                        <w:p w14:paraId="4D7B9610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www.ghelamco.com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513936A" id="Prostokąt 19" o:spid="_x0000_s1029" style="position:absolute;left:0;text-align:left;margin-left:-65.1pt;margin-top:-81.2pt;width:135pt;height:8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" filled="f" stroked="f">
              <v:textbox inset="2.53958mm,1.2694mm,2.53958mm,1.2694mm">
                <w:txbxContent>
                  <w:p w14:paraId="357A35C0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Ghelamco Poland</w:t>
                    </w:r>
                  </w:p>
                  <w:p w14:paraId="2C6CE5FC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68BFC937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Plac Europejski 1</w:t>
                    </w:r>
                  </w:p>
                  <w:p w14:paraId="20972690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Warsaw Spire, 41p.</w:t>
                    </w:r>
                  </w:p>
                  <w:p w14:paraId="61AF2526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00-844 Warszawa</w:t>
                    </w:r>
                  </w:p>
                  <w:p w14:paraId="1730FD8C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: +48 22 455 16 00</w:t>
                    </w:r>
                  </w:p>
                  <w:p w14:paraId="4D7B9610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www.ghelamco.com</w:t>
                    </w:r>
                  </w:p>
                </w:txbxContent>
              </v:textbox>
            </v:rect>
          </w:pict>
        </mc:Fallback>
      </mc:AlternateContent>
    </w:r>
    <w:r w:rsidR="00736ED6">
      <w:rPr>
        <w:noProof/>
        <w:lang w:eastAsia="pl-PL"/>
      </w:rPr>
      <w:drawing>
        <wp:anchor distT="0" distB="0" distL="114300" distR="114300" simplePos="0" relativeHeight="251658243" behindDoc="0" locked="0" layoutInCell="1" hidden="0" allowOverlap="1" wp14:anchorId="3F43444C" wp14:editId="335681F4">
          <wp:simplePos x="0" y="0"/>
          <wp:positionH relativeFrom="column">
            <wp:posOffset>4578985</wp:posOffset>
          </wp:positionH>
          <wp:positionV relativeFrom="paragraph">
            <wp:posOffset>-650240</wp:posOffset>
          </wp:positionV>
          <wp:extent cx="990600" cy="533400"/>
          <wp:effectExtent l="0" t="0" r="0" b="0"/>
          <wp:wrapSquare wrapText="bothSides" distT="0" distB="0" distL="114300" distR="114300"/>
          <wp:docPr id="24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6ED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168E510A" wp14:editId="0915BD15">
              <wp:simplePos x="0" y="0"/>
              <wp:positionH relativeFrom="column">
                <wp:posOffset>939800</wp:posOffset>
              </wp:positionH>
              <wp:positionV relativeFrom="paragraph">
                <wp:posOffset>-1113790</wp:posOffset>
              </wp:positionV>
              <wp:extent cx="0" cy="3310255"/>
              <wp:effectExtent l="0" t="0" r="19050" b="23495"/>
              <wp:wrapNone/>
              <wp:docPr id="20" name="Łącznik prosty ze strzałką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1025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8E4CE0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0" o:spid="_x0000_s1026" type="#_x0000_t32" style="position:absolute;margin-left:74pt;margin-top:-87.7pt;width:0;height:260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" strokecolor="black [3200]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8E73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4" behindDoc="0" locked="0" layoutInCell="1" hidden="0" allowOverlap="1" wp14:anchorId="19E53E25" wp14:editId="0A8DD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8" name="Prostokąt 18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D6453" w14:textId="77777777" w:rsidR="00FE43D5" w:rsidRDefault="001A5B5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9E53E25" id="Prostokąt 18" o:spid="_x0000_s1030" alt="Business" style="position:absolute;margin-left:0;margin-top:0;width:35.7pt;height:35.7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" filled="f" stroked="f">
              <v:textbox inset="5pt,0,0,0">
                <w:txbxContent>
                  <w:p w14:paraId="382D6453" w14:textId="77777777" w:rsidR="00FE43D5" w:rsidRDefault="001A5B5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186F" w14:textId="77777777" w:rsidR="008873AD" w:rsidRDefault="008873AD">
      <w:r>
        <w:separator/>
      </w:r>
    </w:p>
  </w:footnote>
  <w:footnote w:type="continuationSeparator" w:id="0">
    <w:p w14:paraId="3B3AD649" w14:textId="77777777" w:rsidR="008873AD" w:rsidRDefault="008873AD">
      <w:r>
        <w:continuationSeparator/>
      </w:r>
    </w:p>
  </w:footnote>
  <w:footnote w:type="continuationNotice" w:id="1">
    <w:p w14:paraId="15444A99" w14:textId="77777777" w:rsidR="008873AD" w:rsidRDefault="00887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2D5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5512F254" wp14:editId="52E77674">
          <wp:extent cx="7495296" cy="2140786"/>
          <wp:effectExtent l="0" t="0" r="0" b="0"/>
          <wp:docPr id="23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5296" cy="2140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D5"/>
    <w:rsid w:val="0000164E"/>
    <w:rsid w:val="00003812"/>
    <w:rsid w:val="00004F32"/>
    <w:rsid w:val="00020551"/>
    <w:rsid w:val="00032EDC"/>
    <w:rsid w:val="00034368"/>
    <w:rsid w:val="00034799"/>
    <w:rsid w:val="000379E1"/>
    <w:rsid w:val="000403B8"/>
    <w:rsid w:val="0004145F"/>
    <w:rsid w:val="000478F6"/>
    <w:rsid w:val="00052D1B"/>
    <w:rsid w:val="00055622"/>
    <w:rsid w:val="00055EC6"/>
    <w:rsid w:val="000621C9"/>
    <w:rsid w:val="000705E3"/>
    <w:rsid w:val="0007172A"/>
    <w:rsid w:val="0007644D"/>
    <w:rsid w:val="00076EE8"/>
    <w:rsid w:val="00077FE3"/>
    <w:rsid w:val="00083318"/>
    <w:rsid w:val="000835B9"/>
    <w:rsid w:val="000917DF"/>
    <w:rsid w:val="0009635D"/>
    <w:rsid w:val="000A2E89"/>
    <w:rsid w:val="000B6AC3"/>
    <w:rsid w:val="000C2B0C"/>
    <w:rsid w:val="000C542A"/>
    <w:rsid w:val="000C54B8"/>
    <w:rsid w:val="000C5EF7"/>
    <w:rsid w:val="000C717D"/>
    <w:rsid w:val="000D0D60"/>
    <w:rsid w:val="000E473D"/>
    <w:rsid w:val="000E4DE0"/>
    <w:rsid w:val="000E5F4A"/>
    <w:rsid w:val="000F6621"/>
    <w:rsid w:val="000F6FE5"/>
    <w:rsid w:val="001016E8"/>
    <w:rsid w:val="00105785"/>
    <w:rsid w:val="00112F6C"/>
    <w:rsid w:val="00125565"/>
    <w:rsid w:val="0012628D"/>
    <w:rsid w:val="001375F6"/>
    <w:rsid w:val="00142458"/>
    <w:rsid w:val="00143835"/>
    <w:rsid w:val="001458EB"/>
    <w:rsid w:val="00150CED"/>
    <w:rsid w:val="001526A7"/>
    <w:rsid w:val="00153A2C"/>
    <w:rsid w:val="00167482"/>
    <w:rsid w:val="00172BD6"/>
    <w:rsid w:val="00174403"/>
    <w:rsid w:val="0017640D"/>
    <w:rsid w:val="00181C73"/>
    <w:rsid w:val="00182966"/>
    <w:rsid w:val="00183997"/>
    <w:rsid w:val="001873AF"/>
    <w:rsid w:val="00190138"/>
    <w:rsid w:val="00193584"/>
    <w:rsid w:val="001A2A30"/>
    <w:rsid w:val="001A50D1"/>
    <w:rsid w:val="001A5B56"/>
    <w:rsid w:val="001A5CC4"/>
    <w:rsid w:val="001A5FAF"/>
    <w:rsid w:val="001A6375"/>
    <w:rsid w:val="001B0221"/>
    <w:rsid w:val="001B11B4"/>
    <w:rsid w:val="001B6A40"/>
    <w:rsid w:val="001B6AC1"/>
    <w:rsid w:val="001C03A0"/>
    <w:rsid w:val="001C0DFC"/>
    <w:rsid w:val="001C1438"/>
    <w:rsid w:val="001C5AE9"/>
    <w:rsid w:val="001C7260"/>
    <w:rsid w:val="001D2E7C"/>
    <w:rsid w:val="001E0127"/>
    <w:rsid w:val="001E1B03"/>
    <w:rsid w:val="001E4D6E"/>
    <w:rsid w:val="001E506B"/>
    <w:rsid w:val="001E6FC8"/>
    <w:rsid w:val="001E778A"/>
    <w:rsid w:val="001F3063"/>
    <w:rsid w:val="001F51A1"/>
    <w:rsid w:val="002018C7"/>
    <w:rsid w:val="00201BD0"/>
    <w:rsid w:val="002034F6"/>
    <w:rsid w:val="002136EC"/>
    <w:rsid w:val="0021719A"/>
    <w:rsid w:val="0022079E"/>
    <w:rsid w:val="002211CC"/>
    <w:rsid w:val="00224D52"/>
    <w:rsid w:val="00230322"/>
    <w:rsid w:val="00231C8F"/>
    <w:rsid w:val="002369B5"/>
    <w:rsid w:val="002377F0"/>
    <w:rsid w:val="002466F7"/>
    <w:rsid w:val="002501DD"/>
    <w:rsid w:val="00257C1D"/>
    <w:rsid w:val="0026138A"/>
    <w:rsid w:val="00262B68"/>
    <w:rsid w:val="00263CD9"/>
    <w:rsid w:val="002642E7"/>
    <w:rsid w:val="00270597"/>
    <w:rsid w:val="00271C24"/>
    <w:rsid w:val="002720DF"/>
    <w:rsid w:val="00273B47"/>
    <w:rsid w:val="00273F52"/>
    <w:rsid w:val="002766FE"/>
    <w:rsid w:val="00276967"/>
    <w:rsid w:val="002779E3"/>
    <w:rsid w:val="002818F4"/>
    <w:rsid w:val="00284197"/>
    <w:rsid w:val="0029122E"/>
    <w:rsid w:val="0029175B"/>
    <w:rsid w:val="00291E91"/>
    <w:rsid w:val="002A01A7"/>
    <w:rsid w:val="002B19B9"/>
    <w:rsid w:val="002C0943"/>
    <w:rsid w:val="002C0DEA"/>
    <w:rsid w:val="002C2770"/>
    <w:rsid w:val="002C41FB"/>
    <w:rsid w:val="002C4BF1"/>
    <w:rsid w:val="002C4F63"/>
    <w:rsid w:val="002C6563"/>
    <w:rsid w:val="002D170B"/>
    <w:rsid w:val="002D4C5C"/>
    <w:rsid w:val="002E1072"/>
    <w:rsid w:val="002E166D"/>
    <w:rsid w:val="002F0148"/>
    <w:rsid w:val="002F2D4B"/>
    <w:rsid w:val="002F65EE"/>
    <w:rsid w:val="002F7E94"/>
    <w:rsid w:val="0030374D"/>
    <w:rsid w:val="003125CF"/>
    <w:rsid w:val="003146BE"/>
    <w:rsid w:val="00317B1E"/>
    <w:rsid w:val="00317F34"/>
    <w:rsid w:val="0032417C"/>
    <w:rsid w:val="003245A6"/>
    <w:rsid w:val="003266B1"/>
    <w:rsid w:val="003305F2"/>
    <w:rsid w:val="0033156F"/>
    <w:rsid w:val="003343B3"/>
    <w:rsid w:val="00334EE8"/>
    <w:rsid w:val="0033643D"/>
    <w:rsid w:val="003369A4"/>
    <w:rsid w:val="003369C0"/>
    <w:rsid w:val="00337CE6"/>
    <w:rsid w:val="003402C5"/>
    <w:rsid w:val="003433CC"/>
    <w:rsid w:val="00345779"/>
    <w:rsid w:val="00345E7A"/>
    <w:rsid w:val="0034617B"/>
    <w:rsid w:val="00351332"/>
    <w:rsid w:val="00353DC2"/>
    <w:rsid w:val="003572CE"/>
    <w:rsid w:val="0036377A"/>
    <w:rsid w:val="003720F5"/>
    <w:rsid w:val="00372183"/>
    <w:rsid w:val="00374A75"/>
    <w:rsid w:val="00375BF0"/>
    <w:rsid w:val="00384CEC"/>
    <w:rsid w:val="0038694B"/>
    <w:rsid w:val="00387E7A"/>
    <w:rsid w:val="00397658"/>
    <w:rsid w:val="003A37F0"/>
    <w:rsid w:val="003B1E9E"/>
    <w:rsid w:val="003B2A70"/>
    <w:rsid w:val="003B41F8"/>
    <w:rsid w:val="003C5D98"/>
    <w:rsid w:val="003C6E4F"/>
    <w:rsid w:val="003D18B1"/>
    <w:rsid w:val="003D5032"/>
    <w:rsid w:val="003E0C8D"/>
    <w:rsid w:val="003E0D0A"/>
    <w:rsid w:val="003E2E26"/>
    <w:rsid w:val="003E4783"/>
    <w:rsid w:val="003E5B4F"/>
    <w:rsid w:val="003E5CDE"/>
    <w:rsid w:val="003F11A3"/>
    <w:rsid w:val="003F140D"/>
    <w:rsid w:val="003F4B14"/>
    <w:rsid w:val="00401851"/>
    <w:rsid w:val="00403217"/>
    <w:rsid w:val="00404C27"/>
    <w:rsid w:val="0041064C"/>
    <w:rsid w:val="004108B4"/>
    <w:rsid w:val="00410FF2"/>
    <w:rsid w:val="00411186"/>
    <w:rsid w:val="0041324C"/>
    <w:rsid w:val="00415F17"/>
    <w:rsid w:val="00416526"/>
    <w:rsid w:val="00427F0A"/>
    <w:rsid w:val="00432B01"/>
    <w:rsid w:val="00433158"/>
    <w:rsid w:val="00443444"/>
    <w:rsid w:val="00444BFC"/>
    <w:rsid w:val="0044505E"/>
    <w:rsid w:val="00446E11"/>
    <w:rsid w:val="00447D94"/>
    <w:rsid w:val="00452845"/>
    <w:rsid w:val="00453B3E"/>
    <w:rsid w:val="004555CE"/>
    <w:rsid w:val="0046740A"/>
    <w:rsid w:val="004707D0"/>
    <w:rsid w:val="004719E8"/>
    <w:rsid w:val="004758BE"/>
    <w:rsid w:val="0048012B"/>
    <w:rsid w:val="00483574"/>
    <w:rsid w:val="0048470F"/>
    <w:rsid w:val="00495278"/>
    <w:rsid w:val="0049671B"/>
    <w:rsid w:val="00496960"/>
    <w:rsid w:val="004A0C24"/>
    <w:rsid w:val="004A0F5C"/>
    <w:rsid w:val="004A2483"/>
    <w:rsid w:val="004B1DBF"/>
    <w:rsid w:val="004B33DA"/>
    <w:rsid w:val="004B5534"/>
    <w:rsid w:val="004C0F9A"/>
    <w:rsid w:val="004D0309"/>
    <w:rsid w:val="004D72B2"/>
    <w:rsid w:val="004E1BED"/>
    <w:rsid w:val="004E284A"/>
    <w:rsid w:val="004E29FF"/>
    <w:rsid w:val="004E5193"/>
    <w:rsid w:val="004E5D55"/>
    <w:rsid w:val="004E5F20"/>
    <w:rsid w:val="004E6DC2"/>
    <w:rsid w:val="004F7E9E"/>
    <w:rsid w:val="00503E5C"/>
    <w:rsid w:val="00506D79"/>
    <w:rsid w:val="00522CAB"/>
    <w:rsid w:val="005240DD"/>
    <w:rsid w:val="0052636E"/>
    <w:rsid w:val="00526BBB"/>
    <w:rsid w:val="00527427"/>
    <w:rsid w:val="00530515"/>
    <w:rsid w:val="005315D1"/>
    <w:rsid w:val="00531A15"/>
    <w:rsid w:val="00546986"/>
    <w:rsid w:val="00547930"/>
    <w:rsid w:val="00557321"/>
    <w:rsid w:val="005602F6"/>
    <w:rsid w:val="005669D0"/>
    <w:rsid w:val="00570D4A"/>
    <w:rsid w:val="005712A2"/>
    <w:rsid w:val="00573825"/>
    <w:rsid w:val="00574D1D"/>
    <w:rsid w:val="00577012"/>
    <w:rsid w:val="00584540"/>
    <w:rsid w:val="00584E3A"/>
    <w:rsid w:val="00585739"/>
    <w:rsid w:val="00593345"/>
    <w:rsid w:val="00594BC7"/>
    <w:rsid w:val="0059693D"/>
    <w:rsid w:val="005A1B1F"/>
    <w:rsid w:val="005A2EAD"/>
    <w:rsid w:val="005A4288"/>
    <w:rsid w:val="005B3A82"/>
    <w:rsid w:val="005B4E20"/>
    <w:rsid w:val="005C1C66"/>
    <w:rsid w:val="005C3627"/>
    <w:rsid w:val="005C6312"/>
    <w:rsid w:val="005D14AA"/>
    <w:rsid w:val="005D2C7F"/>
    <w:rsid w:val="005D66B5"/>
    <w:rsid w:val="005E0970"/>
    <w:rsid w:val="005E62E3"/>
    <w:rsid w:val="005F54DC"/>
    <w:rsid w:val="005F5C58"/>
    <w:rsid w:val="005F68D1"/>
    <w:rsid w:val="005F724A"/>
    <w:rsid w:val="005F7927"/>
    <w:rsid w:val="005F7978"/>
    <w:rsid w:val="00606A2A"/>
    <w:rsid w:val="00607A07"/>
    <w:rsid w:val="00614990"/>
    <w:rsid w:val="00616480"/>
    <w:rsid w:val="0061794A"/>
    <w:rsid w:val="0062333C"/>
    <w:rsid w:val="00624524"/>
    <w:rsid w:val="006276F2"/>
    <w:rsid w:val="00630647"/>
    <w:rsid w:val="0063075A"/>
    <w:rsid w:val="00632429"/>
    <w:rsid w:val="00633DFB"/>
    <w:rsid w:val="00635B21"/>
    <w:rsid w:val="00636FAF"/>
    <w:rsid w:val="00640336"/>
    <w:rsid w:val="00640847"/>
    <w:rsid w:val="00640BA4"/>
    <w:rsid w:val="00641ACD"/>
    <w:rsid w:val="006420AE"/>
    <w:rsid w:val="006430BA"/>
    <w:rsid w:val="006431CC"/>
    <w:rsid w:val="0065049E"/>
    <w:rsid w:val="0066212D"/>
    <w:rsid w:val="00665013"/>
    <w:rsid w:val="006653DC"/>
    <w:rsid w:val="00672C26"/>
    <w:rsid w:val="00672C7E"/>
    <w:rsid w:val="0067596C"/>
    <w:rsid w:val="00675F99"/>
    <w:rsid w:val="0067754E"/>
    <w:rsid w:val="00681262"/>
    <w:rsid w:val="0069272C"/>
    <w:rsid w:val="0069327B"/>
    <w:rsid w:val="00695DE9"/>
    <w:rsid w:val="00696521"/>
    <w:rsid w:val="00696EA4"/>
    <w:rsid w:val="006A26E9"/>
    <w:rsid w:val="006A4A74"/>
    <w:rsid w:val="006A5400"/>
    <w:rsid w:val="006A6FFE"/>
    <w:rsid w:val="006B17E3"/>
    <w:rsid w:val="006B1D29"/>
    <w:rsid w:val="006B1DD9"/>
    <w:rsid w:val="006C2E59"/>
    <w:rsid w:val="006C4E75"/>
    <w:rsid w:val="006C67FB"/>
    <w:rsid w:val="006D18CF"/>
    <w:rsid w:val="006D415A"/>
    <w:rsid w:val="006E05E3"/>
    <w:rsid w:val="006E15A9"/>
    <w:rsid w:val="006E41BC"/>
    <w:rsid w:val="006E6BAB"/>
    <w:rsid w:val="006F47BE"/>
    <w:rsid w:val="006F4B3A"/>
    <w:rsid w:val="006F5FBD"/>
    <w:rsid w:val="006F6577"/>
    <w:rsid w:val="007010C4"/>
    <w:rsid w:val="00716992"/>
    <w:rsid w:val="00717018"/>
    <w:rsid w:val="00717BEF"/>
    <w:rsid w:val="0072052D"/>
    <w:rsid w:val="00722D7C"/>
    <w:rsid w:val="00727DE6"/>
    <w:rsid w:val="00731AF9"/>
    <w:rsid w:val="00732523"/>
    <w:rsid w:val="00736ED6"/>
    <w:rsid w:val="00744124"/>
    <w:rsid w:val="00747748"/>
    <w:rsid w:val="00750D8F"/>
    <w:rsid w:val="00752126"/>
    <w:rsid w:val="00757067"/>
    <w:rsid w:val="0075787F"/>
    <w:rsid w:val="00764D59"/>
    <w:rsid w:val="0076639E"/>
    <w:rsid w:val="007706C5"/>
    <w:rsid w:val="00771EF5"/>
    <w:rsid w:val="007746DE"/>
    <w:rsid w:val="00777575"/>
    <w:rsid w:val="007827FD"/>
    <w:rsid w:val="00783D41"/>
    <w:rsid w:val="00784562"/>
    <w:rsid w:val="00784AEE"/>
    <w:rsid w:val="0078641F"/>
    <w:rsid w:val="00786B3A"/>
    <w:rsid w:val="00792466"/>
    <w:rsid w:val="007927DF"/>
    <w:rsid w:val="00793A06"/>
    <w:rsid w:val="00793A1A"/>
    <w:rsid w:val="00795B68"/>
    <w:rsid w:val="007A76C4"/>
    <w:rsid w:val="007B3054"/>
    <w:rsid w:val="007B50C7"/>
    <w:rsid w:val="007B6A61"/>
    <w:rsid w:val="007D6107"/>
    <w:rsid w:val="007E2A5D"/>
    <w:rsid w:val="007E479F"/>
    <w:rsid w:val="007F08F5"/>
    <w:rsid w:val="007F2B5A"/>
    <w:rsid w:val="007F2BD2"/>
    <w:rsid w:val="007F53AD"/>
    <w:rsid w:val="007F6802"/>
    <w:rsid w:val="007F71B1"/>
    <w:rsid w:val="007F7D7D"/>
    <w:rsid w:val="00800047"/>
    <w:rsid w:val="00801599"/>
    <w:rsid w:val="00804BAC"/>
    <w:rsid w:val="00805A29"/>
    <w:rsid w:val="00813709"/>
    <w:rsid w:val="008137DB"/>
    <w:rsid w:val="00813BD5"/>
    <w:rsid w:val="00814830"/>
    <w:rsid w:val="00817DF2"/>
    <w:rsid w:val="00821542"/>
    <w:rsid w:val="0083206B"/>
    <w:rsid w:val="0083443F"/>
    <w:rsid w:val="00840A0C"/>
    <w:rsid w:val="00840EC2"/>
    <w:rsid w:val="008458CE"/>
    <w:rsid w:val="0084603E"/>
    <w:rsid w:val="0084707D"/>
    <w:rsid w:val="00847BB1"/>
    <w:rsid w:val="00847D88"/>
    <w:rsid w:val="00852D38"/>
    <w:rsid w:val="008532AD"/>
    <w:rsid w:val="00853304"/>
    <w:rsid w:val="0085634D"/>
    <w:rsid w:val="0086213A"/>
    <w:rsid w:val="00864FF9"/>
    <w:rsid w:val="00866877"/>
    <w:rsid w:val="008709C9"/>
    <w:rsid w:val="008845A4"/>
    <w:rsid w:val="008854B1"/>
    <w:rsid w:val="008857D8"/>
    <w:rsid w:val="00886367"/>
    <w:rsid w:val="008873AD"/>
    <w:rsid w:val="00891616"/>
    <w:rsid w:val="008A09B7"/>
    <w:rsid w:val="008B1A98"/>
    <w:rsid w:val="008B6B36"/>
    <w:rsid w:val="008B6E7A"/>
    <w:rsid w:val="008C2A0B"/>
    <w:rsid w:val="008C4BFC"/>
    <w:rsid w:val="008D33AB"/>
    <w:rsid w:val="008D6F7A"/>
    <w:rsid w:val="008E0EC2"/>
    <w:rsid w:val="008E7A3E"/>
    <w:rsid w:val="008F3F56"/>
    <w:rsid w:val="008F4321"/>
    <w:rsid w:val="008F57A9"/>
    <w:rsid w:val="008F79E9"/>
    <w:rsid w:val="008F7DD9"/>
    <w:rsid w:val="00903198"/>
    <w:rsid w:val="00904F13"/>
    <w:rsid w:val="00907076"/>
    <w:rsid w:val="00910C6D"/>
    <w:rsid w:val="0091125B"/>
    <w:rsid w:val="009113E4"/>
    <w:rsid w:val="00911905"/>
    <w:rsid w:val="0091296E"/>
    <w:rsid w:val="00915D69"/>
    <w:rsid w:val="00916F6C"/>
    <w:rsid w:val="00917D1E"/>
    <w:rsid w:val="009203C9"/>
    <w:rsid w:val="0092197D"/>
    <w:rsid w:val="009530E8"/>
    <w:rsid w:val="009533A7"/>
    <w:rsid w:val="00953E0C"/>
    <w:rsid w:val="00956923"/>
    <w:rsid w:val="009575F1"/>
    <w:rsid w:val="00964BFC"/>
    <w:rsid w:val="00967739"/>
    <w:rsid w:val="009678AB"/>
    <w:rsid w:val="00967D43"/>
    <w:rsid w:val="0097110A"/>
    <w:rsid w:val="00971757"/>
    <w:rsid w:val="00972174"/>
    <w:rsid w:val="00974C55"/>
    <w:rsid w:val="00977A51"/>
    <w:rsid w:val="009818C4"/>
    <w:rsid w:val="009839AF"/>
    <w:rsid w:val="0099072F"/>
    <w:rsid w:val="009A3EE3"/>
    <w:rsid w:val="009A4FAD"/>
    <w:rsid w:val="009B45C1"/>
    <w:rsid w:val="009C112D"/>
    <w:rsid w:val="009C6BAC"/>
    <w:rsid w:val="009D0AA3"/>
    <w:rsid w:val="009E3C48"/>
    <w:rsid w:val="009E4124"/>
    <w:rsid w:val="009E6681"/>
    <w:rsid w:val="009E7A6A"/>
    <w:rsid w:val="009F07DE"/>
    <w:rsid w:val="009F10B2"/>
    <w:rsid w:val="009F3257"/>
    <w:rsid w:val="009F3642"/>
    <w:rsid w:val="009F40DF"/>
    <w:rsid w:val="009F4154"/>
    <w:rsid w:val="00A00D1F"/>
    <w:rsid w:val="00A01AB7"/>
    <w:rsid w:val="00A027E0"/>
    <w:rsid w:val="00A03BCD"/>
    <w:rsid w:val="00A07532"/>
    <w:rsid w:val="00A076E1"/>
    <w:rsid w:val="00A07AA2"/>
    <w:rsid w:val="00A11B4D"/>
    <w:rsid w:val="00A11EAD"/>
    <w:rsid w:val="00A20CC4"/>
    <w:rsid w:val="00A217D0"/>
    <w:rsid w:val="00A26EE6"/>
    <w:rsid w:val="00A27411"/>
    <w:rsid w:val="00A313F2"/>
    <w:rsid w:val="00A31E7B"/>
    <w:rsid w:val="00A32894"/>
    <w:rsid w:val="00A334DE"/>
    <w:rsid w:val="00A34BF3"/>
    <w:rsid w:val="00A40084"/>
    <w:rsid w:val="00A52043"/>
    <w:rsid w:val="00A5675E"/>
    <w:rsid w:val="00A60436"/>
    <w:rsid w:val="00A6352E"/>
    <w:rsid w:val="00A63F12"/>
    <w:rsid w:val="00A652D0"/>
    <w:rsid w:val="00A6555B"/>
    <w:rsid w:val="00A670A3"/>
    <w:rsid w:val="00A7164A"/>
    <w:rsid w:val="00A75442"/>
    <w:rsid w:val="00A82406"/>
    <w:rsid w:val="00A831B6"/>
    <w:rsid w:val="00A84A46"/>
    <w:rsid w:val="00A84EB7"/>
    <w:rsid w:val="00A8645B"/>
    <w:rsid w:val="00A8724E"/>
    <w:rsid w:val="00A90679"/>
    <w:rsid w:val="00A915A5"/>
    <w:rsid w:val="00A9284C"/>
    <w:rsid w:val="00A93EC8"/>
    <w:rsid w:val="00AA2C0C"/>
    <w:rsid w:val="00AA513B"/>
    <w:rsid w:val="00AA638F"/>
    <w:rsid w:val="00AA7742"/>
    <w:rsid w:val="00AB0376"/>
    <w:rsid w:val="00AB2762"/>
    <w:rsid w:val="00AB2F3F"/>
    <w:rsid w:val="00AB4592"/>
    <w:rsid w:val="00AC0BC2"/>
    <w:rsid w:val="00AC24CE"/>
    <w:rsid w:val="00AC551A"/>
    <w:rsid w:val="00AC553D"/>
    <w:rsid w:val="00AC55D7"/>
    <w:rsid w:val="00AD0069"/>
    <w:rsid w:val="00AD0863"/>
    <w:rsid w:val="00AD4AC3"/>
    <w:rsid w:val="00AD63EE"/>
    <w:rsid w:val="00AD6DA1"/>
    <w:rsid w:val="00AD7C00"/>
    <w:rsid w:val="00AE0348"/>
    <w:rsid w:val="00AE1D9E"/>
    <w:rsid w:val="00AE4F6A"/>
    <w:rsid w:val="00AE6AA2"/>
    <w:rsid w:val="00AE7324"/>
    <w:rsid w:val="00AF412A"/>
    <w:rsid w:val="00AF6C6B"/>
    <w:rsid w:val="00AF7893"/>
    <w:rsid w:val="00AF79B4"/>
    <w:rsid w:val="00B02398"/>
    <w:rsid w:val="00B060D2"/>
    <w:rsid w:val="00B076B6"/>
    <w:rsid w:val="00B11430"/>
    <w:rsid w:val="00B12665"/>
    <w:rsid w:val="00B134A0"/>
    <w:rsid w:val="00B15B2A"/>
    <w:rsid w:val="00B22249"/>
    <w:rsid w:val="00B24993"/>
    <w:rsid w:val="00B32B79"/>
    <w:rsid w:val="00B33CB3"/>
    <w:rsid w:val="00B34012"/>
    <w:rsid w:val="00B3460C"/>
    <w:rsid w:val="00B3588C"/>
    <w:rsid w:val="00B35925"/>
    <w:rsid w:val="00B35B27"/>
    <w:rsid w:val="00B36478"/>
    <w:rsid w:val="00B42F7A"/>
    <w:rsid w:val="00B46B52"/>
    <w:rsid w:val="00B570D9"/>
    <w:rsid w:val="00B60AB9"/>
    <w:rsid w:val="00B61F49"/>
    <w:rsid w:val="00B662FC"/>
    <w:rsid w:val="00B6747B"/>
    <w:rsid w:val="00B7049C"/>
    <w:rsid w:val="00B71AD8"/>
    <w:rsid w:val="00B71B87"/>
    <w:rsid w:val="00B815E0"/>
    <w:rsid w:val="00B8444C"/>
    <w:rsid w:val="00B85468"/>
    <w:rsid w:val="00B90321"/>
    <w:rsid w:val="00BA45AC"/>
    <w:rsid w:val="00BA5DFB"/>
    <w:rsid w:val="00BA699A"/>
    <w:rsid w:val="00BA76A8"/>
    <w:rsid w:val="00BB0C8C"/>
    <w:rsid w:val="00BB2E05"/>
    <w:rsid w:val="00BB3361"/>
    <w:rsid w:val="00BB6FEB"/>
    <w:rsid w:val="00BC577C"/>
    <w:rsid w:val="00BD50C2"/>
    <w:rsid w:val="00BD52F6"/>
    <w:rsid w:val="00BD5EFD"/>
    <w:rsid w:val="00BD5FFC"/>
    <w:rsid w:val="00BD72CB"/>
    <w:rsid w:val="00BE3135"/>
    <w:rsid w:val="00BE7D9C"/>
    <w:rsid w:val="00BF3496"/>
    <w:rsid w:val="00BF5500"/>
    <w:rsid w:val="00C01A4B"/>
    <w:rsid w:val="00C01C22"/>
    <w:rsid w:val="00C02DE2"/>
    <w:rsid w:val="00C1189C"/>
    <w:rsid w:val="00C13C44"/>
    <w:rsid w:val="00C1636B"/>
    <w:rsid w:val="00C17C87"/>
    <w:rsid w:val="00C22E89"/>
    <w:rsid w:val="00C274DA"/>
    <w:rsid w:val="00C27B30"/>
    <w:rsid w:val="00C34083"/>
    <w:rsid w:val="00C44381"/>
    <w:rsid w:val="00C45A85"/>
    <w:rsid w:val="00C50069"/>
    <w:rsid w:val="00C503B2"/>
    <w:rsid w:val="00C532F9"/>
    <w:rsid w:val="00C56D62"/>
    <w:rsid w:val="00C5743A"/>
    <w:rsid w:val="00C605B8"/>
    <w:rsid w:val="00C61F83"/>
    <w:rsid w:val="00C66311"/>
    <w:rsid w:val="00C72A2E"/>
    <w:rsid w:val="00C77DF1"/>
    <w:rsid w:val="00C80FAF"/>
    <w:rsid w:val="00C83087"/>
    <w:rsid w:val="00C8490D"/>
    <w:rsid w:val="00C96B8A"/>
    <w:rsid w:val="00CA6219"/>
    <w:rsid w:val="00CB1EC6"/>
    <w:rsid w:val="00CB4CA0"/>
    <w:rsid w:val="00CB67E8"/>
    <w:rsid w:val="00CD0096"/>
    <w:rsid w:val="00CD6478"/>
    <w:rsid w:val="00CE12F6"/>
    <w:rsid w:val="00CE1FCB"/>
    <w:rsid w:val="00CE38C8"/>
    <w:rsid w:val="00CE4163"/>
    <w:rsid w:val="00CF5F72"/>
    <w:rsid w:val="00CF7FB9"/>
    <w:rsid w:val="00D0424F"/>
    <w:rsid w:val="00D06596"/>
    <w:rsid w:val="00D0670D"/>
    <w:rsid w:val="00D073EC"/>
    <w:rsid w:val="00D13233"/>
    <w:rsid w:val="00D13CDC"/>
    <w:rsid w:val="00D16EE9"/>
    <w:rsid w:val="00D2062F"/>
    <w:rsid w:val="00D208B4"/>
    <w:rsid w:val="00D21D3E"/>
    <w:rsid w:val="00D22B00"/>
    <w:rsid w:val="00D24CDD"/>
    <w:rsid w:val="00D26F3B"/>
    <w:rsid w:val="00D32129"/>
    <w:rsid w:val="00D4329B"/>
    <w:rsid w:val="00D474B3"/>
    <w:rsid w:val="00D50976"/>
    <w:rsid w:val="00D51836"/>
    <w:rsid w:val="00D54881"/>
    <w:rsid w:val="00D55690"/>
    <w:rsid w:val="00D6564A"/>
    <w:rsid w:val="00D71AF1"/>
    <w:rsid w:val="00D7315B"/>
    <w:rsid w:val="00D810C8"/>
    <w:rsid w:val="00D8428A"/>
    <w:rsid w:val="00D876E1"/>
    <w:rsid w:val="00D925CC"/>
    <w:rsid w:val="00D94E47"/>
    <w:rsid w:val="00D96AA4"/>
    <w:rsid w:val="00DA02D5"/>
    <w:rsid w:val="00DA0A0B"/>
    <w:rsid w:val="00DA5B86"/>
    <w:rsid w:val="00DA74CE"/>
    <w:rsid w:val="00DB0842"/>
    <w:rsid w:val="00DB0F0E"/>
    <w:rsid w:val="00DB58A0"/>
    <w:rsid w:val="00DB5F02"/>
    <w:rsid w:val="00DB6269"/>
    <w:rsid w:val="00DB7DB7"/>
    <w:rsid w:val="00DC1C24"/>
    <w:rsid w:val="00DC3B05"/>
    <w:rsid w:val="00DC6636"/>
    <w:rsid w:val="00DC7DB2"/>
    <w:rsid w:val="00DD0DE7"/>
    <w:rsid w:val="00DE050E"/>
    <w:rsid w:val="00DE059A"/>
    <w:rsid w:val="00DE5041"/>
    <w:rsid w:val="00DE5A37"/>
    <w:rsid w:val="00DF4371"/>
    <w:rsid w:val="00E01642"/>
    <w:rsid w:val="00E01914"/>
    <w:rsid w:val="00E06372"/>
    <w:rsid w:val="00E1297B"/>
    <w:rsid w:val="00E1314A"/>
    <w:rsid w:val="00E211CB"/>
    <w:rsid w:val="00E214AD"/>
    <w:rsid w:val="00E24761"/>
    <w:rsid w:val="00E279B4"/>
    <w:rsid w:val="00E370C6"/>
    <w:rsid w:val="00E411D6"/>
    <w:rsid w:val="00E41FE9"/>
    <w:rsid w:val="00E43640"/>
    <w:rsid w:val="00E46E1A"/>
    <w:rsid w:val="00E472FE"/>
    <w:rsid w:val="00E47714"/>
    <w:rsid w:val="00E47D20"/>
    <w:rsid w:val="00E526B7"/>
    <w:rsid w:val="00E564BC"/>
    <w:rsid w:val="00E615C1"/>
    <w:rsid w:val="00E61EB5"/>
    <w:rsid w:val="00E622C4"/>
    <w:rsid w:val="00E624CF"/>
    <w:rsid w:val="00E63588"/>
    <w:rsid w:val="00E63A4C"/>
    <w:rsid w:val="00E71954"/>
    <w:rsid w:val="00E73203"/>
    <w:rsid w:val="00E758A6"/>
    <w:rsid w:val="00E8138C"/>
    <w:rsid w:val="00E821B9"/>
    <w:rsid w:val="00E84ACB"/>
    <w:rsid w:val="00E92FE9"/>
    <w:rsid w:val="00E93DB3"/>
    <w:rsid w:val="00E94431"/>
    <w:rsid w:val="00E95A69"/>
    <w:rsid w:val="00E977F5"/>
    <w:rsid w:val="00EA0E17"/>
    <w:rsid w:val="00EA2FD2"/>
    <w:rsid w:val="00EA4685"/>
    <w:rsid w:val="00EA7568"/>
    <w:rsid w:val="00EA7D5E"/>
    <w:rsid w:val="00EB2D26"/>
    <w:rsid w:val="00EB353E"/>
    <w:rsid w:val="00EB3C24"/>
    <w:rsid w:val="00EB6099"/>
    <w:rsid w:val="00EB65B4"/>
    <w:rsid w:val="00EC5A1B"/>
    <w:rsid w:val="00ED0E7F"/>
    <w:rsid w:val="00ED1BF1"/>
    <w:rsid w:val="00ED2E8C"/>
    <w:rsid w:val="00ED421F"/>
    <w:rsid w:val="00ED6111"/>
    <w:rsid w:val="00ED6643"/>
    <w:rsid w:val="00EE0DCD"/>
    <w:rsid w:val="00EE29B8"/>
    <w:rsid w:val="00EE54F6"/>
    <w:rsid w:val="00EE6497"/>
    <w:rsid w:val="00EE70B4"/>
    <w:rsid w:val="00EF4748"/>
    <w:rsid w:val="00EF5D14"/>
    <w:rsid w:val="00EF73DA"/>
    <w:rsid w:val="00EF79E1"/>
    <w:rsid w:val="00F01161"/>
    <w:rsid w:val="00F106E5"/>
    <w:rsid w:val="00F11CCF"/>
    <w:rsid w:val="00F13A5D"/>
    <w:rsid w:val="00F16B32"/>
    <w:rsid w:val="00F1724A"/>
    <w:rsid w:val="00F17CAF"/>
    <w:rsid w:val="00F21C42"/>
    <w:rsid w:val="00F22FA6"/>
    <w:rsid w:val="00F258D6"/>
    <w:rsid w:val="00F31E38"/>
    <w:rsid w:val="00F35332"/>
    <w:rsid w:val="00F40B22"/>
    <w:rsid w:val="00F41496"/>
    <w:rsid w:val="00F435FA"/>
    <w:rsid w:val="00F438AA"/>
    <w:rsid w:val="00F47968"/>
    <w:rsid w:val="00F51996"/>
    <w:rsid w:val="00F561F5"/>
    <w:rsid w:val="00F565D8"/>
    <w:rsid w:val="00F658C7"/>
    <w:rsid w:val="00F66BB0"/>
    <w:rsid w:val="00F676C1"/>
    <w:rsid w:val="00F75241"/>
    <w:rsid w:val="00F77FBC"/>
    <w:rsid w:val="00F803AE"/>
    <w:rsid w:val="00F830EE"/>
    <w:rsid w:val="00F90772"/>
    <w:rsid w:val="00F90CAB"/>
    <w:rsid w:val="00FA27C5"/>
    <w:rsid w:val="00FA586B"/>
    <w:rsid w:val="00FA5B12"/>
    <w:rsid w:val="00FB15A1"/>
    <w:rsid w:val="00FB3913"/>
    <w:rsid w:val="00FB4CE0"/>
    <w:rsid w:val="00FC1ACE"/>
    <w:rsid w:val="00FC4187"/>
    <w:rsid w:val="00FC4CCF"/>
    <w:rsid w:val="00FC580C"/>
    <w:rsid w:val="00FD49B1"/>
    <w:rsid w:val="00FD6B95"/>
    <w:rsid w:val="00FD6CDC"/>
    <w:rsid w:val="00FE0074"/>
    <w:rsid w:val="00FE43D5"/>
    <w:rsid w:val="00FE7113"/>
    <w:rsid w:val="00FF0994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C0CBC"/>
  <w15:docId w15:val="{6C65AD04-AF17-43F0-BA08-7373C13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517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1711"/>
  </w:style>
  <w:style w:type="character" w:styleId="Odwoanieprzypisudolnego">
    <w:name w:val="footnote reference"/>
    <w:basedOn w:val="Domylnaczcionkaakapitu"/>
    <w:uiPriority w:val="99"/>
    <w:unhideWhenUsed/>
    <w:rsid w:val="008517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711"/>
  </w:style>
  <w:style w:type="paragraph" w:styleId="Stopka">
    <w:name w:val="footer"/>
    <w:basedOn w:val="Normalny"/>
    <w:link w:val="StopkaZnak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711"/>
  </w:style>
  <w:style w:type="paragraph" w:styleId="Tekstdymka">
    <w:name w:val="Balloon Text"/>
    <w:basedOn w:val="Normalny"/>
    <w:link w:val="TekstdymkaZnak"/>
    <w:uiPriority w:val="99"/>
    <w:semiHidden/>
    <w:unhideWhenUsed/>
    <w:rsid w:val="00851711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11"/>
    <w:rPr>
      <w:rFonts w:ascii="Lucida Grande" w:hAnsi="Lucida Grande" w:cs="Lucida Grand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517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asicParagraph">
    <w:name w:val="[Basic Paragraph]"/>
    <w:basedOn w:val="Normalny"/>
    <w:uiPriority w:val="99"/>
    <w:rsid w:val="009560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043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cze">
    <w:name w:val="Hyperlink"/>
    <w:basedOn w:val="Domylnaczcionkaakapitu"/>
    <w:uiPriority w:val="99"/>
    <w:unhideWhenUsed/>
    <w:rsid w:val="008F5F7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F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F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F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5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A9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5C6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07C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7C70"/>
  </w:style>
  <w:style w:type="paragraph" w:styleId="Poprawka">
    <w:name w:val="Revision"/>
    <w:hidden/>
    <w:uiPriority w:val="99"/>
    <w:semiHidden/>
    <w:rsid w:val="00E33A6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ad">
    <w:name w:val="lead"/>
    <w:basedOn w:val="Normalny"/>
    <w:rsid w:val="00C02588"/>
    <w:pPr>
      <w:spacing w:before="100" w:beforeAutospacing="1" w:after="100" w:afterAutospacing="1"/>
    </w:pPr>
    <w:rPr>
      <w:lang w:eastAsia="en-GB"/>
    </w:rPr>
  </w:style>
  <w:style w:type="paragraph" w:styleId="Bezodstpw">
    <w:name w:val="No Spacing"/>
    <w:uiPriority w:val="1"/>
    <w:qFormat/>
    <w:rsid w:val="00F9313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tpasted0">
    <w:name w:val="contentpasted0"/>
    <w:basedOn w:val="Normalny"/>
    <w:rsid w:val="00372183"/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contentpasted01">
    <w:name w:val="contentpasted01"/>
    <w:basedOn w:val="Domylnaczcionkaakapitu"/>
    <w:rsid w:val="00372183"/>
  </w:style>
  <w:style w:type="character" w:customStyle="1" w:styleId="ui-provider">
    <w:name w:val="ui-provider"/>
    <w:basedOn w:val="Domylnaczcionkaakapitu"/>
    <w:rsid w:val="00372183"/>
  </w:style>
  <w:style w:type="character" w:customStyle="1" w:styleId="normaltextrun">
    <w:name w:val="normaltextrun"/>
    <w:basedOn w:val="Domylnaczcionkaakapitu"/>
    <w:rsid w:val="000F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BrXdwx7YZvQYpEXaKdyeuWyPA==">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</go:docsCustomData>
</go:gDocsCustomXmlDataStorage>
</file>

<file path=customXml/itemProps1.xml><?xml version="1.0" encoding="utf-8"?>
<ds:datastoreItem xmlns:ds="http://schemas.openxmlformats.org/officeDocument/2006/customXml" ds:itemID="{5829596F-E3FF-4D3A-A020-38DE02CD0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2" removed="0"/>
  <clbl:label id="{f481d56f-c63d-4d74-8406-d64e74f44395}" enabled="0" method="" siteId="{f481d56f-c63d-4d74-8406-d64e74f44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910</Words>
  <Characters>6066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Michał Nitychoruk</cp:lastModifiedBy>
  <cp:revision>10</cp:revision>
  <cp:lastPrinted>2025-08-27T09:55:00Z</cp:lastPrinted>
  <dcterms:created xsi:type="dcterms:W3CDTF">2025-08-27T15:48:00Z</dcterms:created>
  <dcterms:modified xsi:type="dcterms:W3CDTF">2025-09-01T10:58:00Z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2021-04-12T15:08:36Z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17ab64e1-acf3-4282-add4-fdd7215e0e49</vt:lpwstr>
  </property>
  <property fmtid="{D5CDD505-2E9C-101B-9397-08002B2CF9AE}" pid="8" name="MSIP_Label_43f08ec5-d6d9-4227-8387-ccbfcb3632c4_ContentBits">
    <vt:lpwstr>0</vt:lpwstr>
  </property>
  <property fmtid="{D5CDD505-2E9C-101B-9397-08002B2CF9AE}" pid="9" name="ClassificationContentMarkingFooterShapeIds">
    <vt:lpwstr>1,3,6</vt:lpwstr>
  </property>
  <property fmtid="{D5CDD505-2E9C-101B-9397-08002B2CF9AE}" pid="10" name="ClassificationContentMarkingFooterFontProps">
    <vt:lpwstr>#0078d7,9,Calibri</vt:lpwstr>
  </property>
  <property fmtid="{D5CDD505-2E9C-101B-9397-08002B2CF9AE}" pid="11" name="ClassificationContentMarkingFooterText">
    <vt:lpwstr>Business</vt:lpwstr>
  </property>
  <property fmtid="{D5CDD505-2E9C-101B-9397-08002B2CF9AE}" pid="12" name="MSIP_Label_8c970d48-f7b9-48b0-9606-072fbefb514d_Enabled">
    <vt:lpwstr>true</vt:lpwstr>
  </property>
  <property fmtid="{D5CDD505-2E9C-101B-9397-08002B2CF9AE}" pid="13" name="MSIP_Label_8c970d48-f7b9-48b0-9606-072fbefb514d_SetDate">
    <vt:lpwstr>2022-06-21T07:24:56Z</vt:lpwstr>
  </property>
  <property fmtid="{D5CDD505-2E9C-101B-9397-08002B2CF9AE}" pid="14" name="MSIP_Label_8c970d48-f7b9-48b0-9606-072fbefb514d_Method">
    <vt:lpwstr>Standard</vt:lpwstr>
  </property>
  <property fmtid="{D5CDD505-2E9C-101B-9397-08002B2CF9AE}" pid="15" name="MSIP_Label_8c970d48-f7b9-48b0-9606-072fbefb514d_Name">
    <vt:lpwstr>Business</vt:lpwstr>
  </property>
  <property fmtid="{D5CDD505-2E9C-101B-9397-08002B2CF9AE}" pid="16" name="MSIP_Label_8c970d48-f7b9-48b0-9606-072fbefb514d_SiteId">
    <vt:lpwstr>049e3382-8cdc-477b-9317-951b04689668</vt:lpwstr>
  </property>
  <property fmtid="{D5CDD505-2E9C-101B-9397-08002B2CF9AE}" pid="17" name="MSIP_Label_8c970d48-f7b9-48b0-9606-072fbefb514d_ActionId">
    <vt:lpwstr>420e4130-aebd-48ba-9005-24cc010b2bbc</vt:lpwstr>
  </property>
  <property fmtid="{D5CDD505-2E9C-101B-9397-08002B2CF9AE}" pid="18" name="MSIP_Label_8c970d48-f7b9-48b0-9606-072fbefb514d_ContentBits">
    <vt:lpwstr>2</vt:lpwstr>
  </property>
  <property fmtid="{D5CDD505-2E9C-101B-9397-08002B2CF9AE}" pid="19" name="GrammarlyDocumentId">
    <vt:lpwstr>a90dc620f2cc85df35739c0e9754a799782c2b0de2c89b2d87334386d1447974</vt:lpwstr>
  </property>
  <property fmtid="{D5CDD505-2E9C-101B-9397-08002B2CF9AE}" pid="20" name="MSIP_Label_0c2abd79-57a9-4473-8700-c843f76a1e37_Enabled">
    <vt:lpwstr>true</vt:lpwstr>
  </property>
  <property fmtid="{D5CDD505-2E9C-101B-9397-08002B2CF9AE}" pid="21" name="MSIP_Label_0c2abd79-57a9-4473-8700-c843f76a1e37_SetDate">
    <vt:lpwstr>2024-09-26T16:40:58Z</vt:lpwstr>
  </property>
  <property fmtid="{D5CDD505-2E9C-101B-9397-08002B2CF9AE}" pid="22" name="MSIP_Label_0c2abd79-57a9-4473-8700-c843f76a1e37_Method">
    <vt:lpwstr>Privileged</vt:lpwstr>
  </property>
  <property fmtid="{D5CDD505-2E9C-101B-9397-08002B2CF9AE}" pid="23" name="MSIP_Label_0c2abd79-57a9-4473-8700-c843f76a1e37_Name">
    <vt:lpwstr>Internal</vt:lpwstr>
  </property>
  <property fmtid="{D5CDD505-2E9C-101B-9397-08002B2CF9AE}" pid="24" name="MSIP_Label_0c2abd79-57a9-4473-8700-c843f76a1e37_SiteId">
    <vt:lpwstr>35595a02-4d6d-44ac-99e1-f9ab4cd872db</vt:lpwstr>
  </property>
  <property fmtid="{D5CDD505-2E9C-101B-9397-08002B2CF9AE}" pid="25" name="MSIP_Label_0c2abd79-57a9-4473-8700-c843f76a1e37_ActionId">
    <vt:lpwstr>414a4c27-76f8-41e4-b9ce-bc5abf250f80</vt:lpwstr>
  </property>
  <property fmtid="{D5CDD505-2E9C-101B-9397-08002B2CF9AE}" pid="26" name="MSIP_Label_0c2abd79-57a9-4473-8700-c843f76a1e37_ContentBits">
    <vt:lpwstr>0</vt:lpwstr>
  </property>
</Properties>
</file>