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58" w:rsidRDefault="00DE4658"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rPr>
          <w:rFonts w:ascii="Public Sans ExtraBold" w:eastAsia="Public Sans ExtraBold" w:hAnsi="Public Sans ExtraBold" w:cs="Public Sans ExtraBold"/>
          <w:color w:val="000000"/>
          <w:sz w:val="26"/>
          <w:szCs w:val="26"/>
        </w:rPr>
      </w:pPr>
      <w:bookmarkStart w:id="0" w:name="_heading=h.sn0zye4bzibn" w:colFirst="0" w:colLast="0"/>
      <w:bookmarkEnd w:id="0"/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b/>
          <w:color w:val="000000"/>
        </w:rPr>
      </w:pPr>
      <w:bookmarkStart w:id="1" w:name="_heading=h.xzgpfoxw1u66" w:colFirst="0" w:colLast="0"/>
      <w:bookmarkEnd w:id="1"/>
      <w:r>
        <w:rPr>
          <w:rFonts w:ascii="Public Sans" w:eastAsia="Public Sans" w:hAnsi="Public Sans" w:cs="Public Sans"/>
          <w:b/>
          <w:color w:val="000000"/>
          <w:sz w:val="26"/>
          <w:szCs w:val="26"/>
        </w:rPr>
        <w:t xml:space="preserve">Polska w grze o AI </w:t>
      </w:r>
      <w:proofErr w:type="spellStart"/>
      <w:r>
        <w:rPr>
          <w:rFonts w:ascii="Public Sans" w:eastAsia="Public Sans" w:hAnsi="Public Sans" w:cs="Public Sans"/>
          <w:b/>
          <w:color w:val="000000"/>
          <w:sz w:val="26"/>
          <w:szCs w:val="26"/>
        </w:rPr>
        <w:t>Gigafactory</w:t>
      </w:r>
      <w:proofErr w:type="spellEnd"/>
      <w:r>
        <w:rPr>
          <w:rFonts w:ascii="Public Sans" w:eastAsia="Public Sans" w:hAnsi="Public Sans" w:cs="Public Sans"/>
          <w:b/>
          <w:color w:val="000000"/>
          <w:sz w:val="26"/>
          <w:szCs w:val="26"/>
        </w:rPr>
        <w:t xml:space="preserve">. Klimat, dekarbonizacja i </w:t>
      </w:r>
      <w:r>
        <w:rPr>
          <w:rFonts w:ascii="Public Sans" w:eastAsia="Public Sans" w:hAnsi="Public Sans" w:cs="Public Sans"/>
          <w:b/>
          <w:sz w:val="26"/>
          <w:szCs w:val="26"/>
        </w:rPr>
        <w:t xml:space="preserve">cele unijne </w:t>
      </w:r>
      <w:r>
        <w:rPr>
          <w:rFonts w:ascii="Public Sans" w:eastAsia="Public Sans" w:hAnsi="Public Sans" w:cs="Public Sans"/>
          <w:b/>
          <w:color w:val="000000"/>
          <w:sz w:val="26"/>
          <w:szCs w:val="26"/>
        </w:rPr>
        <w:t>mogą dać nam przewagę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b/>
          <w:color w:val="000000"/>
        </w:rPr>
      </w:pPr>
      <w:r>
        <w:rPr>
          <w:rFonts w:ascii="Public Sans" w:eastAsia="Public Sans" w:hAnsi="Public Sans" w:cs="Public Sans"/>
          <w:b/>
        </w:rPr>
        <w:t xml:space="preserve">Rosnące tempo rozwoju sztucznej inteligencji i skokowy wzrost zapotrzebowania na moce obliczeniowe oznaczają jedno: Europa potrzebuje nowej infrastruktury cyfrowej – szybkiej, zielonej i stabilnej. Polska ma realne szanse stać się jednym z kluczowych graczy w tej transformacji. Stowarzyszenie </w:t>
      </w:r>
      <w:proofErr w:type="spellStart"/>
      <w:r>
        <w:rPr>
          <w:rFonts w:ascii="Public Sans" w:eastAsia="Public Sans" w:hAnsi="Public Sans" w:cs="Public Sans"/>
          <w:b/>
        </w:rPr>
        <w:t>Polish</w:t>
      </w:r>
      <w:proofErr w:type="spellEnd"/>
      <w:r>
        <w:rPr>
          <w:rFonts w:ascii="Public Sans" w:eastAsia="Public Sans" w:hAnsi="Public Sans" w:cs="Public Sans"/>
          <w:b/>
        </w:rPr>
        <w:t xml:space="preserve"> Data Center </w:t>
      </w:r>
      <w:proofErr w:type="spellStart"/>
      <w:r>
        <w:rPr>
          <w:rFonts w:ascii="Public Sans" w:eastAsia="Public Sans" w:hAnsi="Public Sans" w:cs="Public Sans"/>
          <w:b/>
        </w:rPr>
        <w:t>Association</w:t>
      </w:r>
      <w:proofErr w:type="spellEnd"/>
      <w:r>
        <w:rPr>
          <w:rFonts w:ascii="Public Sans" w:eastAsia="Public Sans" w:hAnsi="Public Sans" w:cs="Public Sans"/>
          <w:b/>
        </w:rPr>
        <w:t xml:space="preserve"> (PLDCA) wspiera kandydaturę naszego kraju jako lokalizacji dla </w:t>
      </w:r>
      <w:proofErr w:type="spellStart"/>
      <w:r>
        <w:rPr>
          <w:rFonts w:ascii="Public Sans" w:eastAsia="Public Sans" w:hAnsi="Public Sans" w:cs="Public Sans"/>
          <w:b/>
        </w:rPr>
        <w:t>Baltic</w:t>
      </w:r>
      <w:proofErr w:type="spellEnd"/>
      <w:r>
        <w:rPr>
          <w:rFonts w:ascii="Public Sans" w:eastAsia="Public Sans" w:hAnsi="Public Sans" w:cs="Public Sans"/>
          <w:b/>
        </w:rPr>
        <w:t xml:space="preserve"> AI </w:t>
      </w:r>
      <w:proofErr w:type="spellStart"/>
      <w:r>
        <w:rPr>
          <w:rFonts w:ascii="Public Sans" w:eastAsia="Public Sans" w:hAnsi="Public Sans" w:cs="Public Sans"/>
          <w:b/>
        </w:rPr>
        <w:t>Gigafactory</w:t>
      </w:r>
      <w:proofErr w:type="spellEnd"/>
      <w:r>
        <w:rPr>
          <w:rFonts w:ascii="Public Sans" w:eastAsia="Public Sans" w:hAnsi="Public Sans" w:cs="Public Sans"/>
          <w:b/>
        </w:rPr>
        <w:t xml:space="preserve"> – projektu realizowanego w ramach unijnego funduszu </w:t>
      </w:r>
      <w:proofErr w:type="spellStart"/>
      <w:r>
        <w:rPr>
          <w:rFonts w:ascii="Public Sans" w:eastAsia="Public Sans" w:hAnsi="Public Sans" w:cs="Public Sans"/>
          <w:b/>
        </w:rPr>
        <w:t>InvestAI</w:t>
      </w:r>
      <w:proofErr w:type="spellEnd"/>
      <w:r>
        <w:rPr>
          <w:rFonts w:ascii="Public Sans" w:eastAsia="Public Sans" w:hAnsi="Public Sans" w:cs="Public Sans"/>
          <w:b/>
        </w:rPr>
        <w:t>, który ostatnio został przyjęty przez Komisję Europejską i wszedł w kolejną fazę rozmów. Atuty, które przemawiają za Polską jako lokalizacją dla projektu? Korz</w:t>
      </w:r>
      <w:r w:rsidR="00AE4896">
        <w:rPr>
          <w:rFonts w:ascii="Public Sans" w:eastAsia="Public Sans" w:hAnsi="Public Sans" w:cs="Public Sans"/>
          <w:b/>
        </w:rPr>
        <w:t>ystne warunki klimatyczne, przys</w:t>
      </w:r>
      <w:r>
        <w:rPr>
          <w:rFonts w:ascii="Public Sans" w:eastAsia="Public Sans" w:hAnsi="Public Sans" w:cs="Public Sans"/>
          <w:b/>
        </w:rPr>
        <w:t xml:space="preserve">pieszająca dekarbonizacja energetyki i silny potencjał technologiczny. Dodatkowo, </w:t>
      </w:r>
      <w:proofErr w:type="spellStart"/>
      <w:r>
        <w:rPr>
          <w:rFonts w:ascii="Public Sans" w:eastAsia="Public Sans" w:hAnsi="Public Sans" w:cs="Public Sans"/>
          <w:b/>
        </w:rPr>
        <w:t>Baltic</w:t>
      </w:r>
      <w:proofErr w:type="spellEnd"/>
      <w:r>
        <w:rPr>
          <w:rFonts w:ascii="Public Sans" w:eastAsia="Public Sans" w:hAnsi="Public Sans" w:cs="Public Sans"/>
          <w:b/>
        </w:rPr>
        <w:t xml:space="preserve"> AI </w:t>
      </w:r>
      <w:proofErr w:type="spellStart"/>
      <w:r>
        <w:rPr>
          <w:rFonts w:ascii="Public Sans" w:eastAsia="Public Sans" w:hAnsi="Public Sans" w:cs="Public Sans"/>
          <w:b/>
        </w:rPr>
        <w:t>Gigafactory</w:t>
      </w:r>
      <w:proofErr w:type="spellEnd"/>
      <w:r>
        <w:rPr>
          <w:rFonts w:ascii="Public Sans" w:eastAsia="Public Sans" w:hAnsi="Public Sans" w:cs="Public Sans"/>
          <w:b/>
        </w:rPr>
        <w:t xml:space="preserve"> to jedyny projekt spośród wszystkich zgłoszonych, który ma charakter ponadpaństwowy, co zwiększa jego szanse w</w:t>
      </w:r>
      <w:r w:rsidR="00197926">
        <w:rPr>
          <w:rFonts w:ascii="Public Sans" w:eastAsia="Public Sans" w:hAnsi="Public Sans" w:cs="Public Sans"/>
          <w:b/>
        </w:rPr>
        <w:t xml:space="preserve"> pozyskaniu unijnych funduszy</w:t>
      </w:r>
      <w:r w:rsidR="00252053">
        <w:rPr>
          <w:rFonts w:ascii="Public Sans" w:eastAsia="Public Sans" w:hAnsi="Public Sans" w:cs="Public Sans"/>
          <w:b/>
        </w:rPr>
        <w:t>.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b/>
          <w:color w:val="000000"/>
        </w:rPr>
      </w:pPr>
      <w:r>
        <w:rPr>
          <w:rFonts w:ascii="Public Sans" w:eastAsia="Public Sans" w:hAnsi="Public Sans" w:cs="Public Sans"/>
          <w:b/>
          <w:color w:val="000000"/>
        </w:rPr>
        <w:t xml:space="preserve">Klimat jako atut: milionowe oszczędności dla </w:t>
      </w:r>
      <w:proofErr w:type="spellStart"/>
      <w:r>
        <w:rPr>
          <w:rFonts w:ascii="Public Sans" w:eastAsia="Public Sans" w:hAnsi="Public Sans" w:cs="Public Sans"/>
          <w:b/>
          <w:color w:val="000000"/>
        </w:rPr>
        <w:t>Gigafactory</w:t>
      </w:r>
      <w:proofErr w:type="spellEnd"/>
    </w:p>
    <w:p w:rsidR="00DE4658" w:rsidRDefault="00B94494">
      <w:pPr>
        <w:spacing w:before="280" w:after="240" w:line="276" w:lineRule="auto"/>
        <w:jc w:val="both"/>
        <w:rPr>
          <w:rFonts w:ascii="Public Sans" w:eastAsia="Public Sans" w:hAnsi="Public Sans" w:cs="Public Sans"/>
          <w:b/>
        </w:rPr>
      </w:pPr>
      <w:r>
        <w:rPr>
          <w:rFonts w:ascii="Public Sans" w:eastAsia="Public Sans" w:hAnsi="Public Sans" w:cs="Public Sans"/>
        </w:rPr>
        <w:t xml:space="preserve">Polska – wspólnie z Estonią, Litwą i Łotwą oraz konsorcjum prywatnych przedsiębiorstw i instytutów badawczych – złożyła do Komisji Europejskiej wniosek o budowę </w:t>
      </w:r>
      <w:proofErr w:type="spellStart"/>
      <w:r>
        <w:rPr>
          <w:rFonts w:ascii="Public Sans" w:eastAsia="Public Sans" w:hAnsi="Public Sans" w:cs="Public Sans"/>
        </w:rPr>
        <w:t>Gigafabryki</w:t>
      </w:r>
      <w:proofErr w:type="spellEnd"/>
      <w:r>
        <w:rPr>
          <w:rFonts w:ascii="Public Sans" w:eastAsia="Public Sans" w:hAnsi="Public Sans" w:cs="Public Sans"/>
        </w:rPr>
        <w:t xml:space="preserve"> Sztucznej Inteligencji – </w:t>
      </w:r>
      <w:proofErr w:type="spellStart"/>
      <w:r>
        <w:rPr>
          <w:rFonts w:ascii="Public Sans" w:eastAsia="Public Sans" w:hAnsi="Public Sans" w:cs="Public Sans"/>
        </w:rPr>
        <w:t>Baltic</w:t>
      </w:r>
      <w:proofErr w:type="spellEnd"/>
      <w:r>
        <w:rPr>
          <w:rFonts w:ascii="Public Sans" w:eastAsia="Public Sans" w:hAnsi="Public Sans" w:cs="Public Sans"/>
        </w:rPr>
        <w:t xml:space="preserve"> AI </w:t>
      </w:r>
      <w:proofErr w:type="spellStart"/>
      <w:r>
        <w:rPr>
          <w:rFonts w:ascii="Public Sans" w:eastAsia="Public Sans" w:hAnsi="Public Sans" w:cs="Public Sans"/>
        </w:rPr>
        <w:t>Gigafactory</w:t>
      </w:r>
      <w:proofErr w:type="spellEnd"/>
      <w:r>
        <w:rPr>
          <w:rFonts w:ascii="Public Sans" w:eastAsia="Public Sans" w:hAnsi="Public Sans" w:cs="Public Sans"/>
        </w:rPr>
        <w:t>. Projekt ma na celu przyspieszenie rozwoju technologii AI w regionie Europy Środkowo-Wschodniej. Realizacja tych celów wymaga stworzenia infrastruktury obliczeniowej o ogromnej skali – wyposażonej w ok. 100 000 układów GPU najnowszej generacji, zdolnej do obsługi najbardziej zaawansowanych projektów AI (modele z ponad bilionem parametrów), przy wykorzystaniu OZE i w zgodzie z zasadami zrównoważonego rozwoju.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color w:val="000000"/>
        </w:rPr>
      </w:pPr>
      <w:r>
        <w:rPr>
          <w:rFonts w:ascii="Public Sans" w:eastAsia="Public Sans" w:hAnsi="Public Sans" w:cs="Public Sans"/>
          <w:color w:val="000000"/>
        </w:rPr>
        <w:t xml:space="preserve">Jednym z najbardziej przekonujących argumentów za lokalizacją w Polsce są sprzyjające warunki </w:t>
      </w:r>
      <w:r>
        <w:rPr>
          <w:rFonts w:ascii="Public Sans" w:eastAsia="Public Sans" w:hAnsi="Public Sans" w:cs="Public Sans"/>
        </w:rPr>
        <w:t xml:space="preserve">klimatyczne naszego kraju. </w:t>
      </w:r>
      <w:r>
        <w:rPr>
          <w:rFonts w:ascii="Public Sans" w:eastAsia="Public Sans" w:hAnsi="Public Sans" w:cs="Public Sans"/>
          <w:color w:val="000000"/>
        </w:rPr>
        <w:t xml:space="preserve">Niższe średnie temperatury roczne w Polsce (Warszawa – 8,88°C), w porównaniu do krajów Europy Południowej (Madryt - </w:t>
      </w:r>
      <w:r>
        <w:rPr>
          <w:rFonts w:ascii="Public Sans" w:eastAsia="Public Sans" w:hAnsi="Public Sans" w:cs="Public Sans"/>
        </w:rPr>
        <w:t xml:space="preserve">12,89°C, </w:t>
      </w:r>
      <w:r>
        <w:rPr>
          <w:rFonts w:ascii="Public Sans" w:eastAsia="Public Sans" w:hAnsi="Public Sans" w:cs="Public Sans"/>
          <w:color w:val="000000"/>
        </w:rPr>
        <w:t>Mediolan – 13,92°C, Ateny 17,65°C) oraz pozostałych rozwiniętych lokalizacji centrów danych (</w:t>
      </w:r>
      <w:r>
        <w:rPr>
          <w:rFonts w:ascii="Public Sans" w:eastAsia="Public Sans" w:hAnsi="Public Sans" w:cs="Public Sans"/>
        </w:rPr>
        <w:t>Frankfurt - 11,04°C, Paryż - 11,77°C, Londyn - 11,48°C)</w:t>
      </w:r>
      <w:r>
        <w:rPr>
          <w:rFonts w:ascii="Public Sans" w:eastAsia="Public Sans" w:hAnsi="Public Sans" w:cs="Public Sans"/>
          <w:color w:val="000000"/>
        </w:rPr>
        <w:t>, w sposób naturalny skutkują znacząco mniejsz</w:t>
      </w:r>
      <w:r>
        <w:rPr>
          <w:rFonts w:ascii="Public Sans" w:eastAsia="Public Sans" w:hAnsi="Public Sans" w:cs="Public Sans"/>
        </w:rPr>
        <w:t>ym</w:t>
      </w:r>
      <w:r>
        <w:rPr>
          <w:rFonts w:ascii="Public Sans" w:eastAsia="Public Sans" w:hAnsi="Public Sans" w:cs="Public Sans"/>
          <w:color w:val="000000"/>
        </w:rPr>
        <w:t xml:space="preserve"> zapotrzebowaniem na energię przeznaczoną na chłodzenie centrów danych. Analizy PLDCA przeprowadz</w:t>
      </w:r>
      <w:r>
        <w:rPr>
          <w:rFonts w:ascii="Public Sans" w:eastAsia="Public Sans" w:hAnsi="Public Sans" w:cs="Public Sans"/>
        </w:rPr>
        <w:t xml:space="preserve">one dla przykładowej </w:t>
      </w:r>
      <w:proofErr w:type="spellStart"/>
      <w:r>
        <w:rPr>
          <w:rFonts w:ascii="Public Sans" w:eastAsia="Public Sans" w:hAnsi="Public Sans" w:cs="Public Sans"/>
        </w:rPr>
        <w:t>Gigafabryki</w:t>
      </w:r>
      <w:proofErr w:type="spellEnd"/>
      <w:r>
        <w:rPr>
          <w:rFonts w:ascii="Public Sans" w:eastAsia="Public Sans" w:hAnsi="Public Sans" w:cs="Public Sans"/>
        </w:rPr>
        <w:t xml:space="preserve"> AI o mocy 100MW </w:t>
      </w:r>
      <w:r>
        <w:rPr>
          <w:rFonts w:ascii="Public Sans" w:eastAsia="Public Sans" w:hAnsi="Public Sans" w:cs="Public Sans"/>
          <w:color w:val="000000"/>
        </w:rPr>
        <w:t>wskazują</w:t>
      </w:r>
      <w:r>
        <w:rPr>
          <w:rFonts w:ascii="Public Sans" w:eastAsia="Public Sans" w:hAnsi="Public Sans" w:cs="Public Sans"/>
        </w:rPr>
        <w:t xml:space="preserve"> wyraźnie niższe</w:t>
      </w:r>
      <w:r>
        <w:rPr>
          <w:rFonts w:ascii="Public Sans" w:eastAsia="Public Sans" w:hAnsi="Public Sans" w:cs="Public Sans"/>
          <w:color w:val="000000"/>
        </w:rPr>
        <w:t xml:space="preserve"> roczne zużycie energii na MW mocy obliczeniowej w </w:t>
      </w:r>
      <w:r>
        <w:rPr>
          <w:rFonts w:ascii="Public Sans" w:eastAsia="Public Sans" w:hAnsi="Public Sans" w:cs="Public Sans"/>
        </w:rPr>
        <w:t>Polsce</w:t>
      </w:r>
      <w:r>
        <w:rPr>
          <w:rFonts w:ascii="Public Sans" w:eastAsia="Public Sans" w:hAnsi="Public Sans" w:cs="Public Sans"/>
          <w:color w:val="000000"/>
        </w:rPr>
        <w:t xml:space="preserve"> </w:t>
      </w:r>
      <w:r>
        <w:rPr>
          <w:rFonts w:ascii="Public Sans" w:eastAsia="Public Sans" w:hAnsi="Public Sans" w:cs="Public Sans"/>
        </w:rPr>
        <w:t>w porównaniu do</w:t>
      </w:r>
      <w:r>
        <w:rPr>
          <w:rFonts w:ascii="Public Sans" w:eastAsia="Public Sans" w:hAnsi="Public Sans" w:cs="Public Sans"/>
          <w:color w:val="000000"/>
        </w:rPr>
        <w:t xml:space="preserve"> </w:t>
      </w:r>
      <w:r>
        <w:rPr>
          <w:rFonts w:ascii="Public Sans" w:eastAsia="Public Sans" w:hAnsi="Public Sans" w:cs="Public Sans"/>
        </w:rPr>
        <w:t>pozostałych europejs</w:t>
      </w:r>
      <w:r w:rsidR="00197926">
        <w:rPr>
          <w:rFonts w:ascii="Public Sans" w:eastAsia="Public Sans" w:hAnsi="Public Sans" w:cs="Public Sans"/>
        </w:rPr>
        <w:t xml:space="preserve">kich </w:t>
      </w:r>
      <w:r>
        <w:rPr>
          <w:rFonts w:ascii="Public Sans" w:eastAsia="Public Sans" w:hAnsi="Public Sans" w:cs="Public Sans"/>
          <w:color w:val="000000"/>
        </w:rPr>
        <w:t>lokalizacj</w:t>
      </w:r>
      <w:r>
        <w:rPr>
          <w:rFonts w:ascii="Public Sans" w:eastAsia="Public Sans" w:hAnsi="Public Sans" w:cs="Public Sans"/>
        </w:rPr>
        <w:t>i</w:t>
      </w:r>
      <w:r>
        <w:rPr>
          <w:rFonts w:ascii="Public Sans" w:eastAsia="Public Sans" w:hAnsi="Public Sans" w:cs="Public Sans"/>
          <w:color w:val="000000"/>
        </w:rPr>
        <w:t xml:space="preserve"> (po</w:t>
      </w:r>
      <w:r>
        <w:rPr>
          <w:rFonts w:ascii="Public Sans" w:eastAsia="Public Sans" w:hAnsi="Public Sans" w:cs="Public Sans"/>
        </w:rPr>
        <w:t>za Skandynawią)</w:t>
      </w:r>
      <w:r>
        <w:rPr>
          <w:rFonts w:ascii="Public Sans" w:eastAsia="Public Sans" w:hAnsi="Public Sans" w:cs="Public Sans"/>
          <w:color w:val="000000"/>
        </w:rPr>
        <w:t xml:space="preserve">. Przekłada się to na gigantyczne oszczędności w kosztach operacyjnych (OPEX) w </w:t>
      </w:r>
      <w:r>
        <w:rPr>
          <w:rFonts w:ascii="Public Sans" w:eastAsia="Public Sans" w:hAnsi="Public Sans" w:cs="Public Sans"/>
        </w:rPr>
        <w:t>pełnym cyklu życia obiektu.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Public Sans" w:eastAsia="Public Sans" w:hAnsi="Public Sans" w:cs="Public Sans"/>
          <w:color w:val="000000"/>
        </w:rPr>
      </w:pPr>
      <w:r>
        <w:rPr>
          <w:rFonts w:ascii="Public Sans" w:eastAsia="Public Sans" w:hAnsi="Public Sans" w:cs="Public Sans"/>
          <w:color w:val="000000"/>
        </w:rPr>
        <w:t xml:space="preserve">„Wniosek do Komisji Europejskiej dotyczący utworzenia </w:t>
      </w:r>
      <w:proofErr w:type="spellStart"/>
      <w:r>
        <w:rPr>
          <w:rFonts w:ascii="Public Sans" w:eastAsia="Public Sans" w:hAnsi="Public Sans" w:cs="Public Sans"/>
          <w:color w:val="000000"/>
        </w:rPr>
        <w:t>Baltic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AI </w:t>
      </w:r>
      <w:proofErr w:type="spellStart"/>
      <w:r>
        <w:rPr>
          <w:rFonts w:ascii="Public Sans" w:eastAsia="Public Sans" w:hAnsi="Public Sans" w:cs="Public Sans"/>
          <w:color w:val="000000"/>
        </w:rPr>
        <w:t>Gigafactory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pokazuje ambicje Polski w rozwoju technologii sztucznej inteligencji. Tego typu projekt, z potencjałem miliardowych inwestycji, wymaga dostępu do wysokiej klasy infrastruktury energetycznej i </w:t>
      </w:r>
      <w:proofErr w:type="spellStart"/>
      <w:r>
        <w:rPr>
          <w:rFonts w:ascii="Public Sans" w:eastAsia="Public Sans" w:hAnsi="Public Sans" w:cs="Public Sans"/>
        </w:rPr>
        <w:t>centrodanowej</w:t>
      </w:r>
      <w:proofErr w:type="spellEnd"/>
      <w:r>
        <w:rPr>
          <w:rFonts w:ascii="Public Sans" w:eastAsia="Public Sans" w:hAnsi="Public Sans" w:cs="Public Sans"/>
          <w:color w:val="000000"/>
        </w:rPr>
        <w:t>”</w:t>
      </w:r>
      <w:r w:rsidR="00252053">
        <w:rPr>
          <w:rFonts w:ascii="Public Sans" w:eastAsia="Public Sans" w:hAnsi="Public Sans" w:cs="Public Sans"/>
          <w:color w:val="000000"/>
        </w:rPr>
        <w:t xml:space="preserve">, </w:t>
      </w:r>
      <w:r>
        <w:rPr>
          <w:rFonts w:ascii="Public Sans" w:eastAsia="Public Sans" w:hAnsi="Public Sans" w:cs="Public Sans"/>
          <w:color w:val="000000"/>
        </w:rPr>
        <w:t xml:space="preserve">zaznacza </w:t>
      </w:r>
      <w:r>
        <w:rPr>
          <w:rFonts w:ascii="Public Sans" w:eastAsia="Public Sans" w:hAnsi="Public Sans" w:cs="Public Sans"/>
          <w:b/>
          <w:color w:val="000000"/>
        </w:rPr>
        <w:t xml:space="preserve">Piotr Kowalski, Dyrektor Zarządzający PLDCA. </w:t>
      </w:r>
      <w:r>
        <w:rPr>
          <w:rFonts w:ascii="Public Sans" w:eastAsia="Public Sans" w:hAnsi="Public Sans" w:cs="Public Sans"/>
          <w:color w:val="000000"/>
        </w:rPr>
        <w:t>„</w:t>
      </w:r>
      <w:r>
        <w:rPr>
          <w:rFonts w:ascii="Public Sans" w:eastAsia="Public Sans" w:hAnsi="Public Sans" w:cs="Public Sans"/>
        </w:rPr>
        <w:t>Polski klimat</w:t>
      </w:r>
      <w:r w:rsidR="00197926">
        <w:rPr>
          <w:rFonts w:ascii="Public Sans" w:eastAsia="Public Sans" w:hAnsi="Public Sans" w:cs="Public Sans"/>
          <w:color w:val="000000"/>
        </w:rPr>
        <w:t>, ze</w:t>
      </w:r>
      <w:r>
        <w:rPr>
          <w:rFonts w:ascii="Public Sans" w:eastAsia="Public Sans" w:hAnsi="Public Sans" w:cs="Public Sans"/>
          <w:color w:val="000000"/>
        </w:rPr>
        <w:t xml:space="preserve"> średnią temperaturą powietrza, która jest jedną z najniższych na kontynencie, sprzyja efektywnemu chłodzeniu, </w:t>
      </w:r>
      <w:r>
        <w:rPr>
          <w:rFonts w:ascii="Public Sans" w:eastAsia="Public Sans" w:hAnsi="Public Sans" w:cs="Public Sans"/>
        </w:rPr>
        <w:t xml:space="preserve">znacząco obniżając </w:t>
      </w:r>
      <w:r>
        <w:rPr>
          <w:rFonts w:ascii="Public Sans" w:eastAsia="Public Sans" w:hAnsi="Public Sans" w:cs="Public Sans"/>
          <w:color w:val="000000"/>
        </w:rPr>
        <w:t xml:space="preserve">koszty operacyjne </w:t>
      </w:r>
      <w:r>
        <w:rPr>
          <w:rFonts w:ascii="Public Sans" w:eastAsia="Public Sans" w:hAnsi="Public Sans" w:cs="Public Sans"/>
        </w:rPr>
        <w:t xml:space="preserve">- różnica w cyklu życia obiektu to nawet 100 mln </w:t>
      </w:r>
      <w:sdt>
        <w:sdtPr>
          <w:tag w:val="goog_rdk_0"/>
          <w:id w:val="329360285"/>
        </w:sdtPr>
        <w:sdtEndPr/>
        <w:sdtContent/>
      </w:sdt>
      <w:r>
        <w:rPr>
          <w:rFonts w:ascii="Public Sans" w:eastAsia="Public Sans" w:hAnsi="Public Sans" w:cs="Public Sans"/>
        </w:rPr>
        <w:t>EUR</w:t>
      </w:r>
      <w:r>
        <w:rPr>
          <w:rFonts w:ascii="Public Sans" w:eastAsia="Public Sans" w:hAnsi="Public Sans" w:cs="Public Sans"/>
          <w:color w:val="000000"/>
        </w:rPr>
        <w:t>”.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 w:hanging="720"/>
        <w:jc w:val="center"/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  <w:noProof/>
          <w:lang w:val="pl-PL"/>
        </w:rPr>
        <w:lastRenderedPageBreak/>
        <w:drawing>
          <wp:inline distT="114300" distB="114300" distL="114300" distR="114300">
            <wp:extent cx="5695950" cy="24669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46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b/>
          <w:color w:val="000000"/>
        </w:rPr>
      </w:pPr>
      <w:r>
        <w:rPr>
          <w:rFonts w:ascii="Public Sans" w:eastAsia="Public Sans" w:hAnsi="Public Sans" w:cs="Public Sans"/>
          <w:b/>
          <w:color w:val="000000"/>
        </w:rPr>
        <w:t xml:space="preserve">Polska odpowiada na </w:t>
      </w:r>
      <w:r>
        <w:rPr>
          <w:rFonts w:ascii="Public Sans" w:eastAsia="Public Sans" w:hAnsi="Public Sans" w:cs="Public Sans"/>
          <w:b/>
        </w:rPr>
        <w:t>cel</w:t>
      </w:r>
      <w:r>
        <w:rPr>
          <w:rFonts w:ascii="Public Sans" w:eastAsia="Public Sans" w:hAnsi="Public Sans" w:cs="Public Sans"/>
          <w:b/>
          <w:color w:val="000000"/>
        </w:rPr>
        <w:t xml:space="preserve"> równomiernej dystrybucji mocy obliczeniowych w UE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color w:val="000000"/>
        </w:rPr>
      </w:pPr>
      <w:r>
        <w:rPr>
          <w:rFonts w:ascii="Public Sans" w:eastAsia="Public Sans" w:hAnsi="Public Sans" w:cs="Public Sans"/>
          <w:color w:val="000000"/>
        </w:rPr>
        <w:t>Komisja Europejska w opracowywanym „</w:t>
      </w:r>
      <w:proofErr w:type="spellStart"/>
      <w:r>
        <w:rPr>
          <w:rFonts w:ascii="Public Sans" w:eastAsia="Public Sans" w:hAnsi="Public Sans" w:cs="Public Sans"/>
          <w:color w:val="000000"/>
        </w:rPr>
        <w:t>Cloud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and AI Development </w:t>
      </w:r>
      <w:proofErr w:type="spellStart"/>
      <w:r>
        <w:rPr>
          <w:rFonts w:ascii="Public Sans" w:eastAsia="Public Sans" w:hAnsi="Public Sans" w:cs="Public Sans"/>
          <w:color w:val="000000"/>
        </w:rPr>
        <w:t>Act</w:t>
      </w:r>
      <w:proofErr w:type="spellEnd"/>
      <w:r>
        <w:rPr>
          <w:rFonts w:ascii="Public Sans" w:eastAsia="Public Sans" w:hAnsi="Public Sans" w:cs="Public Sans"/>
          <w:color w:val="000000"/>
        </w:rPr>
        <w:t>” zakłada potrojenie europejskich mocy obliczeniowych w okresie najbliższych 5-7 lat</w:t>
      </w:r>
      <w:r>
        <w:rPr>
          <w:rFonts w:ascii="Public Sans" w:eastAsia="Public Sans" w:hAnsi="Public Sans" w:cs="Public Sans"/>
        </w:rPr>
        <w:t>, w sposób zrównoważony geograficznie.</w:t>
      </w:r>
      <w:r>
        <w:rPr>
          <w:rFonts w:ascii="Public Sans" w:eastAsia="Public Sans" w:hAnsi="Public Sans" w:cs="Public Sans"/>
          <w:color w:val="000000"/>
        </w:rPr>
        <w:t xml:space="preserve"> 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Public Sans" w:eastAsia="Public Sans" w:hAnsi="Public Sans" w:cs="Public Sans"/>
          <w:b/>
          <w:color w:val="000000"/>
          <w:highlight w:val="yellow"/>
        </w:rPr>
      </w:pPr>
      <w:r>
        <w:rPr>
          <w:rFonts w:ascii="Public Sans" w:eastAsia="Public Sans" w:hAnsi="Public Sans" w:cs="Public Sans"/>
        </w:rPr>
        <w:t xml:space="preserve">„Polska jest jedną z najszybciej rozwijających się gospodarek Europy i niekwestionowanym liderem regionu CEE. Lokalizacja </w:t>
      </w:r>
      <w:proofErr w:type="spellStart"/>
      <w:r>
        <w:rPr>
          <w:rFonts w:ascii="Public Sans" w:eastAsia="Public Sans" w:hAnsi="Public Sans" w:cs="Public Sans"/>
        </w:rPr>
        <w:t>Baltic</w:t>
      </w:r>
      <w:proofErr w:type="spellEnd"/>
      <w:r>
        <w:rPr>
          <w:rFonts w:ascii="Public Sans" w:eastAsia="Public Sans" w:hAnsi="Public Sans" w:cs="Public Sans"/>
        </w:rPr>
        <w:t xml:space="preserve"> AI </w:t>
      </w:r>
      <w:proofErr w:type="spellStart"/>
      <w:r>
        <w:rPr>
          <w:rFonts w:ascii="Public Sans" w:eastAsia="Public Sans" w:hAnsi="Public Sans" w:cs="Public Sans"/>
        </w:rPr>
        <w:t>Gigafactory</w:t>
      </w:r>
      <w:proofErr w:type="spellEnd"/>
      <w:r>
        <w:rPr>
          <w:rFonts w:ascii="Public Sans" w:eastAsia="Public Sans" w:hAnsi="Public Sans" w:cs="Public Sans"/>
        </w:rPr>
        <w:t xml:space="preserve"> w Polsce to nie tylko inwestycja technologiczna – to strategiczny krok w stronę budowy realnej przewagi w obszarze infrastruktury cyfrowej. Ten projekt to kolejny etap na drodze do tego, by Polska stała się regionalnym liderem rynku data </w:t>
      </w:r>
      <w:proofErr w:type="spellStart"/>
      <w:r>
        <w:rPr>
          <w:rFonts w:ascii="Public Sans" w:eastAsia="Public Sans" w:hAnsi="Public Sans" w:cs="Public Sans"/>
        </w:rPr>
        <w:t>center</w:t>
      </w:r>
      <w:proofErr w:type="spellEnd"/>
      <w:r>
        <w:rPr>
          <w:rFonts w:ascii="Public Sans" w:eastAsia="Public Sans" w:hAnsi="Public Sans" w:cs="Public Sans"/>
        </w:rPr>
        <w:t xml:space="preserve"> i nowoczesnych technologii”, zauważa </w:t>
      </w:r>
      <w:r>
        <w:rPr>
          <w:rFonts w:ascii="Public Sans" w:eastAsia="Public Sans" w:hAnsi="Public Sans" w:cs="Public Sans"/>
          <w:b/>
        </w:rPr>
        <w:t>Piotr Kowalski.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color w:val="000000"/>
        </w:rPr>
      </w:pPr>
      <w:r>
        <w:rPr>
          <w:rFonts w:ascii="Public Sans" w:eastAsia="Public Sans" w:hAnsi="Public Sans" w:cs="Public Sans"/>
          <w:color w:val="000000"/>
        </w:rPr>
        <w:t>Zrealizowanie założeń „</w:t>
      </w:r>
      <w:proofErr w:type="spellStart"/>
      <w:r>
        <w:rPr>
          <w:rFonts w:ascii="Public Sans" w:eastAsia="Public Sans" w:hAnsi="Public Sans" w:cs="Public Sans"/>
          <w:color w:val="000000"/>
        </w:rPr>
        <w:t>Cloud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and AI Development </w:t>
      </w:r>
      <w:proofErr w:type="spellStart"/>
      <w:r>
        <w:rPr>
          <w:rFonts w:ascii="Public Sans" w:eastAsia="Public Sans" w:hAnsi="Public Sans" w:cs="Public Sans"/>
          <w:color w:val="000000"/>
        </w:rPr>
        <w:t>Act</w:t>
      </w:r>
      <w:proofErr w:type="spellEnd"/>
      <w:r>
        <w:rPr>
          <w:rFonts w:ascii="Public Sans" w:eastAsia="Public Sans" w:hAnsi="Public Sans" w:cs="Public Sans"/>
          <w:color w:val="000000"/>
        </w:rPr>
        <w:t>” przełoży się na bardziej zrównoważoną dystrybucję mocy obliczeniowych w całej Unii Europejskiej, zwiększając odporność cyfrową Europy i zmniejszając ryzyka związane z koncentracją infrastruktury w kilku regionach.</w:t>
      </w:r>
    </w:p>
    <w:p w:rsidR="00DE4658" w:rsidRDefault="00AE4896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b/>
          <w:color w:val="000000"/>
        </w:rPr>
      </w:pPr>
      <w:r>
        <w:rPr>
          <w:rFonts w:ascii="Public Sans" w:eastAsia="Public Sans" w:hAnsi="Public Sans" w:cs="Public Sans"/>
          <w:b/>
          <w:color w:val="000000"/>
        </w:rPr>
        <w:t>Efektywność e</w:t>
      </w:r>
      <w:r w:rsidR="00B94494">
        <w:rPr>
          <w:rFonts w:ascii="Public Sans" w:eastAsia="Public Sans" w:hAnsi="Public Sans" w:cs="Public Sans"/>
          <w:b/>
          <w:color w:val="000000"/>
        </w:rPr>
        <w:t>nergetyczna jako „</w:t>
      </w:r>
      <w:r w:rsidR="00B94494">
        <w:rPr>
          <w:rFonts w:ascii="Public Sans" w:eastAsia="Public Sans" w:hAnsi="Public Sans" w:cs="Public Sans"/>
          <w:b/>
        </w:rPr>
        <w:t>Pełnoprawne</w:t>
      </w:r>
      <w:r w:rsidR="00B94494">
        <w:rPr>
          <w:rFonts w:ascii="Public Sans" w:eastAsia="Public Sans" w:hAnsi="Public Sans" w:cs="Public Sans"/>
          <w:b/>
          <w:color w:val="000000"/>
        </w:rPr>
        <w:t xml:space="preserve"> Źródło Energii” zgodnie z </w:t>
      </w:r>
      <w:r w:rsidR="00B94494">
        <w:rPr>
          <w:rFonts w:ascii="Public Sans" w:eastAsia="Public Sans" w:hAnsi="Public Sans" w:cs="Public Sans"/>
          <w:b/>
        </w:rPr>
        <w:t>Dyrektywą Parlamentu Europejskiego w sprawie e</w:t>
      </w:r>
      <w:r w:rsidR="00252053">
        <w:rPr>
          <w:rFonts w:ascii="Public Sans" w:eastAsia="Public Sans" w:hAnsi="Public Sans" w:cs="Public Sans"/>
          <w:b/>
        </w:rPr>
        <w:t>fektywności energetycznej (EED)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color w:val="000000"/>
        </w:rPr>
      </w:pPr>
      <w:r>
        <w:rPr>
          <w:rFonts w:ascii="Public Sans" w:eastAsia="Public Sans" w:hAnsi="Public Sans" w:cs="Public Sans"/>
        </w:rPr>
        <w:t xml:space="preserve">Warunki klimatyczne </w:t>
      </w:r>
      <w:r>
        <w:rPr>
          <w:rFonts w:ascii="Public Sans" w:eastAsia="Public Sans" w:hAnsi="Public Sans" w:cs="Public Sans"/>
          <w:color w:val="000000"/>
        </w:rPr>
        <w:t xml:space="preserve">w Polsce pozwalają bezpośrednio </w:t>
      </w:r>
      <w:r>
        <w:rPr>
          <w:rFonts w:ascii="Public Sans" w:eastAsia="Public Sans" w:hAnsi="Public Sans" w:cs="Public Sans"/>
        </w:rPr>
        <w:t xml:space="preserve">realizować </w:t>
      </w:r>
      <w:r>
        <w:rPr>
          <w:rFonts w:ascii="Public Sans" w:eastAsia="Public Sans" w:hAnsi="Public Sans" w:cs="Public Sans"/>
          <w:color w:val="000000"/>
        </w:rPr>
        <w:t xml:space="preserve">założenia unijnej Dyrektywy ds. Efektywności Energetycznej, która traktuje ograniczanie zużycia energii jako kluczowy element polityki energetycznej – tzw. „wirtualne źródło” energii. </w:t>
      </w:r>
      <w:r>
        <w:rPr>
          <w:rFonts w:ascii="Public Sans" w:eastAsia="Public Sans" w:hAnsi="Public Sans" w:cs="Public Sans"/>
        </w:rPr>
        <w:t>Zapisana w Dyrektywie zasada</w:t>
      </w:r>
      <w:r>
        <w:rPr>
          <w:rFonts w:ascii="Public Sans" w:eastAsia="Public Sans" w:hAnsi="Public Sans" w:cs="Public Sans"/>
          <w:color w:val="000000"/>
        </w:rPr>
        <w:t xml:space="preserve"> "efektywność energetyczna przede wszystkim"</w:t>
      </w:r>
      <w:r>
        <w:rPr>
          <w:rFonts w:ascii="Public Sans" w:eastAsia="Public Sans" w:hAnsi="Public Sans" w:cs="Public Sans"/>
        </w:rPr>
        <w:t xml:space="preserve"> promuje podejście</w:t>
      </w:r>
      <w:r>
        <w:rPr>
          <w:rFonts w:ascii="Public Sans" w:eastAsia="Public Sans" w:hAnsi="Public Sans" w:cs="Public Sans"/>
          <w:color w:val="000000"/>
        </w:rPr>
        <w:t xml:space="preserve">, w którym efektywność energetyczna jest traktowana jako priorytet przy podejmowaniu decyzji dotyczących polityki energetycznej i inwestycji. Ulokowanie AI </w:t>
      </w:r>
      <w:proofErr w:type="spellStart"/>
      <w:r>
        <w:rPr>
          <w:rFonts w:ascii="Public Sans" w:eastAsia="Public Sans" w:hAnsi="Public Sans" w:cs="Public Sans"/>
          <w:color w:val="000000"/>
        </w:rPr>
        <w:t>Gigafactory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w Polsce oznacza mniejsze zapotrzebowanie na energię do chłodzenia infrastruktury (nawet 1,7 </w:t>
      </w:r>
      <w:proofErr w:type="spellStart"/>
      <w:r>
        <w:rPr>
          <w:rFonts w:ascii="Public Sans" w:eastAsia="Public Sans" w:hAnsi="Public Sans" w:cs="Public Sans"/>
          <w:color w:val="000000"/>
        </w:rPr>
        <w:t>TWh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w cyklu życia obiektu), co przekłada się nie tylko na niższe koszty operacyjne, ale także na realne korzyści środowiskowe w postaci redukcji całkowitego zużycia energii.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Roboto" w:eastAsia="Roboto" w:hAnsi="Roboto" w:cs="Roboto"/>
          <w:color w:val="444746"/>
          <w:sz w:val="21"/>
          <w:szCs w:val="21"/>
        </w:rPr>
      </w:pPr>
      <w:r>
        <w:rPr>
          <w:rFonts w:ascii="Public Sans" w:eastAsia="Public Sans" w:hAnsi="Public Sans" w:cs="Public Sans"/>
          <w:color w:val="000000"/>
        </w:rPr>
        <w:t xml:space="preserve">„Branża centrów danych od lat inwestuje w technologie poprawiające efektywność energetyczną – od systemów chłodzenia wykorzystujących </w:t>
      </w:r>
      <w:r>
        <w:rPr>
          <w:rFonts w:ascii="Public Sans" w:eastAsia="Public Sans" w:hAnsi="Public Sans" w:cs="Public Sans"/>
        </w:rPr>
        <w:t>sprzyjające warunki klimatyczne</w:t>
      </w:r>
      <w:r>
        <w:rPr>
          <w:rFonts w:ascii="Public Sans" w:eastAsia="Public Sans" w:hAnsi="Public Sans" w:cs="Public Sans"/>
          <w:color w:val="000000"/>
        </w:rPr>
        <w:t xml:space="preserve">, po zastosowanie algorytmów AI do zarządzania infrastrukturą. Lokalizacja </w:t>
      </w:r>
      <w:proofErr w:type="spellStart"/>
      <w:r>
        <w:rPr>
          <w:rFonts w:ascii="Public Sans" w:eastAsia="Public Sans" w:hAnsi="Public Sans" w:cs="Public Sans"/>
          <w:color w:val="000000"/>
        </w:rPr>
        <w:t>Gigafabryki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w chłod</w:t>
      </w:r>
      <w:r>
        <w:rPr>
          <w:rFonts w:ascii="Public Sans" w:eastAsia="Public Sans" w:hAnsi="Public Sans" w:cs="Public Sans"/>
        </w:rPr>
        <w:t>nej lokalizacji jaką jest Polska, wykorzystuje jej naturalne predyspozycje, dając przewagę energetyczną</w:t>
      </w:r>
      <w:r w:rsidR="00252053">
        <w:rPr>
          <w:rFonts w:ascii="Public Sans" w:eastAsia="Public Sans" w:hAnsi="Public Sans" w:cs="Public Sans"/>
          <w:color w:val="000000"/>
        </w:rPr>
        <w:t xml:space="preserve">”, </w:t>
      </w:r>
      <w:r>
        <w:rPr>
          <w:rFonts w:ascii="Public Sans" w:eastAsia="Public Sans" w:hAnsi="Public Sans" w:cs="Public Sans"/>
          <w:color w:val="000000"/>
        </w:rPr>
        <w:t xml:space="preserve">komentuje </w:t>
      </w:r>
      <w:r>
        <w:rPr>
          <w:rFonts w:ascii="Public Sans" w:eastAsia="Public Sans" w:hAnsi="Public Sans" w:cs="Public Sans"/>
          <w:b/>
          <w:color w:val="000000"/>
        </w:rPr>
        <w:t>Wojcie</w:t>
      </w:r>
      <w:r>
        <w:rPr>
          <w:rFonts w:ascii="Public Sans" w:eastAsia="Public Sans" w:hAnsi="Public Sans" w:cs="Public Sans"/>
          <w:b/>
        </w:rPr>
        <w:t xml:space="preserve">ch </w:t>
      </w:r>
      <w:proofErr w:type="spellStart"/>
      <w:r>
        <w:rPr>
          <w:rFonts w:ascii="Public Sans" w:eastAsia="Public Sans" w:hAnsi="Public Sans" w:cs="Public Sans"/>
          <w:b/>
        </w:rPr>
        <w:t>Stramski</w:t>
      </w:r>
      <w:proofErr w:type="spellEnd"/>
      <w:r>
        <w:rPr>
          <w:rFonts w:ascii="Public Sans" w:eastAsia="Public Sans" w:hAnsi="Public Sans" w:cs="Public Sans"/>
          <w:b/>
        </w:rPr>
        <w:t xml:space="preserve">, CEO spółki Beyond.pl, należącej do </w:t>
      </w:r>
      <w:r>
        <w:rPr>
          <w:rFonts w:ascii="Public Sans" w:eastAsia="Public Sans" w:hAnsi="Public Sans" w:cs="Public Sans"/>
          <w:b/>
        </w:rPr>
        <w:lastRenderedPageBreak/>
        <w:t>PLDCA, która uruchamia w Poznaniu pierwszą w regionie Europy Środkowo-Wschodniej Fabrykę AI i nale</w:t>
      </w:r>
      <w:r w:rsidR="00707484">
        <w:rPr>
          <w:rFonts w:ascii="Public Sans" w:eastAsia="Public Sans" w:hAnsi="Public Sans" w:cs="Public Sans"/>
          <w:b/>
        </w:rPr>
        <w:t xml:space="preserve">ży do konsorcjum </w:t>
      </w:r>
      <w:proofErr w:type="spellStart"/>
      <w:r w:rsidR="00707484">
        <w:rPr>
          <w:rFonts w:ascii="Public Sans" w:eastAsia="Public Sans" w:hAnsi="Public Sans" w:cs="Public Sans"/>
          <w:b/>
        </w:rPr>
        <w:t>Baltic</w:t>
      </w:r>
      <w:proofErr w:type="spellEnd"/>
      <w:r w:rsidR="00707484">
        <w:rPr>
          <w:rFonts w:ascii="Public Sans" w:eastAsia="Public Sans" w:hAnsi="Public Sans" w:cs="Public Sans"/>
          <w:b/>
        </w:rPr>
        <w:t xml:space="preserve"> AI </w:t>
      </w:r>
      <w:proofErr w:type="spellStart"/>
      <w:r w:rsidR="00707484">
        <w:rPr>
          <w:rFonts w:ascii="Public Sans" w:eastAsia="Public Sans" w:hAnsi="Public Sans" w:cs="Public Sans"/>
          <w:b/>
        </w:rPr>
        <w:t>Gigaf</w:t>
      </w:r>
      <w:r>
        <w:rPr>
          <w:rFonts w:ascii="Public Sans" w:eastAsia="Public Sans" w:hAnsi="Public Sans" w:cs="Public Sans"/>
          <w:b/>
        </w:rPr>
        <w:t>actory</w:t>
      </w:r>
      <w:proofErr w:type="spellEnd"/>
      <w:r>
        <w:rPr>
          <w:rFonts w:ascii="Public Sans" w:eastAsia="Public Sans" w:hAnsi="Public Sans" w:cs="Public Sans"/>
          <w:b/>
        </w:rPr>
        <w:t>.</w:t>
      </w:r>
      <w:r>
        <w:rPr>
          <w:rFonts w:ascii="Public Sans" w:eastAsia="Public Sans" w:hAnsi="Public Sans" w:cs="Public Sans"/>
          <w:color w:val="000000"/>
        </w:rPr>
        <w:t xml:space="preserve"> </w:t>
      </w:r>
      <w:r w:rsidR="00252053">
        <w:rPr>
          <w:rFonts w:ascii="Public Sans" w:eastAsia="Public Sans" w:hAnsi="Public Sans" w:cs="Public Sans"/>
        </w:rPr>
        <w:t>„</w:t>
      </w:r>
      <w:r>
        <w:rPr>
          <w:rFonts w:ascii="Public Sans" w:eastAsia="Public Sans" w:hAnsi="Public Sans" w:cs="Public Sans"/>
          <w:color w:val="000000"/>
        </w:rPr>
        <w:t>Mamy w Polsce duż</w:t>
      </w:r>
      <w:r>
        <w:rPr>
          <w:rFonts w:ascii="Public Sans" w:eastAsia="Public Sans" w:hAnsi="Public Sans" w:cs="Public Sans"/>
        </w:rPr>
        <w:t xml:space="preserve">o </w:t>
      </w:r>
      <w:r>
        <w:rPr>
          <w:rFonts w:ascii="Public Sans" w:eastAsia="Public Sans" w:hAnsi="Public Sans" w:cs="Public Sans"/>
          <w:color w:val="000000"/>
        </w:rPr>
        <w:t>doświadc</w:t>
      </w:r>
      <w:r>
        <w:rPr>
          <w:rFonts w:ascii="Public Sans" w:eastAsia="Public Sans" w:hAnsi="Public Sans" w:cs="Public Sans"/>
        </w:rPr>
        <w:t xml:space="preserve">zeń w inicjatywach optymalizujących konsumpcję energii przez centra danych, co w kontekście budowy </w:t>
      </w:r>
      <w:proofErr w:type="spellStart"/>
      <w:r>
        <w:rPr>
          <w:rFonts w:ascii="Public Sans" w:eastAsia="Public Sans" w:hAnsi="Public Sans" w:cs="Public Sans"/>
        </w:rPr>
        <w:t>gigafabryki</w:t>
      </w:r>
      <w:proofErr w:type="spellEnd"/>
      <w:r>
        <w:rPr>
          <w:rFonts w:ascii="Public Sans" w:eastAsia="Public Sans" w:hAnsi="Public Sans" w:cs="Public Sans"/>
        </w:rPr>
        <w:t xml:space="preserve"> będzie wykorzystane. Pierwsza kwestia to optymalizacja wskaźnika efektywności energetycznej obiektu, tzw. PUE. Im mniejs</w:t>
      </w:r>
      <w:r w:rsidR="00197926">
        <w:rPr>
          <w:rFonts w:ascii="Public Sans" w:eastAsia="Public Sans" w:hAnsi="Public Sans" w:cs="Public Sans"/>
        </w:rPr>
        <w:t xml:space="preserve">za konsumpcja energii </w:t>
      </w:r>
      <w:r>
        <w:rPr>
          <w:rFonts w:ascii="Public Sans" w:eastAsia="Public Sans" w:hAnsi="Public Sans" w:cs="Public Sans"/>
        </w:rPr>
        <w:t xml:space="preserve">związana z działalnością operacyjną data </w:t>
      </w:r>
      <w:proofErr w:type="spellStart"/>
      <w:r>
        <w:rPr>
          <w:rFonts w:ascii="Public Sans" w:eastAsia="Public Sans" w:hAnsi="Public Sans" w:cs="Public Sans"/>
        </w:rPr>
        <w:t>center</w:t>
      </w:r>
      <w:proofErr w:type="spellEnd"/>
      <w:r>
        <w:rPr>
          <w:rFonts w:ascii="Public Sans" w:eastAsia="Public Sans" w:hAnsi="Public Sans" w:cs="Public Sans"/>
        </w:rPr>
        <w:t xml:space="preserve">, tym lepiej. Przykładowo centrum danych na naszym kampusie w Poznaniu charakteryzuje się wskaźnikiem na poziomie 1.2, a docelowo chcemy zbliżyć się do 1.1. Idąc dalej, obiekty typu fabryka AI będą produkować gigantyczne ilości energii w postaci tzw. ciepła odpadowego. Kluczowe jest, aby ją efektywnie wykorzystać. Dlatego uruchomiliśmy wspólnie z </w:t>
      </w:r>
      <w:proofErr w:type="spellStart"/>
      <w:r>
        <w:rPr>
          <w:rFonts w:ascii="Public Sans" w:eastAsia="Public Sans" w:hAnsi="Public Sans" w:cs="Public Sans"/>
        </w:rPr>
        <w:t>Veolia</w:t>
      </w:r>
      <w:proofErr w:type="spellEnd"/>
      <w:r>
        <w:rPr>
          <w:rFonts w:ascii="Public Sans" w:eastAsia="Public Sans" w:hAnsi="Public Sans" w:cs="Public Sans"/>
        </w:rPr>
        <w:t xml:space="preserve"> Energia Poznań pierwszy w Polsce wielkoskalowy projekt wykorzystania ciepła odpadowego z centrum danych na potrzeby systemu ciepłowniczego w Poznaniu. Te przykłady udowadniają, że lokalne zaplecze technologiczne i kompetencyjne ma realną wartość dodaną dla konkurencyjności projektu </w:t>
      </w:r>
      <w:proofErr w:type="spellStart"/>
      <w:r>
        <w:rPr>
          <w:rFonts w:ascii="Public Sans" w:eastAsia="Public Sans" w:hAnsi="Public Sans" w:cs="Public Sans"/>
        </w:rPr>
        <w:t>gigafabryki</w:t>
      </w:r>
      <w:proofErr w:type="spellEnd"/>
      <w:r>
        <w:rPr>
          <w:rFonts w:ascii="Public Sans" w:eastAsia="Public Sans" w:hAnsi="Public Sans" w:cs="Public Sans"/>
        </w:rPr>
        <w:t xml:space="preserve"> w Polsce”.</w:t>
      </w:r>
    </w:p>
    <w:p w:rsidR="00DE4658" w:rsidRDefault="00AE4896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b/>
          <w:color w:val="000000"/>
        </w:rPr>
      </w:pPr>
      <w:r>
        <w:rPr>
          <w:rFonts w:ascii="Public Sans" w:eastAsia="Public Sans" w:hAnsi="Public Sans" w:cs="Public Sans"/>
          <w:b/>
          <w:color w:val="000000"/>
        </w:rPr>
        <w:t>Dekarbonizacja w Polsce przys</w:t>
      </w:r>
      <w:r w:rsidR="00B94494">
        <w:rPr>
          <w:rFonts w:ascii="Public Sans" w:eastAsia="Public Sans" w:hAnsi="Public Sans" w:cs="Public Sans"/>
          <w:b/>
          <w:color w:val="000000"/>
        </w:rPr>
        <w:t>piesza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</w:pPr>
      <w:bookmarkStart w:id="2" w:name="_heading=h.jffr7wlfvq0r" w:colFirst="0" w:colLast="0"/>
      <w:bookmarkEnd w:id="2"/>
      <w:r>
        <w:rPr>
          <w:rFonts w:ascii="Public Sans" w:eastAsia="Public Sans" w:hAnsi="Public Sans" w:cs="Public Sans"/>
          <w:color w:val="000000"/>
        </w:rPr>
        <w:t xml:space="preserve">Polska jest w trakcie dynamicznej transformacji energetycznej, z ambitnymi planami dekarbonizacji </w:t>
      </w:r>
      <w:proofErr w:type="spellStart"/>
      <w:r>
        <w:rPr>
          <w:rFonts w:ascii="Public Sans" w:eastAsia="Public Sans" w:hAnsi="Public Sans" w:cs="Public Sans"/>
          <w:color w:val="000000"/>
        </w:rPr>
        <w:t>miksu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energetycznego. Udział węgla w produkcji energii elektrycznej </w:t>
      </w:r>
      <w:r w:rsidR="00197926">
        <w:rPr>
          <w:rFonts w:ascii="Public Sans" w:eastAsia="Public Sans" w:hAnsi="Public Sans" w:cs="Public Sans"/>
        </w:rPr>
        <w:t xml:space="preserve">regularnie </w:t>
      </w:r>
      <w:r>
        <w:rPr>
          <w:rFonts w:ascii="Public Sans" w:eastAsia="Public Sans" w:hAnsi="Public Sans" w:cs="Public Sans"/>
          <w:color w:val="000000"/>
        </w:rPr>
        <w:t xml:space="preserve">spada, w czerwcu 2025 roku po raz pierwszy w historii Polski źródła OZE przebiły udział </w:t>
      </w:r>
      <w:r>
        <w:rPr>
          <w:rFonts w:ascii="Public Sans" w:eastAsia="Public Sans" w:hAnsi="Public Sans" w:cs="Public Sans"/>
        </w:rPr>
        <w:t>węgla</w:t>
      </w:r>
      <w:r>
        <w:rPr>
          <w:rFonts w:ascii="Public Sans" w:eastAsia="Public Sans" w:hAnsi="Public Sans" w:cs="Public Sans"/>
          <w:color w:val="000000"/>
        </w:rPr>
        <w:t xml:space="preserve"> w produkcji energii elektrycznej, odpowiadając za 44,1%. W całym drugim kwartale tego roku udział węgla w </w:t>
      </w:r>
      <w:proofErr w:type="spellStart"/>
      <w:r>
        <w:rPr>
          <w:rFonts w:ascii="Public Sans" w:eastAsia="Public Sans" w:hAnsi="Public Sans" w:cs="Public Sans"/>
          <w:color w:val="000000"/>
        </w:rPr>
        <w:t>miksie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spadł poniżej połowy (45,2%). </w:t>
      </w:r>
      <w:sdt>
        <w:sdtPr>
          <w:tag w:val="goog_rdk_1"/>
          <w:id w:val="1875320618"/>
        </w:sdtPr>
        <w:sdtEndPr/>
        <w:sdtContent/>
      </w:sdt>
      <w:r>
        <w:rPr>
          <w:rFonts w:ascii="Public Sans" w:eastAsia="Public Sans" w:hAnsi="Public Sans" w:cs="Public Sans"/>
          <w:color w:val="000000"/>
        </w:rPr>
        <w:t>Opublikowan</w:t>
      </w:r>
      <w:r>
        <w:rPr>
          <w:rFonts w:ascii="Public Sans" w:eastAsia="Public Sans" w:hAnsi="Public Sans" w:cs="Public Sans"/>
        </w:rPr>
        <w:t>y</w:t>
      </w:r>
      <w:r>
        <w:rPr>
          <w:rFonts w:ascii="Public Sans" w:eastAsia="Public Sans" w:hAnsi="Public Sans" w:cs="Public Sans"/>
          <w:color w:val="000000"/>
        </w:rPr>
        <w:t xml:space="preserve"> </w:t>
      </w:r>
      <w:r>
        <w:rPr>
          <w:rFonts w:ascii="Public Sans" w:eastAsia="Public Sans" w:hAnsi="Public Sans" w:cs="Public Sans"/>
        </w:rPr>
        <w:t>pod koniec</w:t>
      </w:r>
      <w:r>
        <w:rPr>
          <w:rFonts w:ascii="Public Sans" w:eastAsia="Public Sans" w:hAnsi="Public Sans" w:cs="Public Sans"/>
          <w:color w:val="000000"/>
        </w:rPr>
        <w:t xml:space="preserve"> </w:t>
      </w:r>
      <w:r>
        <w:rPr>
          <w:rFonts w:ascii="Public Sans" w:eastAsia="Public Sans" w:hAnsi="Public Sans" w:cs="Public Sans"/>
        </w:rPr>
        <w:t>lipca</w:t>
      </w:r>
      <w:r>
        <w:rPr>
          <w:rFonts w:ascii="Public Sans" w:eastAsia="Public Sans" w:hAnsi="Public Sans" w:cs="Public Sans"/>
          <w:color w:val="000000"/>
        </w:rPr>
        <w:t xml:space="preserve"> </w:t>
      </w:r>
      <w:r>
        <w:rPr>
          <w:rFonts w:ascii="Public Sans" w:eastAsia="Public Sans" w:hAnsi="Public Sans" w:cs="Public Sans"/>
        </w:rPr>
        <w:t xml:space="preserve">2025 przez Ministerstwo Klimatu i Środowiska Krajowy Plan w dziedzinie Energii i Klimatu 2030 zakłada, że w ciągu najbliższych pięciu lat średnioroczny udział odnawialnych źródeł w produkcji energii elektrycznej ma przekroczyć 50%, a do 2040 roku sięgnąć niemal 80%. 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Public Sans" w:eastAsia="Public Sans" w:hAnsi="Public Sans" w:cs="Public Sans"/>
          <w:b/>
        </w:rPr>
      </w:pPr>
      <w:r>
        <w:rPr>
          <w:rFonts w:ascii="Public Sans" w:eastAsia="Public Sans" w:hAnsi="Public Sans" w:cs="Public Sans"/>
          <w:color w:val="000000"/>
        </w:rPr>
        <w:t>„Dynamicznie nadrabiamy dystans w obszarze transformacji energetycznej, co ma bezpośrednie przełożenie na rosnącą atrakcyjność inwestycyjną Polski – szczególnie w kontekście projektów wymagających stabilnych i zrównoważonych źródeł zasilania</w:t>
      </w:r>
      <w:r>
        <w:rPr>
          <w:rFonts w:ascii="Public Sans" w:eastAsia="Public Sans" w:hAnsi="Public Sans" w:cs="Public Sans"/>
        </w:rPr>
        <w:t>, jakimi są centra obliczeniowe.</w:t>
      </w:r>
      <w:r>
        <w:rPr>
          <w:rFonts w:ascii="Public Sans" w:eastAsia="Public Sans" w:hAnsi="Public Sans" w:cs="Public Sans"/>
          <w:color w:val="000000"/>
        </w:rPr>
        <w:t xml:space="preserve"> Inwestorzy </w:t>
      </w:r>
      <w:r>
        <w:rPr>
          <w:rFonts w:ascii="Public Sans" w:eastAsia="Public Sans" w:hAnsi="Public Sans" w:cs="Public Sans"/>
        </w:rPr>
        <w:t>tego sektora</w:t>
      </w:r>
      <w:r>
        <w:rPr>
          <w:rFonts w:ascii="Public Sans" w:eastAsia="Public Sans" w:hAnsi="Public Sans" w:cs="Public Sans"/>
          <w:color w:val="000000"/>
        </w:rPr>
        <w:t xml:space="preserve"> kierują uwagę na kraje, które nie tylko oferują zieloną energię, ale potrafią zapewnić jej długoterminową dostępność w przewidywalnym otoczeniu regulacyjnym. W tym kontekście pośród krajów CEE mamy </w:t>
      </w:r>
      <w:r>
        <w:rPr>
          <w:rFonts w:ascii="Public Sans" w:eastAsia="Public Sans" w:hAnsi="Public Sans" w:cs="Public Sans"/>
        </w:rPr>
        <w:t>silną</w:t>
      </w:r>
      <w:r>
        <w:rPr>
          <w:rFonts w:ascii="Public Sans" w:eastAsia="Public Sans" w:hAnsi="Public Sans" w:cs="Public Sans"/>
          <w:color w:val="000000"/>
        </w:rPr>
        <w:t xml:space="preserve"> pozycję”, mówi</w:t>
      </w:r>
      <w:r>
        <w:rPr>
          <w:rFonts w:ascii="Roboto" w:eastAsia="Roboto" w:hAnsi="Roboto" w:cs="Roboto"/>
          <w:color w:val="444746"/>
          <w:sz w:val="21"/>
          <w:szCs w:val="21"/>
        </w:rPr>
        <w:t xml:space="preserve"> </w:t>
      </w:r>
      <w:r>
        <w:rPr>
          <w:rFonts w:ascii="Roboto" w:eastAsia="Roboto" w:hAnsi="Roboto" w:cs="Roboto"/>
          <w:b/>
          <w:sz w:val="21"/>
          <w:szCs w:val="21"/>
        </w:rPr>
        <w:t xml:space="preserve">Sławomir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Koszołko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>, CEO</w:t>
      </w:r>
      <w:r w:rsidR="00D46C30">
        <w:rPr>
          <w:rFonts w:ascii="Roboto" w:eastAsia="Roboto" w:hAnsi="Roboto" w:cs="Roboto"/>
          <w:b/>
          <w:sz w:val="21"/>
          <w:szCs w:val="21"/>
        </w:rPr>
        <w:t xml:space="preserve"> firmy A</w:t>
      </w:r>
      <w:r w:rsidR="00D46C30" w:rsidRPr="00D46C30">
        <w:rPr>
          <w:rFonts w:ascii="Roboto" w:eastAsia="Roboto" w:hAnsi="Roboto" w:cs="Roboto"/>
          <w:b/>
          <w:sz w:val="21"/>
          <w:szCs w:val="21"/>
        </w:rPr>
        <w:t>tman Sp. z o.o.,</w:t>
      </w:r>
      <w:r w:rsidR="00D46C30">
        <w:rPr>
          <w:rFonts w:ascii="Roboto" w:eastAsia="Roboto" w:hAnsi="Roboto" w:cs="Roboto"/>
          <w:b/>
          <w:sz w:val="21"/>
          <w:szCs w:val="21"/>
        </w:rPr>
        <w:t xml:space="preserve"> należącej do PLDCA i</w:t>
      </w:r>
      <w:bookmarkStart w:id="3" w:name="_GoBack"/>
      <w:bookmarkEnd w:id="3"/>
      <w:r w:rsidR="00D46C30">
        <w:rPr>
          <w:rFonts w:ascii="Roboto" w:eastAsia="Roboto" w:hAnsi="Roboto" w:cs="Roboto"/>
          <w:b/>
          <w:sz w:val="21"/>
          <w:szCs w:val="21"/>
        </w:rPr>
        <w:t xml:space="preserve"> </w:t>
      </w:r>
      <w:r w:rsidR="00D46C30" w:rsidRPr="00D46C30">
        <w:rPr>
          <w:rFonts w:ascii="Roboto" w:eastAsia="Roboto" w:hAnsi="Roboto" w:cs="Roboto"/>
          <w:b/>
          <w:sz w:val="21"/>
          <w:szCs w:val="21"/>
        </w:rPr>
        <w:t>Prezes Zarządu PLDCA.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color w:val="000000"/>
        </w:rPr>
      </w:pPr>
      <w:r>
        <w:rPr>
          <w:rFonts w:ascii="Public Sans" w:eastAsia="Public Sans" w:hAnsi="Public Sans" w:cs="Public Sans"/>
          <w:color w:val="000000"/>
        </w:rPr>
        <w:t xml:space="preserve">Polska ma wszystkie atuty, by stać się liderem zielonych centrów danych w Europie Środkowo-Wschodniej – od sprzyjającego klimatu i szybko rosnącego udziału OZE, przez kompetencje technologiczne i chłonny rynek, aż po pełne wsparcie dla zrównoważonego rozwoju infrastruktury cyfrowej. </w:t>
      </w:r>
      <w:proofErr w:type="spellStart"/>
      <w:r>
        <w:rPr>
          <w:rFonts w:ascii="Public Sans" w:eastAsia="Public Sans" w:hAnsi="Public Sans" w:cs="Public Sans"/>
          <w:color w:val="000000"/>
        </w:rPr>
        <w:t>Baltic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AI </w:t>
      </w:r>
      <w:proofErr w:type="spellStart"/>
      <w:r>
        <w:rPr>
          <w:rFonts w:ascii="Public Sans" w:eastAsia="Public Sans" w:hAnsi="Public Sans" w:cs="Public Sans"/>
          <w:color w:val="000000"/>
        </w:rPr>
        <w:t>Gigafactory</w:t>
      </w:r>
      <w:proofErr w:type="spellEnd"/>
      <w:r>
        <w:rPr>
          <w:rFonts w:ascii="Public Sans" w:eastAsia="Public Sans" w:hAnsi="Public Sans" w:cs="Public Sans"/>
          <w:color w:val="000000"/>
        </w:rPr>
        <w:t xml:space="preserve"> może być przełomem – nie tylko dla polskiej branży data </w:t>
      </w:r>
      <w:proofErr w:type="spellStart"/>
      <w:r>
        <w:rPr>
          <w:rFonts w:ascii="Public Sans" w:eastAsia="Public Sans" w:hAnsi="Public Sans" w:cs="Public Sans"/>
          <w:color w:val="000000"/>
        </w:rPr>
        <w:t>center</w:t>
      </w:r>
      <w:proofErr w:type="spellEnd"/>
      <w:r>
        <w:rPr>
          <w:rFonts w:ascii="Public Sans" w:eastAsia="Public Sans" w:hAnsi="Public Sans" w:cs="Public Sans"/>
          <w:color w:val="000000"/>
        </w:rPr>
        <w:t>, ale i dla całej cyfrowej Europy.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b/>
          <w:color w:val="000000"/>
          <w:sz w:val="18"/>
          <w:szCs w:val="18"/>
        </w:rPr>
      </w:pPr>
      <w:r>
        <w:rPr>
          <w:rFonts w:ascii="Public Sans" w:eastAsia="Public Sans" w:hAnsi="Public Sans" w:cs="Public Sans"/>
          <w:b/>
          <w:color w:val="000000"/>
          <w:sz w:val="18"/>
          <w:szCs w:val="18"/>
        </w:rPr>
        <w:t>O Stowarzyszeniu PLDCA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color w:val="000000"/>
          <w:sz w:val="18"/>
          <w:szCs w:val="18"/>
        </w:rPr>
      </w:pPr>
      <w:proofErr w:type="spellStart"/>
      <w:r>
        <w:rPr>
          <w:rFonts w:ascii="Public Sans" w:eastAsia="Public Sans" w:hAnsi="Public Sans" w:cs="Public Sans"/>
          <w:color w:val="000000"/>
          <w:sz w:val="18"/>
          <w:szCs w:val="18"/>
        </w:rPr>
        <w:t>Polish</w:t>
      </w:r>
      <w:proofErr w:type="spellEnd"/>
      <w:r>
        <w:rPr>
          <w:rFonts w:ascii="Public Sans" w:eastAsia="Public Sans" w:hAnsi="Public Sans" w:cs="Public Sans"/>
          <w:color w:val="000000"/>
          <w:sz w:val="18"/>
          <w:szCs w:val="18"/>
        </w:rPr>
        <w:t xml:space="preserve"> Data Centre </w:t>
      </w:r>
      <w:proofErr w:type="spellStart"/>
      <w:r>
        <w:rPr>
          <w:rFonts w:ascii="Public Sans" w:eastAsia="Public Sans" w:hAnsi="Public Sans" w:cs="Public Sans"/>
          <w:color w:val="000000"/>
          <w:sz w:val="18"/>
          <w:szCs w:val="18"/>
        </w:rPr>
        <w:t>Association</w:t>
      </w:r>
      <w:proofErr w:type="spellEnd"/>
      <w:r>
        <w:rPr>
          <w:rFonts w:ascii="Public Sans" w:eastAsia="Public Sans" w:hAnsi="Public Sans" w:cs="Public Sans"/>
          <w:color w:val="000000"/>
          <w:sz w:val="18"/>
          <w:szCs w:val="18"/>
        </w:rPr>
        <w:t xml:space="preserve"> (PLDCA) jest reprezentantem polskiego sektora centrów danych i zrzesza </w:t>
      </w:r>
      <w:r>
        <w:rPr>
          <w:rFonts w:ascii="Public Sans" w:eastAsia="Public Sans" w:hAnsi="Public Sans" w:cs="Public Sans"/>
          <w:sz w:val="18"/>
          <w:szCs w:val="18"/>
        </w:rPr>
        <w:t>ponad</w:t>
      </w:r>
      <w:r>
        <w:rPr>
          <w:rFonts w:ascii="Public Sans" w:eastAsia="Public Sans" w:hAnsi="Public Sans" w:cs="Public Sans"/>
          <w:color w:val="000000"/>
          <w:sz w:val="18"/>
          <w:szCs w:val="18"/>
        </w:rPr>
        <w:t xml:space="preserve"> 60 podmiotów z szerokiego łańcucha wartości branży – od właścicieli i operatorów centrów obliczeniowych, przez firmy inżynieryjne, po firmy technologiczne, integratorów i generalnych wykonawców. Stowarzyszenie wzmacnia potencjał branży data </w:t>
      </w:r>
      <w:proofErr w:type="spellStart"/>
      <w:r>
        <w:rPr>
          <w:rFonts w:ascii="Public Sans" w:eastAsia="Public Sans" w:hAnsi="Public Sans" w:cs="Public Sans"/>
          <w:color w:val="000000"/>
          <w:sz w:val="18"/>
          <w:szCs w:val="18"/>
        </w:rPr>
        <w:t>center</w:t>
      </w:r>
      <w:proofErr w:type="spellEnd"/>
      <w:r>
        <w:rPr>
          <w:rFonts w:ascii="Public Sans" w:eastAsia="Public Sans" w:hAnsi="Public Sans" w:cs="Public Sans"/>
          <w:color w:val="000000"/>
          <w:sz w:val="18"/>
          <w:szCs w:val="18"/>
        </w:rPr>
        <w:t xml:space="preserve"> w Polsce, edukuje rynek i buduje nowe miejsca pracy poprzez współpracę z władzami, inicjowanie zmian legislacyjnych oraz wykorzystywanie doświadczeń podobnych organizacji w Europie. PLDCA określa warunki infrastrukturalne sprzyjające realizacji celów strategicznych biznesu, promuje rozwój oraz pozyskiwanie inwestorów oraz wspiera zrównoważony i odpowiedzialny rozwój sektora.</w:t>
      </w: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b/>
          <w:color w:val="000000"/>
          <w:sz w:val="18"/>
          <w:szCs w:val="18"/>
        </w:rPr>
      </w:pPr>
      <w:r>
        <w:rPr>
          <w:rFonts w:ascii="Public Sans" w:eastAsia="Public Sans" w:hAnsi="Public Sans" w:cs="Public Sans"/>
          <w:b/>
          <w:color w:val="000000"/>
          <w:sz w:val="18"/>
          <w:szCs w:val="18"/>
        </w:rPr>
        <w:lastRenderedPageBreak/>
        <w:t>www.pldca.pl</w:t>
      </w:r>
    </w:p>
    <w:p w:rsidR="00DE4658" w:rsidRDefault="00DE465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color w:val="000000"/>
        </w:rPr>
      </w:pPr>
    </w:p>
    <w:p w:rsidR="00DE4658" w:rsidRDefault="00B9449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color w:val="000000"/>
        </w:rPr>
      </w:pPr>
      <w:r>
        <w:rPr>
          <w:rFonts w:ascii="Public Sans" w:eastAsia="Public Sans" w:hAnsi="Public Sans" w:cs="Public Sans"/>
          <w:color w:val="000000"/>
        </w:rPr>
        <w:t>Kontakt dla mediów:</w:t>
      </w:r>
    </w:p>
    <w:p w:rsidR="00DE4658" w:rsidRDefault="00B94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b/>
          <w:color w:val="000000"/>
        </w:rPr>
      </w:pPr>
      <w:r>
        <w:rPr>
          <w:rFonts w:ascii="Public Sans" w:eastAsia="Public Sans" w:hAnsi="Public Sans" w:cs="Public Sans"/>
          <w:b/>
          <w:color w:val="000000"/>
        </w:rPr>
        <w:t>Monika Trojanowska</w:t>
      </w:r>
    </w:p>
    <w:p w:rsidR="00DE4658" w:rsidRDefault="00B94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/>
        </w:rPr>
      </w:pPr>
      <w:proofErr w:type="spellStart"/>
      <w:r>
        <w:rPr>
          <w:rFonts w:ascii="Public Sans" w:eastAsia="Public Sans" w:hAnsi="Public Sans" w:cs="Public Sans"/>
          <w:color w:val="000000"/>
        </w:rPr>
        <w:t>Linkleaders</w:t>
      </w:r>
      <w:proofErr w:type="spellEnd"/>
    </w:p>
    <w:p w:rsidR="00DE4658" w:rsidRDefault="00B94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/>
        </w:rPr>
      </w:pPr>
      <w:r>
        <w:rPr>
          <w:rFonts w:ascii="Public Sans" w:eastAsia="Public Sans" w:hAnsi="Public Sans" w:cs="Public Sans"/>
          <w:color w:val="000000"/>
        </w:rPr>
        <w:t>PR Consultant</w:t>
      </w:r>
    </w:p>
    <w:p w:rsidR="00DE4658" w:rsidRDefault="00B94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/>
        </w:rPr>
      </w:pPr>
      <w:r>
        <w:rPr>
          <w:rFonts w:ascii="Public Sans" w:eastAsia="Public Sans" w:hAnsi="Public Sans" w:cs="Public Sans"/>
          <w:color w:val="000000"/>
        </w:rPr>
        <w:t>M: +48 512 141 361</w:t>
      </w:r>
    </w:p>
    <w:p w:rsidR="00DE4658" w:rsidRDefault="003D01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/>
        </w:rPr>
      </w:pPr>
      <w:hyperlink r:id="rId8">
        <w:r w:rsidR="00B94494">
          <w:rPr>
            <w:rFonts w:ascii="Public Sans" w:eastAsia="Public Sans" w:hAnsi="Public Sans" w:cs="Public Sans"/>
            <w:color w:val="000000"/>
            <w:u w:val="single"/>
          </w:rPr>
          <w:t>monika.trojanowska@linkleaders.pl</w:t>
        </w:r>
      </w:hyperlink>
    </w:p>
    <w:sectPr w:rsidR="00DE4658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A4" w:rsidRDefault="003D01A4">
      <w:pPr>
        <w:spacing w:after="0" w:line="240" w:lineRule="auto"/>
      </w:pPr>
      <w:r>
        <w:separator/>
      </w:r>
    </w:p>
  </w:endnote>
  <w:endnote w:type="continuationSeparator" w:id="0">
    <w:p w:rsidR="003D01A4" w:rsidRDefault="003D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ublic Sans ExtraBold">
    <w:altName w:val="Times New Roman"/>
    <w:charset w:val="00"/>
    <w:family w:val="auto"/>
    <w:pitch w:val="default"/>
  </w:font>
  <w:font w:name="Public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A4" w:rsidRDefault="003D01A4">
      <w:pPr>
        <w:spacing w:after="0" w:line="240" w:lineRule="auto"/>
      </w:pPr>
      <w:r>
        <w:separator/>
      </w:r>
    </w:p>
  </w:footnote>
  <w:footnote w:type="continuationSeparator" w:id="0">
    <w:p w:rsidR="003D01A4" w:rsidRDefault="003D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58" w:rsidRDefault="00B94494">
    <w:pPr>
      <w:jc w:val="right"/>
    </w:pPr>
    <w:r>
      <w:rPr>
        <w:noProof/>
        <w:lang w:val="pl-PL"/>
      </w:rPr>
      <w:drawing>
        <wp:inline distT="114300" distB="114300" distL="114300" distR="114300">
          <wp:extent cx="1438593" cy="445582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593" cy="445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58"/>
    <w:rsid w:val="00197926"/>
    <w:rsid w:val="00252053"/>
    <w:rsid w:val="003D01A4"/>
    <w:rsid w:val="005765CD"/>
    <w:rsid w:val="00707484"/>
    <w:rsid w:val="00AE4896"/>
    <w:rsid w:val="00B94494"/>
    <w:rsid w:val="00D46C30"/>
    <w:rsid w:val="00D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CE1DF"/>
  <w15:docId w15:val="{6E46B937-3B0A-432A-8CB9-524E6E8B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uiPriority w:val="99"/>
    <w:semiHidden/>
    <w:unhideWhenUsed/>
    <w:rsid w:val="00B9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uiPriority w:val="34"/>
    <w:qFormat/>
    <w:rsid w:val="001D7D22"/>
    <w:pPr>
      <w:ind w:left="720"/>
      <w:contextualSpacing/>
    </w:pPr>
  </w:style>
  <w:style w:type="paragraph" w:styleId="Tekstprzypisudolnego">
    <w:name w:val="footnote text"/>
    <w:link w:val="TekstprzypisudolnegoZnak"/>
    <w:uiPriority w:val="99"/>
    <w:semiHidden/>
    <w:unhideWhenUsed/>
    <w:rsid w:val="008F5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B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BDE"/>
    <w:rPr>
      <w:vertAlign w:val="superscript"/>
    </w:rPr>
  </w:style>
  <w:style w:type="paragraph" w:styleId="Tekstdymka">
    <w:name w:val="Balloon Text"/>
    <w:link w:val="TekstdymkaZnak"/>
    <w:uiPriority w:val="99"/>
    <w:semiHidden/>
    <w:unhideWhenUsed/>
    <w:rsid w:val="00E3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8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2AA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trojanowska@linkleader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rPNjgeXZhcSBPArbTzKK/LwJg==">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1182</Words>
  <Characters>8074</Characters>
  <Application>Microsoft Office Word</Application>
  <DocSecurity>0</DocSecurity>
  <Lines>120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2025-08-26T09:06:00Z</dcterms:created>
  <dcterms:modified xsi:type="dcterms:W3CDTF">2025-08-27T06:38:00Z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27df7bd1-4181-40d8-a0e3-905a8c20a426</vt:lpwstr>
  </property>
</Properties>
</file>