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8795" w14:textId="040DCCC4" w:rsidR="00CE61AB" w:rsidRPr="00CE61AB" w:rsidRDefault="00CE61AB" w:rsidP="000D1418">
      <w:pPr>
        <w:ind w:firstLine="708"/>
        <w:jc w:val="right"/>
        <w:rPr>
          <w:sz w:val="28"/>
          <w:szCs w:val="28"/>
        </w:rPr>
      </w:pPr>
      <w:r w:rsidRPr="00CE61AB">
        <w:rPr>
          <w:sz w:val="28"/>
          <w:szCs w:val="28"/>
        </w:rPr>
        <w:t xml:space="preserve">Katowice </w:t>
      </w:r>
      <w:r w:rsidR="005A0FA3">
        <w:rPr>
          <w:sz w:val="28"/>
          <w:szCs w:val="28"/>
        </w:rPr>
        <w:t>2</w:t>
      </w:r>
      <w:r w:rsidR="006C4A95">
        <w:rPr>
          <w:sz w:val="28"/>
          <w:szCs w:val="28"/>
        </w:rPr>
        <w:t>6</w:t>
      </w:r>
      <w:r w:rsidRPr="00CE61AB">
        <w:rPr>
          <w:sz w:val="28"/>
          <w:szCs w:val="28"/>
        </w:rPr>
        <w:t>.08.2025</w:t>
      </w:r>
    </w:p>
    <w:p w14:paraId="6344DF17" w14:textId="77777777" w:rsidR="00CE61AB" w:rsidRDefault="00CE61AB" w:rsidP="00CE61AB">
      <w:pPr>
        <w:jc w:val="both"/>
        <w:rPr>
          <w:b/>
          <w:bCs/>
          <w:sz w:val="28"/>
          <w:szCs w:val="28"/>
        </w:rPr>
      </w:pPr>
    </w:p>
    <w:p w14:paraId="05943A58" w14:textId="7CD06F25" w:rsidR="000C2900" w:rsidRPr="00223F02" w:rsidRDefault="000052F5" w:rsidP="00CE61AB">
      <w:pPr>
        <w:jc w:val="both"/>
        <w:rPr>
          <w:b/>
          <w:bCs/>
          <w:sz w:val="28"/>
          <w:szCs w:val="28"/>
        </w:rPr>
      </w:pPr>
      <w:r w:rsidRPr="00223F02">
        <w:rPr>
          <w:b/>
          <w:bCs/>
          <w:sz w:val="28"/>
          <w:szCs w:val="28"/>
        </w:rPr>
        <w:t>Miejskie wyspy ciepła widać z satelity. Ja</w:t>
      </w:r>
      <w:r w:rsidR="0025205C" w:rsidRPr="00223F02">
        <w:rPr>
          <w:b/>
          <w:bCs/>
          <w:sz w:val="28"/>
          <w:szCs w:val="28"/>
        </w:rPr>
        <w:t>k pow</w:t>
      </w:r>
      <w:r w:rsidR="0093732A" w:rsidRPr="00223F02">
        <w:rPr>
          <w:b/>
          <w:bCs/>
          <w:sz w:val="28"/>
          <w:szCs w:val="28"/>
        </w:rPr>
        <w:t xml:space="preserve">inny </w:t>
      </w:r>
      <w:r w:rsidR="00B37BAC" w:rsidRPr="00223F02">
        <w:rPr>
          <w:b/>
          <w:bCs/>
          <w:sz w:val="28"/>
          <w:szCs w:val="28"/>
        </w:rPr>
        <w:t xml:space="preserve">wyglądać osiedla </w:t>
      </w:r>
      <w:r w:rsidR="00EA1F40" w:rsidRPr="00223F02">
        <w:rPr>
          <w:b/>
          <w:bCs/>
          <w:sz w:val="28"/>
          <w:szCs w:val="28"/>
        </w:rPr>
        <w:t xml:space="preserve">odporne na </w:t>
      </w:r>
      <w:r w:rsidR="00711867">
        <w:rPr>
          <w:b/>
          <w:bCs/>
          <w:sz w:val="28"/>
          <w:szCs w:val="28"/>
        </w:rPr>
        <w:t>wysokie temperatury</w:t>
      </w:r>
    </w:p>
    <w:p w14:paraId="37FFCF6A" w14:textId="2BDC5954" w:rsidR="00B85980" w:rsidRDefault="00B85980" w:rsidP="00CE61AB">
      <w:pPr>
        <w:jc w:val="both"/>
        <w:rPr>
          <w:b/>
          <w:bCs/>
        </w:rPr>
      </w:pPr>
      <w:r w:rsidRPr="00B85980">
        <w:rPr>
          <w:b/>
          <w:bCs/>
        </w:rPr>
        <w:t xml:space="preserve">W centrach polskich miast temperatura powierzchni gruntu może być latem nawet o 9°C wyższa niż na ich </w:t>
      </w:r>
      <w:r>
        <w:rPr>
          <w:b/>
          <w:bCs/>
        </w:rPr>
        <w:t xml:space="preserve">bardziej </w:t>
      </w:r>
      <w:r w:rsidRPr="00B85980">
        <w:rPr>
          <w:b/>
          <w:bCs/>
        </w:rPr>
        <w:t>zielonych obrzeżach. To efekt gęstej zabudowy, betonu, asfaltu i braku cienia, który dotyka setek tysięcy mieszkańców</w:t>
      </w:r>
      <w:r>
        <w:rPr>
          <w:b/>
          <w:bCs/>
        </w:rPr>
        <w:t xml:space="preserve">. </w:t>
      </w:r>
      <w:r w:rsidRPr="00B85980">
        <w:rPr>
          <w:b/>
          <w:bCs/>
        </w:rPr>
        <w:t>O wyspach ciepła mówimy wtedy, gdy temperatura na danym obszarze jest wyższa niż na terenach go otaczających. Zjawisko najczęściej występuje w śródmieściach, wzdłuż głównych arterii i na osiedlach pozbawionych zieleni. Jak wynika z danych Polskiej Agencji Kosmicznej (POLSA) i Górnośląsko-Zagłębiowskiej Metropolii, różnice te – mierzone na poziomie powierzchni gruntu – mogą sięgać aż +9,4</w:t>
      </w:r>
      <w:r w:rsidRPr="00B85980">
        <w:rPr>
          <w:rFonts w:ascii="Arial" w:hAnsi="Arial" w:cs="Arial"/>
          <w:b/>
          <w:bCs/>
        </w:rPr>
        <w:t> </w:t>
      </w:r>
      <w:r w:rsidRPr="00B85980">
        <w:rPr>
          <w:b/>
          <w:bCs/>
        </w:rPr>
        <w:t>°</w:t>
      </w:r>
    </w:p>
    <w:p w14:paraId="34A31C3C" w14:textId="661957FB" w:rsidR="006976A1" w:rsidRDefault="00C8690E" w:rsidP="00CE61AB">
      <w:pPr>
        <w:jc w:val="both"/>
      </w:pPr>
      <w:r>
        <w:t xml:space="preserve">Zjawisko nadmiernego nagrzewania się wybranych obszarów miast jest dobrze znane. Najczęściej dotyczy </w:t>
      </w:r>
      <w:r w:rsidR="00CF4F62">
        <w:t>obszarów</w:t>
      </w:r>
      <w:r>
        <w:t xml:space="preserve"> o gęstej zabudowie, </w:t>
      </w:r>
      <w:r w:rsidR="0075017E">
        <w:t xml:space="preserve">terenów przemysłowych, czy infrastruktury takiej jak </w:t>
      </w:r>
      <w:r w:rsidR="00035163">
        <w:t>drogi</w:t>
      </w:r>
      <w:r w:rsidR="0075017E">
        <w:t xml:space="preserve"> i parkingi.</w:t>
      </w:r>
      <w:r w:rsidR="008121D8">
        <w:t xml:space="preserve"> Jakie są tego </w:t>
      </w:r>
      <w:r w:rsidR="005904C8">
        <w:t>przyczyny</w:t>
      </w:r>
      <w:r w:rsidR="008121D8">
        <w:t>?</w:t>
      </w:r>
      <w:r w:rsidR="0075017E">
        <w:t xml:space="preserve"> </w:t>
      </w:r>
      <w:r w:rsidR="006976A1">
        <w:t>Asfalt i beton</w:t>
      </w:r>
      <w:r w:rsidR="00234618">
        <w:t xml:space="preserve"> </w:t>
      </w:r>
      <w:r w:rsidR="008121D8">
        <w:t xml:space="preserve">mają niską zdolność odbijania promieni słonecznych, </w:t>
      </w:r>
      <w:r w:rsidR="00234618">
        <w:t>pochłaniają ciepło w ciągu dnia i powoli oddają je nocą</w:t>
      </w:r>
      <w:r w:rsidR="008121D8">
        <w:t xml:space="preserve">. </w:t>
      </w:r>
      <w:r w:rsidR="00DA00BB">
        <w:t>Niewielkie odległości między budynkami</w:t>
      </w:r>
      <w:r w:rsidR="008121D8">
        <w:t xml:space="preserve"> </w:t>
      </w:r>
      <w:r w:rsidR="000624CA">
        <w:t>utrudnia</w:t>
      </w:r>
      <w:r w:rsidR="00DA00BB">
        <w:t>ją</w:t>
      </w:r>
      <w:r w:rsidR="000624CA">
        <w:t xml:space="preserve"> wentylację, a </w:t>
      </w:r>
      <w:r w:rsidR="00CE4754">
        <w:t xml:space="preserve">brak terenów zielonych uniemożliwia retencję wody i parowanie, które działa jak naturalna klimatyzacja. </w:t>
      </w:r>
      <w:r w:rsidR="000624CA">
        <w:t xml:space="preserve"> </w:t>
      </w:r>
    </w:p>
    <w:p w14:paraId="2B88B617" w14:textId="421B0569" w:rsidR="00EA1F40" w:rsidRDefault="00280476" w:rsidP="00CE61AB">
      <w:pPr>
        <w:jc w:val="both"/>
      </w:pPr>
      <w:r>
        <w:t>Obecnie dane na temat miejskich wysp ciepła bardzo często zb</w:t>
      </w:r>
      <w:r w:rsidR="00CA1413">
        <w:t xml:space="preserve">ierane są na podstawie zdjęć satelitarnych, pozwalających na analizę temperatury powierzchni gruntu. </w:t>
      </w:r>
      <w:r w:rsidR="00CE4754">
        <w:t xml:space="preserve">Dane zebrane przez Polską Agencję Kosmiczną pokazują, że </w:t>
      </w:r>
      <w:r w:rsidR="00DA00BB">
        <w:t xml:space="preserve">w </w:t>
      </w:r>
      <w:r w:rsidR="00D74C1D">
        <w:t>Katowicach</w:t>
      </w:r>
      <w:r w:rsidR="0045745D">
        <w:t xml:space="preserve"> </w:t>
      </w:r>
      <w:r>
        <w:t xml:space="preserve">negatywne </w:t>
      </w:r>
      <w:r w:rsidR="78D7DF3A">
        <w:t>skutki powstawania</w:t>
      </w:r>
      <w:r>
        <w:t xml:space="preserve"> </w:t>
      </w:r>
      <w:r w:rsidR="0045745D">
        <w:t xml:space="preserve">wysp ciepła mogą dotyczyć aż 43 000 osób. </w:t>
      </w:r>
    </w:p>
    <w:p w14:paraId="6F8861CA" w14:textId="77777777" w:rsidR="00F05FD9" w:rsidRDefault="00F05FD9" w:rsidP="00CE61AB">
      <w:pPr>
        <w:jc w:val="both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Czego oczekują mieszkańcy</w:t>
      </w:r>
    </w:p>
    <w:p w14:paraId="556F8AA2" w14:textId="07F8E7B1" w:rsidR="00A15280" w:rsidRDefault="009C6AB9" w:rsidP="00CE61AB">
      <w:pPr>
        <w:jc w:val="both"/>
      </w:pPr>
      <w:r>
        <w:t xml:space="preserve">Problem niewystarczająca ilości zieleni i </w:t>
      </w:r>
      <w:r w:rsidR="00B714BE">
        <w:t>nagrzewania</w:t>
      </w:r>
      <w:r>
        <w:t xml:space="preserve"> się miast dostrzegają mieszkańcy.  Z </w:t>
      </w:r>
      <w:r w:rsidR="00FC5161" w:rsidRPr="00FC5161">
        <w:t xml:space="preserve">danych </w:t>
      </w:r>
      <w:proofErr w:type="spellStart"/>
      <w:r w:rsidR="000D1418">
        <w:t>Otodom</w:t>
      </w:r>
      <w:proofErr w:type="spellEnd"/>
      <w:r w:rsidR="000D1418" w:rsidRPr="00FC5161">
        <w:t xml:space="preserve"> </w:t>
      </w:r>
      <w:r w:rsidR="000D1418">
        <w:t>z</w:t>
      </w:r>
      <w:r w:rsidR="000E30B5">
        <w:t xml:space="preserve"> 2024 r. </w:t>
      </w:r>
      <w:r w:rsidR="00FC5161" w:rsidRPr="00FC5161">
        <w:t xml:space="preserve">wynika, że kwestie ekologiczne odgrywają coraz większą rolę przy wyborze mieszkania. </w:t>
      </w:r>
      <w:r w:rsidR="00B37AE2">
        <w:t xml:space="preserve"> </w:t>
      </w:r>
      <w:r w:rsidR="000170CC">
        <w:t xml:space="preserve">Dla 4 na 10 </w:t>
      </w:r>
      <w:r w:rsidR="00674A37">
        <w:t>Polaków</w:t>
      </w:r>
      <w:r w:rsidR="000170CC">
        <w:t xml:space="preserve"> g</w:t>
      </w:r>
      <w:r w:rsidR="00186D65" w:rsidRPr="00186D65">
        <w:t xml:space="preserve">łównym czynnikiem, który wpływa na </w:t>
      </w:r>
      <w:r w:rsidR="000C6608">
        <w:t>nasze samopoczucie w miejscu zamieszkania jest właśnie zieleń</w:t>
      </w:r>
      <w:r w:rsidR="00186D65" w:rsidRPr="00186D65">
        <w:t xml:space="preserve"> </w:t>
      </w:r>
      <w:r w:rsidR="000170CC">
        <w:t xml:space="preserve">i wszystkie związane z </w:t>
      </w:r>
      <w:r w:rsidR="009568F5">
        <w:t>jej obecnością</w:t>
      </w:r>
      <w:r w:rsidR="000170CC">
        <w:t xml:space="preserve"> korzyści, jak np.</w:t>
      </w:r>
      <w:r w:rsidR="009568F5">
        <w:t xml:space="preserve"> poprawa</w:t>
      </w:r>
      <w:r w:rsidR="000170CC">
        <w:t xml:space="preserve"> jakoś</w:t>
      </w:r>
      <w:r w:rsidR="00B714BE">
        <w:t>ci</w:t>
      </w:r>
      <w:r w:rsidR="000170CC">
        <w:t xml:space="preserve"> powietrza</w:t>
      </w:r>
      <w:r w:rsidR="00186D65" w:rsidRPr="00186D65">
        <w:t>.</w:t>
      </w:r>
    </w:p>
    <w:p w14:paraId="113ADBB3" w14:textId="571AA265" w:rsidR="00DD3336" w:rsidRDefault="00186D65" w:rsidP="00CE61AB">
      <w:pPr>
        <w:jc w:val="both"/>
      </w:pPr>
      <w:r w:rsidRPr="00186D65">
        <w:t xml:space="preserve"> </w:t>
      </w:r>
      <w:r w:rsidR="00DD3336" w:rsidRPr="00DD3336">
        <w:t xml:space="preserve">– </w:t>
      </w:r>
      <w:r w:rsidR="00DD3336" w:rsidRPr="005B56A6">
        <w:rPr>
          <w:i/>
          <w:iCs/>
        </w:rPr>
        <w:t xml:space="preserve">Raport </w:t>
      </w:r>
      <w:proofErr w:type="spellStart"/>
      <w:r w:rsidR="00DD3336" w:rsidRPr="005B56A6">
        <w:rPr>
          <w:i/>
          <w:iCs/>
        </w:rPr>
        <w:t>Otodom</w:t>
      </w:r>
      <w:proofErr w:type="spellEnd"/>
      <w:r w:rsidR="00DD3336" w:rsidRPr="005B56A6">
        <w:rPr>
          <w:i/>
          <w:iCs/>
        </w:rPr>
        <w:t xml:space="preserve"> i </w:t>
      </w:r>
      <w:proofErr w:type="spellStart"/>
      <w:r w:rsidR="00DD3336" w:rsidRPr="005B56A6">
        <w:rPr>
          <w:i/>
          <w:iCs/>
        </w:rPr>
        <w:t>ThinkCo</w:t>
      </w:r>
      <w:proofErr w:type="spellEnd"/>
      <w:r w:rsidR="00DD3336" w:rsidRPr="005B56A6">
        <w:rPr>
          <w:i/>
          <w:iCs/>
        </w:rPr>
        <w:t xml:space="preserve"> potwierdza, że nabywcy mieszkań wyraźnie preferują rozwiązania ekologiczne</w:t>
      </w:r>
      <w:r w:rsidR="0098586C">
        <w:rPr>
          <w:i/>
          <w:iCs/>
        </w:rPr>
        <w:t xml:space="preserve"> </w:t>
      </w:r>
      <w:r w:rsidR="00DD3336" w:rsidRPr="00DD3336">
        <w:t xml:space="preserve">– mówi </w:t>
      </w:r>
      <w:r w:rsidR="00DD3336" w:rsidRPr="005B56A6">
        <w:rPr>
          <w:b/>
          <w:bCs/>
        </w:rPr>
        <w:t>Adam Urbański</w:t>
      </w:r>
      <w:r w:rsidR="00DD3336" w:rsidRPr="00DD3336">
        <w:t xml:space="preserve">, </w:t>
      </w:r>
      <w:r w:rsidR="00DD3336">
        <w:t>Dyrektor Sprzedaży</w:t>
      </w:r>
      <w:r w:rsidR="00DD3336" w:rsidRPr="00DD3336">
        <w:t xml:space="preserve"> TDJ </w:t>
      </w:r>
      <w:proofErr w:type="spellStart"/>
      <w:r w:rsidR="00DD3336" w:rsidRPr="00DD3336">
        <w:t>Estate</w:t>
      </w:r>
      <w:proofErr w:type="spellEnd"/>
      <w:r w:rsidR="00DD3336" w:rsidRPr="00DD3336">
        <w:t xml:space="preserve">. – </w:t>
      </w:r>
      <w:r w:rsidR="00DD3336" w:rsidRPr="005B56A6">
        <w:rPr>
          <w:i/>
          <w:iCs/>
        </w:rPr>
        <w:t>Aż 93% badanych wskazuje niższe koszty ogrzewania jako istotne, 92% zwraca uwagę na jakość powietrza, 91% ceni obecność zieleni w otoczeniu</w:t>
      </w:r>
      <w:r w:rsidR="006F1E37">
        <w:rPr>
          <w:i/>
          <w:iCs/>
        </w:rPr>
        <w:t xml:space="preserve"> a </w:t>
      </w:r>
      <w:r w:rsidR="00890E8C">
        <w:rPr>
          <w:i/>
          <w:iCs/>
        </w:rPr>
        <w:t xml:space="preserve">89% oczekuje rozwiązań </w:t>
      </w:r>
      <w:r w:rsidR="00890E8C">
        <w:rPr>
          <w:i/>
          <w:iCs/>
        </w:rPr>
        <w:lastRenderedPageBreak/>
        <w:t>zmniejszających zużycie wody</w:t>
      </w:r>
      <w:r w:rsidR="00DD3336" w:rsidRPr="005B56A6">
        <w:rPr>
          <w:i/>
          <w:iCs/>
        </w:rPr>
        <w:t xml:space="preserve">. </w:t>
      </w:r>
      <w:r w:rsidR="0094102C">
        <w:rPr>
          <w:i/>
          <w:iCs/>
        </w:rPr>
        <w:t>Zielone rozwiązania to nie tylko korzyść dla środowiska, ale też możliwość obniżenia kosztów eksploatacji</w:t>
      </w:r>
      <w:r w:rsidR="00DD3336" w:rsidRPr="005B56A6">
        <w:rPr>
          <w:i/>
          <w:iCs/>
        </w:rPr>
        <w:t>. Prąd zużywamy dziś nie tylko na ogrzewanie zimą, ale też na chłodzenie mieszkań latem, dlatego rozwiązania ograniczające przegrzewanie mają podwójne znaczenie. W naszych inwestycjach stawiamy na świadome planowanie przestrzeni</w:t>
      </w:r>
      <w:r w:rsidR="005B56A6" w:rsidRPr="005B56A6">
        <w:rPr>
          <w:i/>
          <w:iCs/>
        </w:rPr>
        <w:t xml:space="preserve"> i </w:t>
      </w:r>
      <w:r w:rsidR="00DD3336" w:rsidRPr="005B56A6">
        <w:rPr>
          <w:i/>
          <w:iCs/>
        </w:rPr>
        <w:t>zieleń</w:t>
      </w:r>
      <w:r w:rsidR="005B56A6" w:rsidRPr="005B56A6">
        <w:rPr>
          <w:i/>
          <w:iCs/>
        </w:rPr>
        <w:t xml:space="preserve"> </w:t>
      </w:r>
      <w:r w:rsidR="00DD3336" w:rsidRPr="005B56A6">
        <w:rPr>
          <w:i/>
          <w:iCs/>
        </w:rPr>
        <w:t>– bo tego realnie oczekują dzisiejsi mieszkańcy.</w:t>
      </w:r>
    </w:p>
    <w:p w14:paraId="4A3A2DA5" w14:textId="6A9FD853" w:rsidR="00BF499F" w:rsidRDefault="00321055" w:rsidP="00CE61AB">
      <w:pPr>
        <w:jc w:val="both"/>
        <w:rPr>
          <w:b/>
          <w:bCs/>
        </w:rPr>
      </w:pPr>
      <w:r>
        <w:rPr>
          <w:b/>
          <w:bCs/>
        </w:rPr>
        <w:t>Jak tworzyć miejsce do życia odporne na upał</w:t>
      </w:r>
    </w:p>
    <w:p w14:paraId="5BBF5748" w14:textId="563C11CC" w:rsidR="00BF499F" w:rsidRDefault="00CF068D" w:rsidP="00CE61AB">
      <w:pPr>
        <w:jc w:val="both"/>
      </w:pPr>
      <w:r>
        <w:t xml:space="preserve">Jak w </w:t>
      </w:r>
      <w:r w:rsidR="00717A95">
        <w:t>praktyce</w:t>
      </w:r>
      <w:r>
        <w:t xml:space="preserve"> powinny dziś wy</w:t>
      </w:r>
      <w:r w:rsidR="00717A95">
        <w:t>glądać komfortowe miejsca do życia</w:t>
      </w:r>
      <w:r w:rsidR="009A7665">
        <w:t xml:space="preserve">? </w:t>
      </w:r>
      <w:r w:rsidR="00BF499F" w:rsidRPr="00BF499F">
        <w:t xml:space="preserve">Budowa osiedli odpornych na skutki wysokich temperatur wymaga nowego podejścia do planowania – takiego, które łączy architekturę z myśleniem o środowisku i dobrostanie mieszkańców. </w:t>
      </w:r>
    </w:p>
    <w:p w14:paraId="756D5BFD" w14:textId="432BCE6A" w:rsidR="00BF499F" w:rsidRPr="000D1418" w:rsidRDefault="00927740" w:rsidP="00CE61AB">
      <w:pPr>
        <w:jc w:val="both"/>
        <w:rPr>
          <w:rFonts w:ascii="Aptos" w:hAnsi="Aptos"/>
          <w:i/>
          <w:iCs/>
          <w:color w:val="212121"/>
        </w:rPr>
      </w:pPr>
      <w:r w:rsidRPr="00DD3336">
        <w:t>–</w:t>
      </w:r>
      <w:r>
        <w:t xml:space="preserve"> </w:t>
      </w:r>
      <w:r w:rsidR="000D1418">
        <w:rPr>
          <w:rFonts w:ascii="Aptos" w:hAnsi="Aptos"/>
          <w:i/>
          <w:iCs/>
          <w:color w:val="212121"/>
        </w:rPr>
        <w:t>Projektowanie w Katowicach, mieście o tak silnym dziedzictwie przemysłowym, nakłada na nas szczególną odpowiedzialność za wprowadzanie zieleni do tkanki miejskiej. Doskonałym polem do takich działań stała się Pierwsza Dzielnica. Z jednej strony przylegająca do prestiżowej już Strefy Kultury, z drugiej zaś powstała na terenie będącym spuścizną po dawnej Kopalni „Katowice”. Równolegle z budową nowych, smukłych budynków, staramy się tworzyć pośród nich, nową zieloną przestrzeń ogólnodostępną. Taki układ, z wysokimi wieżami rozmieszczonymi w znacznej odległości od siebie, pozwolił nie tylko na odpowiednie przewietrzanie tej części miasta, ale przede wszystkim na oddanie terenu nie tylko ludziom, ale naturze. Kluczowym założeniem było umieszczenie wszystkich parkingów w podziemnych garażach skoncentrowanych bezpośrednio pod budynkami. Ten zabieg pozwolił uwolnić maksymalną powierzchnię terenu i przekształcić ją w powierzchnię biologicznie czynną, niewielki publiczny park. Dzięki temu dawna blizna po kopalni stanie się nowym, zielonym płucem w sercu śląskiej metropolii.</w:t>
      </w:r>
      <w:r w:rsidR="000D1418">
        <w:t xml:space="preserve"> – </w:t>
      </w:r>
      <w:r w:rsidR="00D90368">
        <w:t xml:space="preserve"> mówi </w:t>
      </w:r>
      <w:proofErr w:type="spellStart"/>
      <w:r w:rsidR="00D90368" w:rsidRPr="00866063">
        <w:rPr>
          <w:b/>
          <w:bCs/>
        </w:rPr>
        <w:t>Przemo</w:t>
      </w:r>
      <w:proofErr w:type="spellEnd"/>
      <w:r w:rsidR="00D90368" w:rsidRPr="00866063">
        <w:rPr>
          <w:b/>
          <w:bCs/>
        </w:rPr>
        <w:t xml:space="preserve"> Łukasik</w:t>
      </w:r>
      <w:r w:rsidR="00D90368">
        <w:t xml:space="preserve">, z pracowni </w:t>
      </w:r>
      <w:proofErr w:type="spellStart"/>
      <w:r w:rsidR="00D90368">
        <w:t>Medusa</w:t>
      </w:r>
      <w:proofErr w:type="spellEnd"/>
      <w:r w:rsidR="00D90368">
        <w:t xml:space="preserve"> </w:t>
      </w:r>
      <w:proofErr w:type="spellStart"/>
      <w:r w:rsidR="00D90368">
        <w:t>Group</w:t>
      </w:r>
      <w:proofErr w:type="spellEnd"/>
      <w:r w:rsidR="00D90368">
        <w:t xml:space="preserve">. </w:t>
      </w:r>
    </w:p>
    <w:p w14:paraId="5924EADA" w14:textId="3558BEF8" w:rsidR="00BF499F" w:rsidRDefault="00D90368" w:rsidP="00CE61AB">
      <w:pPr>
        <w:jc w:val="both"/>
      </w:pPr>
      <w:r>
        <w:t xml:space="preserve">Co ciekawe na terenie osiedla wyeliminowano ruch samochodów na ulicach wewnętrznych i zrezygnowano </w:t>
      </w:r>
      <w:r w:rsidR="2B050CCF">
        <w:t>z naziemnych</w:t>
      </w:r>
      <w:r w:rsidR="00BF499F">
        <w:t xml:space="preserve"> parkingów — samochody trafiły do garaży podziemnyc</w:t>
      </w:r>
      <w:r w:rsidR="00187D3F">
        <w:t xml:space="preserve">h. </w:t>
      </w:r>
      <w:r w:rsidR="005C6781">
        <w:t xml:space="preserve">Nie ciągną się one jednak, jak w wielu </w:t>
      </w:r>
      <w:r w:rsidR="004F7D3E">
        <w:t>inwestycjach</w:t>
      </w:r>
      <w:r w:rsidR="005C6781">
        <w:t xml:space="preserve">, pod całym terenem, lecz skupione są jedynie pod budynkami. </w:t>
      </w:r>
      <w:r w:rsidR="00187D3F">
        <w:t>Dzięki temu osiedle zyskało przestrzeń biologicznie czynną, na której można sadzić okazałe drzewa, które się ukorzenią i rozrosną</w:t>
      </w:r>
      <w:r w:rsidR="005C6781">
        <w:t>. Co więcej</w:t>
      </w:r>
      <w:r w:rsidR="00C55ADF">
        <w:t xml:space="preserve"> po opadach deszczu, wilgoć</w:t>
      </w:r>
      <w:r w:rsidR="00187D3F">
        <w:t> </w:t>
      </w:r>
      <w:r w:rsidR="00C55ADF">
        <w:t>pozostaje w strukturze gleby</w:t>
      </w:r>
      <w:r w:rsidR="009C0C7C">
        <w:t xml:space="preserve">. </w:t>
      </w:r>
      <w:r w:rsidR="00BF499F">
        <w:t xml:space="preserve">W projekcie znalazły się również rozwiązania sprzyjające ograniczeniu przegrzewania budynków: wysunięte balkony zapewniają cień latem, a zimą nie blokują dostępu światła słonecznego. </w:t>
      </w:r>
      <w:r w:rsidR="00A63826">
        <w:t xml:space="preserve"> To istotne, ponieważ kiedy używamy klimatyzacji, nasze mieszkania są chłodzone, ale </w:t>
      </w:r>
      <w:r w:rsidR="007F164E">
        <w:t xml:space="preserve">na zewnątrz emitowane jest ciepło. </w:t>
      </w:r>
      <w:r w:rsidR="00A142BB">
        <w:t xml:space="preserve">Projekt </w:t>
      </w:r>
      <w:r w:rsidR="004F7D3E">
        <w:t xml:space="preserve">Pierwszej Dzielnicy </w:t>
      </w:r>
      <w:r w:rsidR="00A142BB">
        <w:t xml:space="preserve">został doceniony </w:t>
      </w:r>
      <w:r w:rsidR="00FB51AE">
        <w:t xml:space="preserve">w międzynarodowym konkursie </w:t>
      </w:r>
      <w:proofErr w:type="spellStart"/>
      <w:r w:rsidR="00FB51AE">
        <w:t>European</w:t>
      </w:r>
      <w:proofErr w:type="spellEnd"/>
      <w:r w:rsidR="00FB51AE">
        <w:t xml:space="preserve"> </w:t>
      </w:r>
      <w:proofErr w:type="spellStart"/>
      <w:r w:rsidR="00FB51AE">
        <w:t>Property</w:t>
      </w:r>
      <w:proofErr w:type="spellEnd"/>
      <w:r w:rsidR="00FB51AE">
        <w:t xml:space="preserve"> </w:t>
      </w:r>
      <w:proofErr w:type="spellStart"/>
      <w:r w:rsidR="00FB51AE">
        <w:t>Awards</w:t>
      </w:r>
      <w:proofErr w:type="spellEnd"/>
      <w:r w:rsidR="00FB51AE">
        <w:t xml:space="preserve">, a w tym roku </w:t>
      </w:r>
      <w:r w:rsidR="00FB51AE">
        <w:lastRenderedPageBreak/>
        <w:t>znalazł się w finale plebiscytu</w:t>
      </w:r>
      <w:r w:rsidR="005055B3">
        <w:t xml:space="preserve"> „Zaprojektowane po ludzku”, organizowanego przez</w:t>
      </w:r>
      <w:r w:rsidR="00FB51AE">
        <w:t xml:space="preserve"> </w:t>
      </w:r>
      <w:proofErr w:type="spellStart"/>
      <w:r w:rsidR="00FB51AE">
        <w:t>Otodom</w:t>
      </w:r>
      <w:proofErr w:type="spellEnd"/>
      <w:r w:rsidR="00FB51AE">
        <w:t xml:space="preserve"> i </w:t>
      </w:r>
      <w:r w:rsidR="005055B3">
        <w:t xml:space="preserve">Gazetę Wyborczą. </w:t>
      </w:r>
    </w:p>
    <w:p w14:paraId="45D8D836" w14:textId="77777777" w:rsidR="00CE61AB" w:rsidRDefault="00CE61AB" w:rsidP="00CE61AB">
      <w:pPr>
        <w:jc w:val="both"/>
      </w:pPr>
    </w:p>
    <w:p w14:paraId="458F7B66" w14:textId="77777777" w:rsidR="00CE61AB" w:rsidRDefault="00CE61AB" w:rsidP="00CE61AB">
      <w:pPr>
        <w:jc w:val="both"/>
      </w:pPr>
    </w:p>
    <w:p w14:paraId="7162F5F0" w14:textId="77777777" w:rsidR="00CE61AB" w:rsidRDefault="00CE61AB" w:rsidP="00CE61AB">
      <w:pPr>
        <w:jc w:val="both"/>
      </w:pPr>
    </w:p>
    <w:p w14:paraId="2159838C" w14:textId="77777777" w:rsidR="00CE61AB" w:rsidRDefault="00CE61AB" w:rsidP="00CE61AB">
      <w:pPr>
        <w:jc w:val="both"/>
      </w:pPr>
    </w:p>
    <w:p w14:paraId="77DE0946" w14:textId="77777777" w:rsidR="00CE61AB" w:rsidRDefault="00CE61AB" w:rsidP="00CE61AB">
      <w:pPr>
        <w:jc w:val="both"/>
      </w:pPr>
    </w:p>
    <w:p w14:paraId="2EF3B803" w14:textId="77777777" w:rsidR="00CE61AB" w:rsidRDefault="00CE61AB" w:rsidP="00CE61AB">
      <w:pPr>
        <w:jc w:val="both"/>
      </w:pPr>
    </w:p>
    <w:p w14:paraId="1B637B3C" w14:textId="77777777" w:rsidR="00CE61AB" w:rsidRDefault="00CE61AB" w:rsidP="00CE61AB">
      <w:pPr>
        <w:jc w:val="both"/>
      </w:pPr>
    </w:p>
    <w:p w14:paraId="5E52A29E" w14:textId="77777777" w:rsidR="00B108C1" w:rsidRDefault="00B108C1" w:rsidP="00CE61AB">
      <w:pPr>
        <w:jc w:val="both"/>
      </w:pPr>
    </w:p>
    <w:p w14:paraId="61883658" w14:textId="77777777" w:rsidR="00CE61AB" w:rsidRDefault="00CE61AB" w:rsidP="00CE61AB">
      <w:pPr>
        <w:jc w:val="both"/>
      </w:pPr>
    </w:p>
    <w:p w14:paraId="27BED098" w14:textId="77777777" w:rsidR="00CE61AB" w:rsidRPr="00AB48A7" w:rsidRDefault="00CE61AB" w:rsidP="00CE61AB">
      <w:pPr>
        <w:jc w:val="both"/>
        <w:rPr>
          <w:sz w:val="20"/>
          <w:szCs w:val="20"/>
        </w:rPr>
      </w:pPr>
      <w:r w:rsidRPr="00AB48A7">
        <w:rPr>
          <w:sz w:val="20"/>
          <w:szCs w:val="20"/>
        </w:rPr>
        <w:t>*** </w:t>
      </w:r>
    </w:p>
    <w:p w14:paraId="62FC5D24" w14:textId="77777777" w:rsidR="00170475" w:rsidRPr="00170475" w:rsidRDefault="00170475" w:rsidP="00170475">
      <w:pPr>
        <w:jc w:val="both"/>
        <w:rPr>
          <w:sz w:val="20"/>
          <w:szCs w:val="20"/>
        </w:rPr>
      </w:pPr>
      <w:r w:rsidRPr="00170475">
        <w:rPr>
          <w:b/>
          <w:bCs/>
          <w:sz w:val="20"/>
          <w:szCs w:val="20"/>
        </w:rPr>
        <w:t xml:space="preserve">TDJ </w:t>
      </w:r>
      <w:proofErr w:type="spellStart"/>
      <w:r w:rsidRPr="00170475">
        <w:rPr>
          <w:b/>
          <w:bCs/>
          <w:sz w:val="20"/>
          <w:szCs w:val="20"/>
        </w:rPr>
        <w:t>Estate</w:t>
      </w:r>
      <w:proofErr w:type="spellEnd"/>
    </w:p>
    <w:p w14:paraId="068E1F26" w14:textId="77777777" w:rsidR="00170475" w:rsidRPr="00170475" w:rsidRDefault="00170475" w:rsidP="00170475">
      <w:pPr>
        <w:jc w:val="both"/>
        <w:rPr>
          <w:sz w:val="20"/>
          <w:szCs w:val="20"/>
        </w:rPr>
      </w:pPr>
      <w:r w:rsidRPr="00170475">
        <w:rPr>
          <w:sz w:val="20"/>
          <w:szCs w:val="20"/>
        </w:rPr>
        <w:t xml:space="preserve">TDJ </w:t>
      </w:r>
      <w:proofErr w:type="spellStart"/>
      <w:r w:rsidRPr="00170475">
        <w:rPr>
          <w:sz w:val="20"/>
          <w:szCs w:val="20"/>
        </w:rPr>
        <w:t>Estate</w:t>
      </w:r>
      <w:proofErr w:type="spellEnd"/>
      <w:r w:rsidRPr="00170475">
        <w:rPr>
          <w:sz w:val="20"/>
          <w:szCs w:val="20"/>
        </w:rPr>
        <w:t xml:space="preserve"> należy do TDJ – rodzinnej firmy inwestycyjnej prowadzącej działalność w wielu sektorach gospodarki. Angażując się w starannie dobrane przedsięwzięcia, zespół TDJ buduje ich długotrwałą wartość w obszarach Equity, </w:t>
      </w:r>
      <w:proofErr w:type="spellStart"/>
      <w:r w:rsidRPr="00170475">
        <w:rPr>
          <w:sz w:val="20"/>
          <w:szCs w:val="20"/>
        </w:rPr>
        <w:t>Estate</w:t>
      </w:r>
      <w:proofErr w:type="spellEnd"/>
      <w:r w:rsidRPr="00170475">
        <w:rPr>
          <w:sz w:val="20"/>
          <w:szCs w:val="20"/>
        </w:rPr>
        <w:t>, Finance i Foundation.</w:t>
      </w:r>
    </w:p>
    <w:p w14:paraId="154DABF4" w14:textId="77777777" w:rsidR="00170475" w:rsidRPr="00170475" w:rsidRDefault="00170475" w:rsidP="00170475">
      <w:pPr>
        <w:jc w:val="both"/>
        <w:rPr>
          <w:sz w:val="20"/>
          <w:szCs w:val="20"/>
        </w:rPr>
      </w:pPr>
      <w:r w:rsidRPr="00170475">
        <w:rPr>
          <w:sz w:val="20"/>
          <w:szCs w:val="20"/>
        </w:rPr>
        <w:t xml:space="preserve">TDJ </w:t>
      </w:r>
      <w:proofErr w:type="spellStart"/>
      <w:r w:rsidRPr="00170475">
        <w:rPr>
          <w:sz w:val="20"/>
          <w:szCs w:val="20"/>
        </w:rPr>
        <w:t>Estate</w:t>
      </w:r>
      <w:proofErr w:type="spellEnd"/>
      <w:r w:rsidRPr="00170475">
        <w:rPr>
          <w:sz w:val="20"/>
          <w:szCs w:val="20"/>
        </w:rPr>
        <w:t xml:space="preserve"> realizuje projekty mieszkaniowe, biurowe, handlowe, a także gruntowe (land developing). Portfolio inwestora obejmuje realizacje zlokalizowane w obrębie Górnośląsko-Zagłębiowskiej Metropolii, m.in. w Katowicach – Osiedle Franciszkańskie i Franciszkańskie Południe w dzielnicy Ligota, kompleks wielorodzinny Bardowskiego 1 na os. Witosa, Osiedle Hierowskiego w dzielnicy </w:t>
      </w:r>
      <w:proofErr w:type="spellStart"/>
      <w:r w:rsidRPr="00170475">
        <w:rPr>
          <w:sz w:val="20"/>
          <w:szCs w:val="20"/>
        </w:rPr>
        <w:t>Kostuchna</w:t>
      </w:r>
      <w:proofErr w:type="spellEnd"/>
      <w:r w:rsidRPr="00170475">
        <w:rPr>
          <w:sz w:val="20"/>
          <w:szCs w:val="20"/>
        </w:rPr>
        <w:t xml:space="preserve"> oraz Pierwszą Dzielnicę położoną w sąsiedztwie Strefy Kultury, a także Zieloną Dolinę w Zabrzu, Osiedle Wieszowa w powiecie tarnogórskim, Sarnie Osiedle w Bielsku-Białej oraz Osiedle </w:t>
      </w:r>
      <w:proofErr w:type="spellStart"/>
      <w:r w:rsidRPr="00170475">
        <w:rPr>
          <w:sz w:val="20"/>
          <w:szCs w:val="20"/>
        </w:rPr>
        <w:t>Imbramowskie</w:t>
      </w:r>
      <w:proofErr w:type="spellEnd"/>
      <w:r w:rsidRPr="00170475">
        <w:rPr>
          <w:sz w:val="20"/>
          <w:szCs w:val="20"/>
        </w:rPr>
        <w:t xml:space="preserve"> w Krakowie.</w:t>
      </w:r>
    </w:p>
    <w:p w14:paraId="5FCA7D7D" w14:textId="77777777" w:rsidR="00170475" w:rsidRPr="00170475" w:rsidRDefault="00170475" w:rsidP="00170475">
      <w:pPr>
        <w:jc w:val="both"/>
        <w:rPr>
          <w:sz w:val="20"/>
          <w:szCs w:val="20"/>
        </w:rPr>
      </w:pPr>
      <w:r w:rsidRPr="00170475">
        <w:rPr>
          <w:sz w:val="20"/>
          <w:szCs w:val="20"/>
        </w:rPr>
        <w:t xml:space="preserve">W sektorze komercyjnym flagową inwestycją spółki jest kompleks </w:t>
      </w:r>
      <w:proofErr w:type="gramStart"/>
      <w:r w:rsidRPr="00170475">
        <w:rPr>
          <w:sz w:val="20"/>
          <w:szCs w:val="20"/>
        </w:rPr>
        <w:t>biurowy .KTW</w:t>
      </w:r>
      <w:proofErr w:type="gramEnd"/>
      <w:r w:rsidRPr="00170475">
        <w:rPr>
          <w:sz w:val="20"/>
          <w:szCs w:val="20"/>
        </w:rPr>
        <w:t xml:space="preserve"> zlokalizowany w ścisłym centrum Katowic, w bezpośrednim sąsiedztwie katowickiego Spodka. Z kolei Fabryka Park w Katowicach to nowoczesny park handlowy, którego pierwszy etap TDJ </w:t>
      </w:r>
      <w:proofErr w:type="spellStart"/>
      <w:r w:rsidRPr="00170475">
        <w:rPr>
          <w:sz w:val="20"/>
          <w:szCs w:val="20"/>
        </w:rPr>
        <w:t>Estate</w:t>
      </w:r>
      <w:proofErr w:type="spellEnd"/>
      <w:r w:rsidRPr="00170475">
        <w:rPr>
          <w:sz w:val="20"/>
          <w:szCs w:val="20"/>
        </w:rPr>
        <w:t xml:space="preserve"> sprzedało w 2025 roku spółce </w:t>
      </w:r>
      <w:proofErr w:type="spellStart"/>
      <w:r w:rsidRPr="00170475">
        <w:rPr>
          <w:sz w:val="20"/>
          <w:szCs w:val="20"/>
        </w:rPr>
        <w:t>Newgate</w:t>
      </w:r>
      <w:proofErr w:type="spellEnd"/>
      <w:r w:rsidRPr="00170475">
        <w:rPr>
          <w:sz w:val="20"/>
          <w:szCs w:val="20"/>
        </w:rPr>
        <w:t xml:space="preserve"> Investment; obecnie firma realizuje drugi etap inwestycji.</w:t>
      </w:r>
    </w:p>
    <w:p w14:paraId="763D1A0B" w14:textId="77777777" w:rsidR="00170475" w:rsidRPr="00170475" w:rsidRDefault="00170475" w:rsidP="00170475">
      <w:pPr>
        <w:jc w:val="both"/>
        <w:rPr>
          <w:sz w:val="20"/>
          <w:szCs w:val="20"/>
        </w:rPr>
      </w:pPr>
      <w:r w:rsidRPr="00170475">
        <w:rPr>
          <w:sz w:val="20"/>
          <w:szCs w:val="20"/>
        </w:rPr>
        <w:t xml:space="preserve">W TDJ </w:t>
      </w:r>
      <w:proofErr w:type="spellStart"/>
      <w:r w:rsidRPr="00170475">
        <w:rPr>
          <w:sz w:val="20"/>
          <w:szCs w:val="20"/>
        </w:rPr>
        <w:t>Estate</w:t>
      </w:r>
      <w:proofErr w:type="spellEnd"/>
      <w:r w:rsidRPr="00170475">
        <w:rPr>
          <w:sz w:val="20"/>
          <w:szCs w:val="20"/>
        </w:rPr>
        <w:t xml:space="preserve"> tworzymy przestrzenie, które na każdym kroku pozytywnie wpływają na jakość życia ludzi. Bierzemy odpowiedzialność za miejsca, z którymi wiążemy się natywnie i długofalowo. Projektujemy zgodnie z zasadą </w:t>
      </w:r>
      <w:proofErr w:type="spellStart"/>
      <w:r w:rsidRPr="00170475">
        <w:rPr>
          <w:i/>
          <w:iCs/>
          <w:sz w:val="20"/>
          <w:szCs w:val="20"/>
        </w:rPr>
        <w:t>people</w:t>
      </w:r>
      <w:proofErr w:type="spellEnd"/>
      <w:r w:rsidRPr="00170475">
        <w:rPr>
          <w:i/>
          <w:iCs/>
          <w:sz w:val="20"/>
          <w:szCs w:val="20"/>
        </w:rPr>
        <w:t xml:space="preserve"> </w:t>
      </w:r>
      <w:proofErr w:type="spellStart"/>
      <w:r w:rsidRPr="00170475">
        <w:rPr>
          <w:i/>
          <w:iCs/>
          <w:sz w:val="20"/>
          <w:szCs w:val="20"/>
        </w:rPr>
        <w:t>first</w:t>
      </w:r>
      <w:proofErr w:type="spellEnd"/>
      <w:r w:rsidRPr="00170475">
        <w:rPr>
          <w:i/>
          <w:iCs/>
          <w:sz w:val="20"/>
          <w:szCs w:val="20"/>
        </w:rPr>
        <w:t xml:space="preserve"> design</w:t>
      </w:r>
      <w:r w:rsidRPr="00170475">
        <w:rPr>
          <w:sz w:val="20"/>
          <w:szCs w:val="20"/>
        </w:rPr>
        <w:t>.</w:t>
      </w:r>
    </w:p>
    <w:p w14:paraId="211D1EF2" w14:textId="77777777" w:rsidR="00170475" w:rsidRPr="00170475" w:rsidRDefault="00170475" w:rsidP="00170475">
      <w:pPr>
        <w:jc w:val="both"/>
        <w:rPr>
          <w:sz w:val="20"/>
          <w:szCs w:val="20"/>
        </w:rPr>
      </w:pPr>
      <w:r w:rsidRPr="00170475">
        <w:rPr>
          <w:sz w:val="20"/>
          <w:szCs w:val="20"/>
        </w:rPr>
        <w:t xml:space="preserve">Zapraszamy na </w:t>
      </w:r>
      <w:hyperlink r:id="rId7" w:tgtFrame="_new" w:history="1">
        <w:r w:rsidRPr="00170475">
          <w:rPr>
            <w:rStyle w:val="Hyperlink"/>
            <w:sz w:val="20"/>
            <w:szCs w:val="20"/>
          </w:rPr>
          <w:t>www.tdjestate.pl</w:t>
        </w:r>
      </w:hyperlink>
    </w:p>
    <w:p w14:paraId="1956887D" w14:textId="77777777" w:rsidR="00CE61AB" w:rsidRPr="00A142BB" w:rsidRDefault="00CE61AB" w:rsidP="00CE61AB">
      <w:pPr>
        <w:jc w:val="both"/>
      </w:pPr>
    </w:p>
    <w:p w14:paraId="585CD198" w14:textId="16EC6B1F" w:rsidR="00C03545" w:rsidRPr="00640CE8" w:rsidRDefault="00C03545" w:rsidP="00CE61AB">
      <w:pPr>
        <w:jc w:val="both"/>
      </w:pPr>
    </w:p>
    <w:sectPr w:rsidR="00C03545" w:rsidRPr="00640C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55CD" w14:textId="77777777" w:rsidR="00647792" w:rsidRDefault="00647792" w:rsidP="00BA6209">
      <w:pPr>
        <w:spacing w:after="0" w:line="240" w:lineRule="auto"/>
      </w:pPr>
      <w:r>
        <w:separator/>
      </w:r>
    </w:p>
  </w:endnote>
  <w:endnote w:type="continuationSeparator" w:id="0">
    <w:p w14:paraId="05E16609" w14:textId="77777777" w:rsidR="00647792" w:rsidRDefault="00647792" w:rsidP="00BA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77D4" w14:textId="77777777" w:rsidR="00647792" w:rsidRDefault="00647792" w:rsidP="00BA6209">
      <w:pPr>
        <w:spacing w:after="0" w:line="240" w:lineRule="auto"/>
      </w:pPr>
      <w:r>
        <w:separator/>
      </w:r>
    </w:p>
  </w:footnote>
  <w:footnote w:type="continuationSeparator" w:id="0">
    <w:p w14:paraId="2DC47A6A" w14:textId="77777777" w:rsidR="00647792" w:rsidRDefault="00647792" w:rsidP="00BA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826D" w14:textId="7F0DC677" w:rsidR="00CE61AB" w:rsidRDefault="00CE61AB">
    <w:pPr>
      <w:pStyle w:val="Header"/>
    </w:pPr>
    <w:r>
      <w:rPr>
        <w:noProof/>
      </w:rPr>
      <w:drawing>
        <wp:inline distT="0" distB="0" distL="0" distR="0" wp14:anchorId="435EFB94" wp14:editId="4E83C3E2">
          <wp:extent cx="1231315" cy="1089660"/>
          <wp:effectExtent l="0" t="0" r="0" b="0"/>
          <wp:docPr id="1337271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71155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BE9968" w14:textId="77777777" w:rsidR="00CE61AB" w:rsidRDefault="00CE6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83B"/>
    <w:multiLevelType w:val="hybridMultilevel"/>
    <w:tmpl w:val="0DF2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481"/>
    <w:multiLevelType w:val="hybridMultilevel"/>
    <w:tmpl w:val="B6F2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77D"/>
    <w:multiLevelType w:val="hybridMultilevel"/>
    <w:tmpl w:val="A04C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D1493"/>
    <w:multiLevelType w:val="hybridMultilevel"/>
    <w:tmpl w:val="F734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2398"/>
    <w:multiLevelType w:val="hybridMultilevel"/>
    <w:tmpl w:val="56E8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1A9D"/>
    <w:multiLevelType w:val="hybridMultilevel"/>
    <w:tmpl w:val="5A861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47DB3"/>
    <w:multiLevelType w:val="hybridMultilevel"/>
    <w:tmpl w:val="15525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27A72"/>
    <w:multiLevelType w:val="multilevel"/>
    <w:tmpl w:val="99D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469723">
    <w:abstractNumId w:val="2"/>
  </w:num>
  <w:num w:numId="2" w16cid:durableId="49304509">
    <w:abstractNumId w:val="4"/>
  </w:num>
  <w:num w:numId="3" w16cid:durableId="793790901">
    <w:abstractNumId w:val="6"/>
  </w:num>
  <w:num w:numId="4" w16cid:durableId="699428214">
    <w:abstractNumId w:val="1"/>
  </w:num>
  <w:num w:numId="5" w16cid:durableId="2061249650">
    <w:abstractNumId w:val="3"/>
  </w:num>
  <w:num w:numId="6" w16cid:durableId="634330634">
    <w:abstractNumId w:val="0"/>
  </w:num>
  <w:num w:numId="7" w16cid:durableId="1313098298">
    <w:abstractNumId w:val="5"/>
  </w:num>
  <w:num w:numId="8" w16cid:durableId="703286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03"/>
    <w:rsid w:val="000005D8"/>
    <w:rsid w:val="000052F5"/>
    <w:rsid w:val="0000656F"/>
    <w:rsid w:val="00007969"/>
    <w:rsid w:val="00010B3D"/>
    <w:rsid w:val="000170CC"/>
    <w:rsid w:val="000213EB"/>
    <w:rsid w:val="00032AAA"/>
    <w:rsid w:val="00035163"/>
    <w:rsid w:val="000624CA"/>
    <w:rsid w:val="00087427"/>
    <w:rsid w:val="000C2900"/>
    <w:rsid w:val="000C6608"/>
    <w:rsid w:val="000D1418"/>
    <w:rsid w:val="000E30B5"/>
    <w:rsid w:val="000F7A11"/>
    <w:rsid w:val="001021B0"/>
    <w:rsid w:val="00111EFC"/>
    <w:rsid w:val="00170475"/>
    <w:rsid w:val="0017788F"/>
    <w:rsid w:val="00181F98"/>
    <w:rsid w:val="00186D65"/>
    <w:rsid w:val="00187D3F"/>
    <w:rsid w:val="0019554F"/>
    <w:rsid w:val="001A441C"/>
    <w:rsid w:val="001B583E"/>
    <w:rsid w:val="001E66EB"/>
    <w:rsid w:val="00202AD5"/>
    <w:rsid w:val="00204BB0"/>
    <w:rsid w:val="002077AA"/>
    <w:rsid w:val="00223F02"/>
    <w:rsid w:val="00234618"/>
    <w:rsid w:val="0025205C"/>
    <w:rsid w:val="00253803"/>
    <w:rsid w:val="00272CB1"/>
    <w:rsid w:val="00280476"/>
    <w:rsid w:val="002A7A03"/>
    <w:rsid w:val="00306CF3"/>
    <w:rsid w:val="00311A58"/>
    <w:rsid w:val="00321055"/>
    <w:rsid w:val="00333984"/>
    <w:rsid w:val="003374E6"/>
    <w:rsid w:val="00346BF4"/>
    <w:rsid w:val="003502DD"/>
    <w:rsid w:val="0035239C"/>
    <w:rsid w:val="003B20E8"/>
    <w:rsid w:val="003C2C89"/>
    <w:rsid w:val="0040035F"/>
    <w:rsid w:val="00413795"/>
    <w:rsid w:val="004149BB"/>
    <w:rsid w:val="0044768E"/>
    <w:rsid w:val="0045745D"/>
    <w:rsid w:val="004630FA"/>
    <w:rsid w:val="00470C72"/>
    <w:rsid w:val="00487342"/>
    <w:rsid w:val="004B6FF5"/>
    <w:rsid w:val="004E0FDF"/>
    <w:rsid w:val="004F4E69"/>
    <w:rsid w:val="004F692F"/>
    <w:rsid w:val="004F7D3E"/>
    <w:rsid w:val="005055B3"/>
    <w:rsid w:val="00506F30"/>
    <w:rsid w:val="0053324E"/>
    <w:rsid w:val="00535A57"/>
    <w:rsid w:val="005369C1"/>
    <w:rsid w:val="00574833"/>
    <w:rsid w:val="005904C8"/>
    <w:rsid w:val="005A0FA3"/>
    <w:rsid w:val="005B56A6"/>
    <w:rsid w:val="005C6781"/>
    <w:rsid w:val="005F372D"/>
    <w:rsid w:val="005F591A"/>
    <w:rsid w:val="00606828"/>
    <w:rsid w:val="00640CE8"/>
    <w:rsid w:val="00647792"/>
    <w:rsid w:val="006730A4"/>
    <w:rsid w:val="00674A37"/>
    <w:rsid w:val="006976A1"/>
    <w:rsid w:val="006B34B8"/>
    <w:rsid w:val="006C4A95"/>
    <w:rsid w:val="006E149C"/>
    <w:rsid w:val="006F1E37"/>
    <w:rsid w:val="00711867"/>
    <w:rsid w:val="007166AF"/>
    <w:rsid w:val="00717A95"/>
    <w:rsid w:val="0075017E"/>
    <w:rsid w:val="00753BFD"/>
    <w:rsid w:val="00771FB2"/>
    <w:rsid w:val="00783E98"/>
    <w:rsid w:val="007917F5"/>
    <w:rsid w:val="007A2492"/>
    <w:rsid w:val="007B5D2E"/>
    <w:rsid w:val="007C1C93"/>
    <w:rsid w:val="007E544C"/>
    <w:rsid w:val="007F164E"/>
    <w:rsid w:val="008121D8"/>
    <w:rsid w:val="008371AA"/>
    <w:rsid w:val="0084244A"/>
    <w:rsid w:val="008544DA"/>
    <w:rsid w:val="00866063"/>
    <w:rsid w:val="00890E8C"/>
    <w:rsid w:val="008A0425"/>
    <w:rsid w:val="008A0696"/>
    <w:rsid w:val="00911762"/>
    <w:rsid w:val="00927740"/>
    <w:rsid w:val="00934C92"/>
    <w:rsid w:val="0093732A"/>
    <w:rsid w:val="00937A99"/>
    <w:rsid w:val="00937C4F"/>
    <w:rsid w:val="00937F24"/>
    <w:rsid w:val="0094102C"/>
    <w:rsid w:val="009568F5"/>
    <w:rsid w:val="0098586C"/>
    <w:rsid w:val="009A16F9"/>
    <w:rsid w:val="009A7665"/>
    <w:rsid w:val="009C0C7C"/>
    <w:rsid w:val="009C6AB9"/>
    <w:rsid w:val="009F0195"/>
    <w:rsid w:val="009F649F"/>
    <w:rsid w:val="00A13E83"/>
    <w:rsid w:val="00A142BB"/>
    <w:rsid w:val="00A15280"/>
    <w:rsid w:val="00A21479"/>
    <w:rsid w:val="00A42117"/>
    <w:rsid w:val="00A45CA9"/>
    <w:rsid w:val="00A6094C"/>
    <w:rsid w:val="00A63416"/>
    <w:rsid w:val="00A63826"/>
    <w:rsid w:val="00A64029"/>
    <w:rsid w:val="00A718D5"/>
    <w:rsid w:val="00AD2D2D"/>
    <w:rsid w:val="00AF6329"/>
    <w:rsid w:val="00B108C1"/>
    <w:rsid w:val="00B119BA"/>
    <w:rsid w:val="00B21D04"/>
    <w:rsid w:val="00B312A0"/>
    <w:rsid w:val="00B37AE2"/>
    <w:rsid w:val="00B37BAC"/>
    <w:rsid w:val="00B469C9"/>
    <w:rsid w:val="00B57C16"/>
    <w:rsid w:val="00B714BE"/>
    <w:rsid w:val="00B85980"/>
    <w:rsid w:val="00B87DAE"/>
    <w:rsid w:val="00BA6209"/>
    <w:rsid w:val="00BD2B4A"/>
    <w:rsid w:val="00BD485C"/>
    <w:rsid w:val="00BF499F"/>
    <w:rsid w:val="00C03545"/>
    <w:rsid w:val="00C12888"/>
    <w:rsid w:val="00C36F41"/>
    <w:rsid w:val="00C55ADF"/>
    <w:rsid w:val="00C800E5"/>
    <w:rsid w:val="00C839E7"/>
    <w:rsid w:val="00C8690E"/>
    <w:rsid w:val="00CA1413"/>
    <w:rsid w:val="00CC420C"/>
    <w:rsid w:val="00CD55C2"/>
    <w:rsid w:val="00CE4754"/>
    <w:rsid w:val="00CE61AB"/>
    <w:rsid w:val="00CF068D"/>
    <w:rsid w:val="00CF4F62"/>
    <w:rsid w:val="00CF7946"/>
    <w:rsid w:val="00D74C1D"/>
    <w:rsid w:val="00D90368"/>
    <w:rsid w:val="00DA00BB"/>
    <w:rsid w:val="00DA4D72"/>
    <w:rsid w:val="00DB4AD0"/>
    <w:rsid w:val="00DC5E94"/>
    <w:rsid w:val="00DD3336"/>
    <w:rsid w:val="00DE65B8"/>
    <w:rsid w:val="00E352FB"/>
    <w:rsid w:val="00E57E2F"/>
    <w:rsid w:val="00E65B02"/>
    <w:rsid w:val="00E977E4"/>
    <w:rsid w:val="00EA1F40"/>
    <w:rsid w:val="00EB7F84"/>
    <w:rsid w:val="00EE267F"/>
    <w:rsid w:val="00F05FD9"/>
    <w:rsid w:val="00F268D8"/>
    <w:rsid w:val="00F5316C"/>
    <w:rsid w:val="00F85385"/>
    <w:rsid w:val="00FB40E3"/>
    <w:rsid w:val="00FB51AE"/>
    <w:rsid w:val="00FC5161"/>
    <w:rsid w:val="00FD2A6B"/>
    <w:rsid w:val="00FD4265"/>
    <w:rsid w:val="2B050CCF"/>
    <w:rsid w:val="62EEB5B1"/>
    <w:rsid w:val="78D7DF3A"/>
    <w:rsid w:val="7F47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230EEA"/>
  <w15:chartTrackingRefBased/>
  <w15:docId w15:val="{07D9D8F5-6A17-48E3-9C38-27CECAD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8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FB40E3"/>
    <w:rPr>
      <w:b/>
      <w:bCs/>
    </w:rPr>
  </w:style>
  <w:style w:type="character" w:customStyle="1" w:styleId="relative">
    <w:name w:val="relative"/>
    <w:basedOn w:val="DefaultParagraphFont"/>
    <w:rsid w:val="007A2492"/>
  </w:style>
  <w:style w:type="character" w:customStyle="1" w:styleId="ms-1">
    <w:name w:val="ms-1"/>
    <w:basedOn w:val="DefaultParagraphFont"/>
    <w:rsid w:val="007A2492"/>
  </w:style>
  <w:style w:type="character" w:customStyle="1" w:styleId="max-w-full">
    <w:name w:val="max-w-full"/>
    <w:basedOn w:val="DefaultParagraphFont"/>
    <w:rsid w:val="007A2492"/>
  </w:style>
  <w:style w:type="character" w:customStyle="1" w:styleId="-me-1">
    <w:name w:val="-me-1"/>
    <w:basedOn w:val="DefaultParagraphFont"/>
    <w:rsid w:val="007A2492"/>
  </w:style>
  <w:style w:type="paragraph" w:styleId="EndnoteText">
    <w:name w:val="endnote text"/>
    <w:basedOn w:val="Normal"/>
    <w:link w:val="EndnoteTextChar"/>
    <w:uiPriority w:val="99"/>
    <w:semiHidden/>
    <w:unhideWhenUsed/>
    <w:rsid w:val="00BA6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620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C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AB"/>
  </w:style>
  <w:style w:type="paragraph" w:styleId="Footer">
    <w:name w:val="footer"/>
    <w:basedOn w:val="Normal"/>
    <w:link w:val="FooterChar"/>
    <w:uiPriority w:val="99"/>
    <w:unhideWhenUsed/>
    <w:rsid w:val="00CE6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1AB"/>
  </w:style>
  <w:style w:type="character" w:styleId="Hyperlink">
    <w:name w:val="Hyperlink"/>
    <w:basedOn w:val="DefaultParagraphFont"/>
    <w:uiPriority w:val="99"/>
    <w:unhideWhenUsed/>
    <w:rsid w:val="00CE61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1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djestat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Amelia Budzik</cp:lastModifiedBy>
  <cp:revision>7</cp:revision>
  <dcterms:created xsi:type="dcterms:W3CDTF">2025-08-05T13:58:00Z</dcterms:created>
  <dcterms:modified xsi:type="dcterms:W3CDTF">2025-08-26T09:20:00Z</dcterms:modified>
</cp:coreProperties>
</file>