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Calibri" w:cs="Calibri" w:eastAsia="Calibri" w:hAnsi="Calibri"/>
          <w:b w:val="1"/>
          <w:color w:val="002060"/>
          <w:sz w:val="32"/>
          <w:szCs w:val="32"/>
        </w:rPr>
      </w:pPr>
      <w:r w:rsidDel="00000000" w:rsidR="00000000" w:rsidRPr="00000000">
        <w:rPr>
          <w:rFonts w:ascii="Calibri" w:cs="Calibri" w:eastAsia="Calibri" w:hAnsi="Calibri"/>
          <w:b w:val="1"/>
          <w:color w:val="002060"/>
          <w:sz w:val="32"/>
          <w:szCs w:val="32"/>
          <w:rtl w:val="0"/>
        </w:rPr>
        <w:t xml:space="preserve">Kernenergie zal eind 2025 ongeveer 35% van alle elektriciteit die in België wordt verbruikt, voor haar rekening nemen</w:t>
      </w:r>
    </w:p>
    <w:p w:rsidR="00000000" w:rsidDel="00000000" w:rsidP="00000000" w:rsidRDefault="00000000" w:rsidRPr="00000000" w14:paraId="00000002">
      <w:pPr>
        <w:spacing w:after="240" w:before="240" w:lineRule="auto"/>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De sluiting van de reactoren van Doel 3 in september 2022, Tihange 2 in januari 2023 en meer recentelijk Doel 1 in februari 2025 hebben de bijdrage van dit type energie verminderd, dat nog steeds van cruciaal belang is voor het waarborgen van de energieonafhankelijkheid van het land.</w:t>
      </w:r>
    </w:p>
    <w:p w:rsidR="00000000" w:rsidDel="00000000" w:rsidP="00000000" w:rsidRDefault="00000000" w:rsidRPr="00000000" w14:paraId="00000003">
      <w:pPr>
        <w:spacing w:after="240" w:before="240" w:lineRule="auto"/>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Plannen om de levensduur van bestaande kerncentrales te verlengen en de inzet voor SMR's (Small Modular Reactors) in het kader van het EU-SMR-LFR-project vormen een keerpunt voor de sector, waardoor de vraag naar nucleaire installaties zal toenemen in een context van stijgend lokaal verbruik.</w:t>
      </w:r>
    </w:p>
    <w:p w:rsidR="00000000" w:rsidDel="00000000" w:rsidP="00000000" w:rsidRDefault="00000000" w:rsidRPr="00000000" w14:paraId="00000004">
      <w:pPr>
        <w:spacing w:after="240" w:before="240" w:lineRule="auto"/>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Sarens heeft recentelijk gewerkt aan verschillende projecten voor onderhouds- en revisietaken bij de elektriciteitscentrales van Diel en Tihange, met als doel hun bijdrage aan het elektriciteitsnet te waarborgen. Hiervoor heeft het bedrijf erkenning gekregen, zoals de KCD Contractor Award in april van dit jaar.</w:t>
      </w:r>
    </w:p>
    <w:p w:rsidR="00000000" w:rsidDel="00000000" w:rsidP="00000000" w:rsidRDefault="00000000" w:rsidRPr="00000000" w14:paraId="00000005">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Kernenergie blijft een van de belangrijkste pijlers van het Belgische energiesysteem, met een verwachte bijdrage van ongeveer 35 % van alle verbruikte elektriciteit en 40 % van de in het land geproduceerde energie. Bovendien blijft kernenergie een stabiliserende factor voor het elektriciteitsnet, gezien de intermitterende aard van hernieuwbare energiebronnen, die in 2024 29,8 % van de totale energiemix van België uitmaakt.</w:t>
      </w:r>
    </w:p>
    <w:p w:rsidR="00000000" w:rsidDel="00000000" w:rsidP="00000000" w:rsidRDefault="00000000" w:rsidRPr="00000000" w14:paraId="00000006">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Ondanks de sluiting van de reactor Doel 3 in september 2022, Tihange 2 in januari 2023 en Doel 1 in februari 2025, in overeenstemming met de in 2003 aangenomen wet inzake de geleidelijke afschaffing van kernenergie, hebben factoren zoals de wereldwijde energiecrisis van de afgelopen jaren, de groeiende vraag naar datacenters als gevolg van het verbruik van kunstmatige intelligentie in het land en het streven naar energieonafhankelijkheid voor het land (in 2024 importeerde België 10,6 TWh elektriciteit) hebben de regering ertoe gebracht deze regelgeving in te trekken en het gebruik van de modernste reactoren opnieuw in te voeren om ten minste 4 GWe van deze energie in de energiemix van het land te behouden.</w:t>
      </w:r>
    </w:p>
    <w:p w:rsidR="00000000" w:rsidDel="00000000" w:rsidP="00000000" w:rsidRDefault="00000000" w:rsidRPr="00000000" w14:paraId="00000007">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Het is te verwachten dat deze ontwikkeling, waarbij reactoren zoals Doel 4 en Tihange 3 hun levensduur tot 2034 hebben verlengd, ook aanzienlijke bijvul- en geplande onderhoudswerkzaamheden zal vereisen om een storingsvrije werking te garanderen. De bijdrage van specialisten zoals Sarens is dan ook essentieel om deze taken te vergemakkelijken. Sarens, wereldleider op het gebied van zware hijswerkzaamheden, speciaaltransport en kraanverhuur, heeft onlangs deelgenomen aan onderhouds- en revisiewerkzaamheden in de centrale van Doel, wat het bedrijf erkenning opleverde van de centrale zelf in de vorm van de KCD Contractor Awards (Kerncentrale Doel Contractor Awards) voor de hoge kwaliteit en efficiëntie van zijn werk.</w:t>
      </w:r>
    </w:p>
    <w:p w:rsidR="00000000" w:rsidDel="00000000" w:rsidP="00000000" w:rsidRDefault="00000000" w:rsidRPr="00000000" w14:paraId="00000008">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Dit is niet het enige werk dat Sarens in de nucleaire sector in de regio heeft uitgevoerd. In de jaren zestig en zeventig speelde Sarens een strategische rol bij de bouw van de kerncentrale van Doel en die van Tihange. Sindsdien heeft het meegewerkt aan onderhoudstaken en upgrades van de technologieën die in beide centrales worden gebruikt. Onlangs heeft Sarens zelfs deelgenomen aan onderhoudswerkzaamheden aan de reactor van Tihange 3, die in april van dit jaar van start </w:t>
      </w:r>
      <w:r w:rsidDel="00000000" w:rsidR="00000000" w:rsidRPr="00000000">
        <w:rPr>
          <w:rFonts w:ascii="Calibri" w:cs="Calibri" w:eastAsia="Calibri" w:hAnsi="Calibri"/>
          <w:color w:val="002060"/>
          <w:rtl w:val="0"/>
        </w:rPr>
        <w:t xml:space="preserve">gingen</w:t>
      </w:r>
      <w:r w:rsidDel="00000000" w:rsidR="00000000" w:rsidRPr="00000000">
        <w:rPr>
          <w:rFonts w:ascii="Calibri" w:cs="Calibri" w:eastAsia="Calibri" w:hAnsi="Calibri"/>
          <w:color w:val="002060"/>
          <w:rtl w:val="0"/>
        </w:rPr>
        <w:t xml:space="preserve"> en in juli werden afgerond, waarna de reactor weer in bedrijf werd genomen.</w:t>
      </w:r>
    </w:p>
    <w:p w:rsidR="00000000" w:rsidDel="00000000" w:rsidP="00000000" w:rsidRDefault="00000000" w:rsidRPr="00000000" w14:paraId="00000009">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Volgens Bart Minnen, Country Manager voor Sarens in België, "heeft ons bedrijf altijd sterk gepleit voor een energiemix die voldoende gediversifieerd is om aan de binnenlandse consumptie te voldoen, waardoor de afhankelijkheid van derde landen wordt verminderd. Maar om dit te realiseren, moeten onze elektriciteitscentrales grondige onderhoudsprogramma's ondergaan om uitval te voorkomen die het evenwicht van het net in gevaar brengt. Sarens, met zijn uitgebreide kennis van de infrastructuur van actieve elektriciteitscentrales en de ontwikkeling en installatie van SMR's, is de ideale strategische partner voor de Belgische en mondiale energiesector."</w:t>
      </w:r>
    </w:p>
    <w:p w:rsidR="00000000" w:rsidDel="00000000" w:rsidP="00000000" w:rsidRDefault="00000000" w:rsidRPr="00000000" w14:paraId="0000000A">
      <w:pPr>
        <w:spacing w:after="240" w:before="240"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heeft uitgebreide ervaring met de uitvoering van grote projecten op het gebied van kernenergie op het Europese continent, zoals deelname aan de bouw van de EPR-reactor in Flamanville (Frankrijk), het leveren van logistieke, engineering-, handling-, zware hijs- en speciale transportdiensten voor de nucleaire industrie. Sarens speelde ook een beslissende rol bij de bouw van Hinkley Point C in het Verenigd Koninkrijk, waar het de SGC-250-kraan, bekend als ‘Big Carl’, inzette, de grootste ter wereld in zijn soort, met een capaciteit van meer dan 5.000 ton, die werd gebruikt om zware geprefabriceerde onderdelen te hijsen, waaronder delen van de stalen bekleding van de reactor en de kolommen van de turbinegenerator.</w:t>
      </w:r>
    </w:p>
    <w:p w:rsidR="00000000" w:rsidDel="00000000" w:rsidP="00000000" w:rsidRDefault="00000000" w:rsidRPr="00000000" w14:paraId="0000000B">
      <w:pPr>
        <w:spacing w:after="240" w:before="240" w:line="259" w:lineRule="auto"/>
        <w:jc w:val="both"/>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Over Sarens</w:t>
      </w:r>
    </w:p>
    <w:p w:rsidR="00000000" w:rsidDel="00000000" w:rsidP="00000000" w:rsidRDefault="00000000" w:rsidRPr="00000000" w14:paraId="0000000C">
      <w:pPr>
        <w:spacing w:after="240" w:before="240" w:line="259"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is wereldwijd marktleider en referentie op het gebied van kraanverhuur, zware hijswerkzaamheden en speciaal transport. Met ultramoderne apparatuur, value engineering en een van 's werelds grootste voorraden kranen, transportvoertuigen en speciale hijsapparatuur biedt Sarens creatieve en intelligente oplossingen voor de huidige uitdagingen op het gebied van zware hijswerkzaamheden en speciaal transport.</w:t>
      </w:r>
    </w:p>
    <w:p w:rsidR="00000000" w:rsidDel="00000000" w:rsidP="00000000" w:rsidRDefault="00000000" w:rsidRPr="00000000" w14:paraId="0000000D">
      <w:pPr>
        <w:spacing w:after="240" w:before="240" w:line="259"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Met meer dan 100 vestigingen in 65 landen die zonder grenzen opereren, is Sarens een ideale partner voor kleine tot grootschalige projecten. Sarens heeft momenteel 4.543 hooggekwalificeerde professionals in dienst die klaar staan om te voorzien in de behoeften van elke klant wereldwijd en in alle marktsectoren. </w:t>
      </w:r>
      <w:hyperlink r:id="rId7">
        <w:r w:rsidDel="00000000" w:rsidR="00000000" w:rsidRPr="00000000">
          <w:rPr>
            <w:rFonts w:ascii="Calibri" w:cs="Calibri" w:eastAsia="Calibri" w:hAnsi="Calibri"/>
            <w:color w:val="0563c1"/>
            <w:u w:val="single"/>
            <w:rtl w:val="0"/>
          </w:rPr>
          <w:t xml:space="preserve">https://www.sarens.com/</w:t>
        </w:r>
      </w:hyperlink>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252"/>
        <w:tab w:val="right" w:leader="none" w:pos="8504"/>
      </w:tabs>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2485712" cy="581236"/>
          <wp:effectExtent b="0" l="0" r="0" t="0"/>
          <wp:docPr descr="Imagen que contiene imágenes prediseñadas&#10;&#10;Descripción generada automáticamente" id="2" name="image1.jpg"/>
          <a:graphic>
            <a:graphicData uri="http://schemas.openxmlformats.org/drawingml/2006/picture">
              <pic:pic>
                <pic:nvPicPr>
                  <pic:cNvPr descr="Imagen que contiene imágenes prediseñadas&#10;&#10;Descripción generada automáticamente" id="0" name="image1.jpg"/>
                  <pic:cNvPicPr preferRelativeResize="0"/>
                </pic:nvPicPr>
                <pic:blipFill>
                  <a:blip r:embed="rId1"/>
                  <a:srcRect b="0" l="0" r="0" t="0"/>
                  <a:stretch>
                    <a:fillRect/>
                  </a:stretch>
                </pic:blipFill>
                <pic:spPr>
                  <a:xfrm>
                    <a:off x="0" y="0"/>
                    <a:ext cx="2485712" cy="581236"/>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tabs>
        <w:tab w:val="center" w:leader="none" w:pos="4252"/>
        <w:tab w:val="right" w:leader="none" w:pos="8504"/>
      </w:tabs>
      <w:spacing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GhRKLjeK6WHMD2Nv5PpxSYc1A==">CgMxLjA4AHIhMTlVRlcybUVVbmd5Nno2eTVyVmpETFNYNHF5NzAxNjBV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