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23CF" w14:textId="77777777" w:rsidR="00E06BC9" w:rsidRDefault="00E06BC9" w:rsidP="00EC2099">
      <w:pPr>
        <w:pStyle w:val="ContactName"/>
      </w:pPr>
    </w:p>
    <w:p w14:paraId="7854C4C1" w14:textId="55F455D4" w:rsidR="00E06BC9" w:rsidRDefault="00F61448" w:rsidP="003E56B1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Aktywność inwestycyjna na rynku magazynowych mocno w górę</w:t>
      </w:r>
    </w:p>
    <w:p w14:paraId="1C9DD079" w14:textId="77777777" w:rsidR="005F6BFB" w:rsidRDefault="005F6BFB" w:rsidP="003E56B1">
      <w:pPr>
        <w:spacing w:line="240" w:lineRule="auto"/>
        <w:jc w:val="center"/>
        <w:rPr>
          <w:rStyle w:val="Pogrubienie"/>
          <w:sz w:val="20"/>
          <w:szCs w:val="20"/>
        </w:rPr>
      </w:pPr>
    </w:p>
    <w:p w14:paraId="53755B06" w14:textId="22A5F7CF" w:rsidR="00FF5979" w:rsidRDefault="00A850FA" w:rsidP="001E6338">
      <w:pPr>
        <w:spacing w:line="240" w:lineRule="auto"/>
        <w:jc w:val="both"/>
        <w:rPr>
          <w:b/>
          <w:bCs/>
          <w:sz w:val="20"/>
          <w:szCs w:val="20"/>
        </w:rPr>
      </w:pPr>
      <w:r w:rsidRPr="00A850FA">
        <w:rPr>
          <w:b/>
          <w:bCs/>
          <w:sz w:val="20"/>
          <w:szCs w:val="20"/>
        </w:rPr>
        <w:t xml:space="preserve">Międzynarodowa agencja doradcza Cushman &amp; Wakefield podsumowała aktywność inwestorów na rynku nieruchomości </w:t>
      </w:r>
      <w:r>
        <w:rPr>
          <w:b/>
          <w:bCs/>
          <w:sz w:val="20"/>
          <w:szCs w:val="20"/>
        </w:rPr>
        <w:t>magazynowych</w:t>
      </w:r>
      <w:r w:rsidRPr="00A850FA">
        <w:rPr>
          <w:b/>
          <w:bCs/>
          <w:sz w:val="20"/>
          <w:szCs w:val="20"/>
        </w:rPr>
        <w:t xml:space="preserve"> w </w:t>
      </w:r>
      <w:r w:rsidR="00F61448">
        <w:rPr>
          <w:b/>
          <w:bCs/>
          <w:sz w:val="20"/>
          <w:szCs w:val="20"/>
        </w:rPr>
        <w:t>pierwszej połowie 2025 roku</w:t>
      </w:r>
      <w:r w:rsidRPr="00A850F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W</w:t>
      </w:r>
      <w:r w:rsidR="00F61448">
        <w:rPr>
          <w:b/>
          <w:bCs/>
          <w:sz w:val="20"/>
          <w:szCs w:val="20"/>
        </w:rPr>
        <w:t xml:space="preserve">artość transakcji inwestycyjnych między styczniem a czerwcem wzrosła ponad dwukrotnie </w:t>
      </w:r>
      <w:r w:rsidR="009A5279">
        <w:rPr>
          <w:b/>
          <w:bCs/>
          <w:sz w:val="20"/>
          <w:szCs w:val="20"/>
        </w:rPr>
        <w:t xml:space="preserve">r/r </w:t>
      </w:r>
      <w:r w:rsidR="00F61448">
        <w:rPr>
          <w:b/>
          <w:bCs/>
          <w:sz w:val="20"/>
          <w:szCs w:val="20"/>
        </w:rPr>
        <w:t xml:space="preserve">i wyniosła 694 mln EUR. </w:t>
      </w:r>
      <w:r w:rsidR="00F75585">
        <w:rPr>
          <w:b/>
          <w:bCs/>
          <w:sz w:val="20"/>
          <w:szCs w:val="20"/>
        </w:rPr>
        <w:t>Wraz z wolumenem zwiększa się też gotowość inwestorów do finalizowania transakcji na duż</w:t>
      </w:r>
      <w:r w:rsidR="009A5279">
        <w:rPr>
          <w:b/>
          <w:bCs/>
          <w:sz w:val="20"/>
          <w:szCs w:val="20"/>
        </w:rPr>
        <w:t>ą</w:t>
      </w:r>
      <w:r w:rsidR="00F75585">
        <w:rPr>
          <w:b/>
          <w:bCs/>
          <w:sz w:val="20"/>
          <w:szCs w:val="20"/>
        </w:rPr>
        <w:t xml:space="preserve"> skalę, a to stanowi dobry prognostyk na kolejne kwartały. </w:t>
      </w:r>
    </w:p>
    <w:p w14:paraId="1BC240F3" w14:textId="7A477E7B" w:rsidR="00D12DFA" w:rsidRPr="00D12DFA" w:rsidRDefault="00F75585" w:rsidP="00D12DFA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Rosnące tempo inwestycji na rynku logistycznym </w:t>
      </w:r>
    </w:p>
    <w:p w14:paraId="2B3E4273" w14:textId="2F63FACB" w:rsidR="00887AB1" w:rsidRPr="00FF5979" w:rsidRDefault="00A876A9" w:rsidP="00887AB1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–</w:t>
      </w:r>
      <w:r w:rsidR="00887AB1">
        <w:rPr>
          <w:sz w:val="20"/>
          <w:szCs w:val="20"/>
        </w:rPr>
        <w:t xml:space="preserve"> </w:t>
      </w:r>
      <w:r w:rsidR="00F75585" w:rsidRPr="00887AB1">
        <w:rPr>
          <w:i/>
          <w:iCs/>
          <w:sz w:val="20"/>
          <w:szCs w:val="20"/>
        </w:rPr>
        <w:t xml:space="preserve">Aktywność kupujących i sprzedających na rynku magazynowym </w:t>
      </w:r>
      <w:r w:rsidR="00887AB1" w:rsidRPr="00887AB1">
        <w:rPr>
          <w:i/>
          <w:iCs/>
          <w:sz w:val="20"/>
          <w:szCs w:val="20"/>
        </w:rPr>
        <w:t>w pierwszym półroczu 2025</w:t>
      </w:r>
      <w:r w:rsidR="009A5279">
        <w:rPr>
          <w:i/>
          <w:iCs/>
          <w:sz w:val="20"/>
          <w:szCs w:val="20"/>
        </w:rPr>
        <w:t xml:space="preserve"> roku</w:t>
      </w:r>
      <w:r w:rsidR="00887AB1" w:rsidRPr="00887AB1">
        <w:rPr>
          <w:i/>
          <w:iCs/>
          <w:sz w:val="20"/>
          <w:szCs w:val="20"/>
        </w:rPr>
        <w:t xml:space="preserve"> mocno przyspieszyła, zamykając się wolumenem na poziomie 694 mln EUR. Tym samym wartość transakcji zanotowała ponad dwukrotny wzrost – w analogicznym okresie ubiegłego roku wyniosła ona bowiem 294 mln EUR. Punktem zwrotnym dla rynku był drugi kwartał, kiedy zarówno sfinalizowano umowę o wartości 250 mln EUR, jak i wzrosła liczba rozważanych transakcji o dużej skali</w:t>
      </w:r>
      <w:r w:rsidR="00887AB1">
        <w:rPr>
          <w:sz w:val="20"/>
          <w:szCs w:val="20"/>
        </w:rPr>
        <w:t xml:space="preserve"> – tłumaczy </w:t>
      </w:r>
      <w:r w:rsidR="00887AB1" w:rsidRPr="00FF5979">
        <w:rPr>
          <w:b/>
          <w:bCs/>
          <w:sz w:val="20"/>
          <w:szCs w:val="20"/>
        </w:rPr>
        <w:t xml:space="preserve">Robert Tomaszewski, </w:t>
      </w:r>
      <w:proofErr w:type="spellStart"/>
      <w:r w:rsidR="00625497" w:rsidRPr="00A36A72">
        <w:rPr>
          <w:b/>
          <w:bCs/>
          <w:sz w:val="20"/>
          <w:szCs w:val="20"/>
        </w:rPr>
        <w:t>Associate</w:t>
      </w:r>
      <w:proofErr w:type="spellEnd"/>
      <w:r w:rsidR="00887AB1" w:rsidRPr="00FF5979">
        <w:rPr>
          <w:b/>
          <w:bCs/>
          <w:sz w:val="20"/>
          <w:szCs w:val="20"/>
        </w:rPr>
        <w:t xml:space="preserve"> Capital </w:t>
      </w:r>
      <w:proofErr w:type="spellStart"/>
      <w:r w:rsidR="00887AB1" w:rsidRPr="00FF5979">
        <w:rPr>
          <w:b/>
          <w:bCs/>
          <w:sz w:val="20"/>
          <w:szCs w:val="20"/>
        </w:rPr>
        <w:t>Markets</w:t>
      </w:r>
      <w:proofErr w:type="spellEnd"/>
      <w:r w:rsidR="00887AB1" w:rsidRPr="00FF5979">
        <w:rPr>
          <w:b/>
          <w:bCs/>
          <w:sz w:val="20"/>
          <w:szCs w:val="20"/>
        </w:rPr>
        <w:t xml:space="preserve"> Poland, Cushman &amp; Wakefield.</w:t>
      </w:r>
    </w:p>
    <w:p w14:paraId="501BD709" w14:textId="41A9181C" w:rsidR="00A876A9" w:rsidRDefault="00D12DFA" w:rsidP="00D12DFA">
      <w:pPr>
        <w:spacing w:line="240" w:lineRule="auto"/>
        <w:jc w:val="both"/>
        <w:rPr>
          <w:b/>
          <w:bCs/>
          <w:sz w:val="20"/>
          <w:szCs w:val="20"/>
        </w:rPr>
      </w:pPr>
      <w:r w:rsidRPr="00D12DFA">
        <w:rPr>
          <w:sz w:val="20"/>
          <w:szCs w:val="20"/>
        </w:rPr>
        <w:t xml:space="preserve">Choć ogólny przepływ transakcji pozostaje selektywny, aktywność rynkowa wyraźnie rośnie, wspierana przez poprawę płynności oraz większą gotowość kupujących i sprzedających do angażowania się w większe transakcje. </w:t>
      </w:r>
    </w:p>
    <w:p w14:paraId="74F97250" w14:textId="77777777" w:rsidR="00A876A9" w:rsidRDefault="00A876A9" w:rsidP="00D12DFA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Stabilne stopy kapitalizacji mimo mieszanych sygnałów kompresji </w:t>
      </w:r>
    </w:p>
    <w:p w14:paraId="06C76909" w14:textId="77777777" w:rsidR="00A876A9" w:rsidRDefault="00D12DFA" w:rsidP="00D12DFA">
      <w:pPr>
        <w:spacing w:line="240" w:lineRule="auto"/>
        <w:jc w:val="both"/>
        <w:rPr>
          <w:sz w:val="20"/>
          <w:szCs w:val="20"/>
        </w:rPr>
      </w:pPr>
      <w:r w:rsidRPr="00D12DFA">
        <w:rPr>
          <w:sz w:val="20"/>
          <w:szCs w:val="20"/>
        </w:rPr>
        <w:t xml:space="preserve">Stopy kapitalizacji dla najlepszych nieruchomości logistycznych w Polsce pozostają zasadniczo stabilne, z poziomem referencyjnym około 6,25%, a większość transakcji zamykana jest w przedziale od 6,50% do nieco poniżej 7,00%. Choć stopy poniżej 6,00% są ostrożnie rozważane dla najwyższej klasy aktywów z długim okresem najmu (WAULT), nie potwierdzono jeszcze takich wycen w zamkniętych transakcjach. </w:t>
      </w:r>
    </w:p>
    <w:p w14:paraId="5BE6F05D" w14:textId="53DA9806" w:rsidR="00A876A9" w:rsidRDefault="00A876A9" w:rsidP="00D12DFA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–</w:t>
      </w:r>
      <w:r w:rsidR="006B51E5">
        <w:rPr>
          <w:sz w:val="20"/>
          <w:szCs w:val="20"/>
        </w:rPr>
        <w:t xml:space="preserve"> </w:t>
      </w:r>
      <w:r w:rsidR="00D12DFA" w:rsidRPr="00A36A72">
        <w:rPr>
          <w:i/>
          <w:iCs/>
          <w:sz w:val="20"/>
          <w:szCs w:val="20"/>
        </w:rPr>
        <w:t>O</w:t>
      </w:r>
      <w:r w:rsidR="00625497" w:rsidRPr="00A36A72">
        <w:rPr>
          <w:i/>
          <w:iCs/>
          <w:sz w:val="20"/>
          <w:szCs w:val="20"/>
        </w:rPr>
        <w:t>bniżone</w:t>
      </w:r>
      <w:r w:rsidR="00D12DFA" w:rsidRPr="00A36A72">
        <w:rPr>
          <w:i/>
          <w:iCs/>
          <w:sz w:val="20"/>
          <w:szCs w:val="20"/>
        </w:rPr>
        <w:t xml:space="preserve"> </w:t>
      </w:r>
      <w:r w:rsidR="00625497" w:rsidRPr="00A36A72">
        <w:rPr>
          <w:i/>
          <w:iCs/>
          <w:sz w:val="20"/>
          <w:szCs w:val="20"/>
        </w:rPr>
        <w:t xml:space="preserve">stopy </w:t>
      </w:r>
      <w:r w:rsidR="00D12DFA" w:rsidRPr="00A36A72">
        <w:rPr>
          <w:i/>
          <w:iCs/>
          <w:sz w:val="20"/>
          <w:szCs w:val="20"/>
        </w:rPr>
        <w:t>procentow</w:t>
      </w:r>
      <w:r w:rsidR="00625497" w:rsidRPr="00A36A72">
        <w:rPr>
          <w:i/>
          <w:iCs/>
          <w:sz w:val="20"/>
          <w:szCs w:val="20"/>
        </w:rPr>
        <w:t>e</w:t>
      </w:r>
      <w:r w:rsidR="00D12DFA" w:rsidRPr="00A36A72">
        <w:rPr>
          <w:i/>
          <w:iCs/>
          <w:sz w:val="20"/>
          <w:szCs w:val="20"/>
        </w:rPr>
        <w:t xml:space="preserve"> i popraw</w:t>
      </w:r>
      <w:r w:rsidR="00625497" w:rsidRPr="00A36A72">
        <w:rPr>
          <w:i/>
          <w:iCs/>
          <w:sz w:val="20"/>
          <w:szCs w:val="20"/>
        </w:rPr>
        <w:t>a</w:t>
      </w:r>
      <w:r w:rsidR="00D12DFA" w:rsidRPr="00A36A72">
        <w:rPr>
          <w:i/>
          <w:iCs/>
          <w:sz w:val="20"/>
          <w:szCs w:val="20"/>
        </w:rPr>
        <w:t xml:space="preserve"> warunków finansowania</w:t>
      </w:r>
      <w:r w:rsidR="00D12DFA" w:rsidRPr="00D12DFA">
        <w:rPr>
          <w:i/>
          <w:iCs/>
          <w:sz w:val="20"/>
          <w:szCs w:val="20"/>
        </w:rPr>
        <w:t xml:space="preserve"> mogą sprzyjać kompresji stóp</w:t>
      </w:r>
      <w:r w:rsidR="00D66BF9">
        <w:rPr>
          <w:i/>
          <w:iCs/>
          <w:sz w:val="20"/>
          <w:szCs w:val="20"/>
        </w:rPr>
        <w:t xml:space="preserve"> </w:t>
      </w:r>
      <w:r w:rsidR="00D66BF9" w:rsidRPr="00A36A72">
        <w:rPr>
          <w:i/>
          <w:iCs/>
          <w:sz w:val="20"/>
          <w:szCs w:val="20"/>
        </w:rPr>
        <w:t>transakcyjnych</w:t>
      </w:r>
      <w:r w:rsidR="00D12DFA" w:rsidRPr="00D12DFA">
        <w:rPr>
          <w:i/>
          <w:iCs/>
          <w:sz w:val="20"/>
          <w:szCs w:val="20"/>
        </w:rPr>
        <w:t>, jednak ich wpływ wydaje się ograniczany przez stosunkowo dużą podaż produktu na rynku. Ta dynamika nadal powstrzymuje presję na wzrost cen. Tymczasem aktywa typu „</w:t>
      </w:r>
      <w:proofErr w:type="spellStart"/>
      <w:r w:rsidR="00D12DFA" w:rsidRPr="00D12DFA">
        <w:rPr>
          <w:i/>
          <w:iCs/>
          <w:sz w:val="20"/>
          <w:szCs w:val="20"/>
        </w:rPr>
        <w:t>value-add</w:t>
      </w:r>
      <w:proofErr w:type="spellEnd"/>
      <w:r w:rsidR="00D12DFA" w:rsidRPr="00D12DFA">
        <w:rPr>
          <w:i/>
          <w:iCs/>
          <w:sz w:val="20"/>
          <w:szCs w:val="20"/>
        </w:rPr>
        <w:t>” z wyraźnym potencjałem wzrostu dochodów przyciągają największą konkurencję</w:t>
      </w:r>
      <w:r>
        <w:rPr>
          <w:sz w:val="20"/>
          <w:szCs w:val="20"/>
        </w:rPr>
        <w:t xml:space="preserve"> – tłumaczy </w:t>
      </w:r>
      <w:r w:rsidRPr="00FF5979">
        <w:rPr>
          <w:b/>
          <w:bCs/>
          <w:sz w:val="20"/>
          <w:szCs w:val="20"/>
        </w:rPr>
        <w:t>Robert Tomaszewski</w:t>
      </w:r>
      <w:r>
        <w:rPr>
          <w:b/>
          <w:bCs/>
          <w:sz w:val="20"/>
          <w:szCs w:val="20"/>
        </w:rPr>
        <w:t>.</w:t>
      </w:r>
    </w:p>
    <w:p w14:paraId="2CCE5BF7" w14:textId="77777777" w:rsidR="006B51E5" w:rsidRPr="006B51E5" w:rsidRDefault="006B51E5" w:rsidP="006B51E5">
      <w:pPr>
        <w:spacing w:line="240" w:lineRule="auto"/>
        <w:jc w:val="both"/>
        <w:rPr>
          <w:sz w:val="20"/>
          <w:szCs w:val="20"/>
        </w:rPr>
      </w:pPr>
      <w:r w:rsidRPr="006B51E5">
        <w:rPr>
          <w:sz w:val="20"/>
          <w:szCs w:val="20"/>
        </w:rPr>
        <w:t>–</w:t>
      </w:r>
      <w:r w:rsidRPr="006B51E5">
        <w:rPr>
          <w:b/>
          <w:bCs/>
          <w:sz w:val="20"/>
          <w:szCs w:val="20"/>
        </w:rPr>
        <w:t> </w:t>
      </w:r>
      <w:r w:rsidRPr="006B51E5">
        <w:rPr>
          <w:i/>
          <w:iCs/>
          <w:sz w:val="20"/>
          <w:szCs w:val="20"/>
        </w:rPr>
        <w:t>Obserwujemy, że wciąż zauważalna presja na zwiększanie zachęt ze strony właścicieli oraz wydłużony okres podejmowania decyzji przez najemców wpływają na obniżenie poziomu czynszów efektywnych. To z kolei przekłada się na bardziej konserwatywne podejście inwestorów. W obecnym otoczeniu rynkowym wartość aktywów jest w coraz większym stopniu wypadkową nie tylko lokalizacji i parametrów technicznych, ale również jakości najemców, długości WAULT czy poziomu absorpcji powierzchni w danym regionie</w:t>
      </w:r>
      <w:r w:rsidRPr="006B51E5">
        <w:rPr>
          <w:b/>
          <w:bCs/>
          <w:sz w:val="20"/>
          <w:szCs w:val="20"/>
        </w:rPr>
        <w:t> – </w:t>
      </w:r>
      <w:r w:rsidRPr="006B51E5">
        <w:rPr>
          <w:sz w:val="20"/>
          <w:szCs w:val="20"/>
        </w:rPr>
        <w:t>komentuje</w:t>
      </w:r>
      <w:r w:rsidRPr="006B51E5">
        <w:rPr>
          <w:b/>
          <w:bCs/>
          <w:sz w:val="20"/>
          <w:szCs w:val="20"/>
        </w:rPr>
        <w:t xml:space="preserve"> Marcin </w:t>
      </w:r>
      <w:proofErr w:type="spellStart"/>
      <w:r w:rsidRPr="006B51E5">
        <w:rPr>
          <w:b/>
          <w:bCs/>
          <w:sz w:val="20"/>
          <w:szCs w:val="20"/>
        </w:rPr>
        <w:t>Malmon</w:t>
      </w:r>
      <w:proofErr w:type="spellEnd"/>
      <w:r w:rsidRPr="006B51E5">
        <w:rPr>
          <w:b/>
          <w:bCs/>
          <w:sz w:val="20"/>
          <w:szCs w:val="20"/>
        </w:rPr>
        <w:t xml:space="preserve">, </w:t>
      </w:r>
      <w:proofErr w:type="spellStart"/>
      <w:r w:rsidRPr="006B51E5">
        <w:rPr>
          <w:b/>
          <w:bCs/>
          <w:sz w:val="20"/>
          <w:szCs w:val="20"/>
        </w:rPr>
        <w:t>Head</w:t>
      </w:r>
      <w:proofErr w:type="spellEnd"/>
      <w:r w:rsidRPr="006B51E5">
        <w:rPr>
          <w:b/>
          <w:bCs/>
          <w:sz w:val="20"/>
          <w:szCs w:val="20"/>
        </w:rPr>
        <w:t xml:space="preserve"> of </w:t>
      </w:r>
      <w:proofErr w:type="spellStart"/>
      <w:r w:rsidRPr="006B51E5">
        <w:rPr>
          <w:b/>
          <w:bCs/>
          <w:sz w:val="20"/>
          <w:szCs w:val="20"/>
        </w:rPr>
        <w:t>Valuations</w:t>
      </w:r>
      <w:proofErr w:type="spellEnd"/>
      <w:r w:rsidRPr="006B51E5">
        <w:rPr>
          <w:b/>
          <w:bCs/>
          <w:sz w:val="20"/>
          <w:szCs w:val="20"/>
        </w:rPr>
        <w:t xml:space="preserve"> &amp; </w:t>
      </w:r>
      <w:proofErr w:type="spellStart"/>
      <w:r w:rsidRPr="006B51E5">
        <w:rPr>
          <w:b/>
          <w:bCs/>
          <w:sz w:val="20"/>
          <w:szCs w:val="20"/>
        </w:rPr>
        <w:t>Advisory</w:t>
      </w:r>
      <w:proofErr w:type="spellEnd"/>
      <w:r w:rsidRPr="006B51E5">
        <w:rPr>
          <w:b/>
          <w:bCs/>
          <w:sz w:val="20"/>
          <w:szCs w:val="20"/>
        </w:rPr>
        <w:t>, Cushman &amp; Wakefield.</w:t>
      </w:r>
    </w:p>
    <w:p w14:paraId="7A971736" w14:textId="1CAD4D4A" w:rsidR="00D12DFA" w:rsidRPr="00D12DFA" w:rsidRDefault="00A876A9" w:rsidP="00D12DFA">
      <w:pPr>
        <w:spacing w:line="240" w:lineRule="auto"/>
        <w:jc w:val="both"/>
        <w:rPr>
          <w:sz w:val="20"/>
          <w:szCs w:val="20"/>
        </w:rPr>
      </w:pPr>
      <w:r w:rsidRPr="00913B05">
        <w:rPr>
          <w:sz w:val="20"/>
          <w:szCs w:val="20"/>
        </w:rPr>
        <w:t>Jak wskazuje analiza Cushman &amp; Wakefield, r</w:t>
      </w:r>
      <w:r w:rsidR="00D12DFA" w:rsidRPr="00D12DFA">
        <w:rPr>
          <w:sz w:val="20"/>
          <w:szCs w:val="20"/>
        </w:rPr>
        <w:t xml:space="preserve">ynki długu stopniowo się otwierają, a kredytodawcy wykazują odnowione zainteresowanie sektorem logistycznym – szczególnie w przypadku dobrze zlokalizowanych, dochodowych aktywów. </w:t>
      </w:r>
    </w:p>
    <w:p w14:paraId="6A69CAB2" w14:textId="7C93C9BC" w:rsidR="00913B05" w:rsidRDefault="00913B05" w:rsidP="00D12DFA">
      <w:pPr>
        <w:spacing w:line="240" w:lineRule="auto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 xml:space="preserve">– </w:t>
      </w:r>
      <w:r w:rsidR="00D12DFA" w:rsidRPr="00D12DFA">
        <w:rPr>
          <w:i/>
          <w:iCs/>
          <w:sz w:val="20"/>
          <w:szCs w:val="20"/>
        </w:rPr>
        <w:t xml:space="preserve">Apetyt banków na finansowanie sektora logistycznego pozostaje stabilny mimo </w:t>
      </w:r>
      <w:r w:rsidR="00A876A9" w:rsidRPr="00913B05">
        <w:rPr>
          <w:i/>
          <w:iCs/>
          <w:sz w:val="20"/>
          <w:szCs w:val="20"/>
        </w:rPr>
        <w:t xml:space="preserve">np. </w:t>
      </w:r>
      <w:r w:rsidR="00D12DFA" w:rsidRPr="00D12DFA">
        <w:rPr>
          <w:i/>
          <w:iCs/>
          <w:sz w:val="20"/>
          <w:szCs w:val="20"/>
        </w:rPr>
        <w:t xml:space="preserve">zmniejszenia </w:t>
      </w:r>
      <w:r w:rsidR="00A876A9" w:rsidRPr="00913B05">
        <w:rPr>
          <w:i/>
          <w:iCs/>
          <w:sz w:val="20"/>
          <w:szCs w:val="20"/>
        </w:rPr>
        <w:t>aktywności deweloperskiej</w:t>
      </w:r>
      <w:r w:rsidR="00D12DFA" w:rsidRPr="00D12DFA">
        <w:rPr>
          <w:i/>
          <w:iCs/>
          <w:sz w:val="20"/>
          <w:szCs w:val="20"/>
        </w:rPr>
        <w:t xml:space="preserve">. </w:t>
      </w:r>
      <w:r w:rsidR="00A876A9" w:rsidRPr="00913B05">
        <w:rPr>
          <w:i/>
          <w:iCs/>
          <w:sz w:val="20"/>
          <w:szCs w:val="20"/>
        </w:rPr>
        <w:t>Zauważamy też, że choć m</w:t>
      </w:r>
      <w:r w:rsidR="00A876A9" w:rsidRPr="00D12DFA">
        <w:rPr>
          <w:i/>
          <w:iCs/>
          <w:sz w:val="20"/>
          <w:szCs w:val="20"/>
        </w:rPr>
        <w:t xml:space="preserve">arże uległy poprawie, a </w:t>
      </w:r>
      <w:r w:rsidR="00A876A9" w:rsidRPr="00913B05">
        <w:rPr>
          <w:i/>
          <w:iCs/>
          <w:sz w:val="20"/>
          <w:szCs w:val="20"/>
        </w:rPr>
        <w:t xml:space="preserve">samo </w:t>
      </w:r>
      <w:r w:rsidR="00A876A9" w:rsidRPr="00D12DFA">
        <w:rPr>
          <w:i/>
          <w:iCs/>
          <w:sz w:val="20"/>
          <w:szCs w:val="20"/>
        </w:rPr>
        <w:t xml:space="preserve">finansowanie jest bardziej dostępne, </w:t>
      </w:r>
      <w:r w:rsidRPr="00913B05">
        <w:rPr>
          <w:i/>
          <w:iCs/>
          <w:sz w:val="20"/>
          <w:szCs w:val="20"/>
        </w:rPr>
        <w:t xml:space="preserve">to </w:t>
      </w:r>
      <w:r w:rsidR="00A876A9" w:rsidRPr="00D12DFA">
        <w:rPr>
          <w:i/>
          <w:iCs/>
          <w:sz w:val="20"/>
          <w:szCs w:val="20"/>
        </w:rPr>
        <w:t xml:space="preserve">standardy oceny ryzyka pozostają konserwatywne. </w:t>
      </w:r>
      <w:r w:rsidRPr="00913B05">
        <w:rPr>
          <w:i/>
          <w:iCs/>
          <w:sz w:val="20"/>
          <w:szCs w:val="20"/>
        </w:rPr>
        <w:t xml:space="preserve">Na rynku preferowane są podmioty </w:t>
      </w:r>
      <w:r w:rsidR="00A876A9" w:rsidRPr="00D12DFA">
        <w:rPr>
          <w:i/>
          <w:iCs/>
          <w:sz w:val="20"/>
          <w:szCs w:val="20"/>
        </w:rPr>
        <w:t xml:space="preserve">z </w:t>
      </w:r>
      <w:r w:rsidRPr="00913B05">
        <w:rPr>
          <w:i/>
          <w:iCs/>
          <w:sz w:val="20"/>
          <w:szCs w:val="20"/>
        </w:rPr>
        <w:t xml:space="preserve">dobrze udokumentowanym </w:t>
      </w:r>
      <w:r w:rsidR="00A876A9" w:rsidRPr="00D12DFA">
        <w:rPr>
          <w:i/>
          <w:iCs/>
          <w:sz w:val="20"/>
          <w:szCs w:val="20"/>
        </w:rPr>
        <w:t>doświadczeniem i jasnym planem biznesowym, podczas gdy spekulacyjne projekty deweloperskie pozostają trudniejsze do sfinansowania</w:t>
      </w:r>
      <w:r w:rsidRPr="00913B05">
        <w:rPr>
          <w:i/>
          <w:iCs/>
          <w:sz w:val="20"/>
          <w:szCs w:val="20"/>
        </w:rPr>
        <w:t xml:space="preserve">. </w:t>
      </w:r>
      <w:r w:rsidRPr="00D12DFA">
        <w:rPr>
          <w:i/>
          <w:iCs/>
          <w:sz w:val="20"/>
          <w:szCs w:val="20"/>
        </w:rPr>
        <w:t>Banki zwracają szczególną uwagę na lokalizację nieruchomości, strukturę najmu oraz parametry ESG. Największe zainteresowanie budzą nowe projekty realizowane w uznanych hubach logistycznych, wynajęte dla kilku lub kilkunastu renomowanych najemców. Finansowanie budynków</w:t>
      </w:r>
      <w:r>
        <w:rPr>
          <w:i/>
          <w:iCs/>
          <w:sz w:val="20"/>
          <w:szCs w:val="20"/>
        </w:rPr>
        <w:t xml:space="preserve"> </w:t>
      </w:r>
      <w:r w:rsidRPr="00D12DFA">
        <w:rPr>
          <w:i/>
          <w:iCs/>
          <w:sz w:val="20"/>
          <w:szCs w:val="20"/>
        </w:rPr>
        <w:t xml:space="preserve">z jednym najemcą jest możliwe, pod warunkiem zawarcia długoterminowej umowy najmu lub lokalizacji o wysokiej atrakcyjności i standardzie technicznym, umożliwiającym </w:t>
      </w:r>
      <w:r w:rsidR="00A36A72">
        <w:rPr>
          <w:i/>
          <w:iCs/>
          <w:sz w:val="20"/>
          <w:szCs w:val="20"/>
        </w:rPr>
        <w:t>ł</w:t>
      </w:r>
      <w:r w:rsidR="00A36A72" w:rsidRPr="00A36A72">
        <w:rPr>
          <w:i/>
          <w:iCs/>
          <w:sz w:val="20"/>
          <w:szCs w:val="20"/>
        </w:rPr>
        <w:t>atwe dostosowanie obiektu do potrzeb nowego najemcy</w:t>
      </w:r>
      <w:r w:rsidR="00A36A72">
        <w:rPr>
          <w:i/>
          <w:iCs/>
          <w:sz w:val="20"/>
          <w:szCs w:val="20"/>
        </w:rPr>
        <w:t xml:space="preserve"> </w:t>
      </w:r>
      <w:r w:rsidRPr="00913B05">
        <w:rPr>
          <w:sz w:val="20"/>
          <w:szCs w:val="20"/>
        </w:rPr>
        <w:t xml:space="preserve">– komentuje </w:t>
      </w:r>
      <w:r w:rsidRPr="00913B05">
        <w:rPr>
          <w:b/>
          <w:bCs/>
          <w:sz w:val="20"/>
          <w:szCs w:val="20"/>
        </w:rPr>
        <w:t xml:space="preserve">Mira Kantor-Pikus, Partner, Equity, </w:t>
      </w:r>
      <w:proofErr w:type="spellStart"/>
      <w:r w:rsidRPr="00913B05">
        <w:rPr>
          <w:b/>
          <w:bCs/>
          <w:sz w:val="20"/>
          <w:szCs w:val="20"/>
        </w:rPr>
        <w:t>Debt</w:t>
      </w:r>
      <w:proofErr w:type="spellEnd"/>
      <w:r w:rsidRPr="00913B05">
        <w:rPr>
          <w:b/>
          <w:bCs/>
          <w:sz w:val="20"/>
          <w:szCs w:val="20"/>
        </w:rPr>
        <w:t xml:space="preserve"> &amp; </w:t>
      </w:r>
      <w:proofErr w:type="spellStart"/>
      <w:r w:rsidRPr="00913B05">
        <w:rPr>
          <w:b/>
          <w:bCs/>
          <w:sz w:val="20"/>
          <w:szCs w:val="20"/>
        </w:rPr>
        <w:t>Alternative</w:t>
      </w:r>
      <w:proofErr w:type="spellEnd"/>
      <w:r w:rsidRPr="00913B05">
        <w:rPr>
          <w:b/>
          <w:bCs/>
          <w:sz w:val="20"/>
          <w:szCs w:val="20"/>
        </w:rPr>
        <w:t xml:space="preserve"> </w:t>
      </w:r>
      <w:proofErr w:type="spellStart"/>
      <w:r w:rsidRPr="00913B05">
        <w:rPr>
          <w:b/>
          <w:bCs/>
          <w:sz w:val="20"/>
          <w:szCs w:val="20"/>
        </w:rPr>
        <w:t>Investments</w:t>
      </w:r>
      <w:proofErr w:type="spellEnd"/>
      <w:r w:rsidRPr="00913B05">
        <w:rPr>
          <w:b/>
          <w:bCs/>
          <w:sz w:val="20"/>
          <w:szCs w:val="20"/>
        </w:rPr>
        <w:t xml:space="preserve">, Capital </w:t>
      </w:r>
      <w:proofErr w:type="spellStart"/>
      <w:r w:rsidRPr="00913B05">
        <w:rPr>
          <w:b/>
          <w:bCs/>
          <w:sz w:val="20"/>
          <w:szCs w:val="20"/>
        </w:rPr>
        <w:t>Markets</w:t>
      </w:r>
      <w:proofErr w:type="spellEnd"/>
      <w:r w:rsidRPr="00913B05">
        <w:rPr>
          <w:b/>
          <w:bCs/>
          <w:sz w:val="20"/>
          <w:szCs w:val="20"/>
        </w:rPr>
        <w:t>, Cushman &amp; Wakefield.  </w:t>
      </w:r>
    </w:p>
    <w:p w14:paraId="6E7617E8" w14:textId="7792105D" w:rsidR="00D12DFA" w:rsidRPr="00D12DFA" w:rsidRDefault="00D12DFA" w:rsidP="00D12DFA">
      <w:pPr>
        <w:spacing w:line="240" w:lineRule="auto"/>
        <w:jc w:val="both"/>
        <w:rPr>
          <w:i/>
          <w:iCs/>
          <w:sz w:val="20"/>
          <w:szCs w:val="20"/>
        </w:rPr>
      </w:pPr>
      <w:r w:rsidRPr="00D12DFA">
        <w:rPr>
          <w:sz w:val="20"/>
          <w:szCs w:val="20"/>
        </w:rPr>
        <w:t xml:space="preserve">Na rynku widoczny jest </w:t>
      </w:r>
      <w:r w:rsidR="00913B05">
        <w:rPr>
          <w:sz w:val="20"/>
          <w:szCs w:val="20"/>
        </w:rPr>
        <w:t xml:space="preserve">też </w:t>
      </w:r>
      <w:r w:rsidRPr="00D12DFA">
        <w:rPr>
          <w:sz w:val="20"/>
          <w:szCs w:val="20"/>
        </w:rPr>
        <w:t xml:space="preserve">wzrost popularności transakcji typu Sale and </w:t>
      </w:r>
      <w:proofErr w:type="spellStart"/>
      <w:r w:rsidRPr="00D12DFA">
        <w:rPr>
          <w:sz w:val="20"/>
          <w:szCs w:val="20"/>
        </w:rPr>
        <w:t>Leaseback</w:t>
      </w:r>
      <w:proofErr w:type="spellEnd"/>
      <w:r w:rsidRPr="00D12DFA">
        <w:rPr>
          <w:sz w:val="20"/>
          <w:szCs w:val="20"/>
        </w:rPr>
        <w:t xml:space="preserve"> (S&amp;LB), w ramach których właściciel sprzedaje nieruchomość inwestorowi i jednocześnie wynajmuje ją na długi okres. Pozwala to na uwolnienie kapitału na inne cele – zarówno inwestycyjne, jak i operacyjne.</w:t>
      </w:r>
    </w:p>
    <w:p w14:paraId="457B46D3" w14:textId="77777777" w:rsidR="005D02A0" w:rsidRPr="009A5279" w:rsidRDefault="005D02A0" w:rsidP="00E8250A">
      <w:pPr>
        <w:spacing w:line="240" w:lineRule="auto"/>
        <w:jc w:val="both"/>
        <w:rPr>
          <w:sz w:val="20"/>
          <w:szCs w:val="20"/>
        </w:rPr>
      </w:pPr>
    </w:p>
    <w:p w14:paraId="6C7874CE" w14:textId="77777777" w:rsidR="00AC62A5" w:rsidRPr="00AF11EE" w:rsidRDefault="00AC62A5" w:rsidP="00AC62A5">
      <w:pPr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en-US"/>
        </w:rPr>
        <w:t xml:space="preserve">- </w:t>
      </w:r>
      <w:r w:rsidRPr="004E5A7E">
        <w:rPr>
          <w:rFonts w:eastAsia="Times New Roman"/>
          <w:b/>
          <w:bCs/>
          <w:sz w:val="16"/>
          <w:szCs w:val="16"/>
          <w:lang w:eastAsia="en-US"/>
        </w:rPr>
        <w:t xml:space="preserve">KONIEC </w:t>
      </w:r>
      <w:r>
        <w:rPr>
          <w:rFonts w:eastAsia="Times New Roman"/>
          <w:b/>
          <w:bCs/>
          <w:sz w:val="16"/>
          <w:szCs w:val="16"/>
          <w:lang w:eastAsia="en-US"/>
        </w:rPr>
        <w:t>-</w:t>
      </w:r>
    </w:p>
    <w:p w14:paraId="330F4936" w14:textId="77777777" w:rsidR="00AC62A5" w:rsidRPr="00CE1EF8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</w:p>
    <w:p w14:paraId="482909FA" w14:textId="239325B7" w:rsidR="004B3D1A" w:rsidRPr="00AC62A5" w:rsidRDefault="004B3D1A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  <w:r w:rsidRPr="007E6CDD">
        <w:rPr>
          <w:b/>
          <w:sz w:val="16"/>
          <w:szCs w:val="16"/>
        </w:rPr>
        <w:t>O Cushman &amp; Wakefiel</w:t>
      </w:r>
      <w:r w:rsidR="00AC6DF8" w:rsidRPr="007E6CDD">
        <w:rPr>
          <w:b/>
          <w:sz w:val="16"/>
          <w:szCs w:val="16"/>
        </w:rPr>
        <w:t>d</w:t>
      </w:r>
    </w:p>
    <w:p w14:paraId="720766D1" w14:textId="77777777" w:rsidR="00AC62A5" w:rsidRPr="004170C0" w:rsidRDefault="00AC62A5" w:rsidP="00AC62A5">
      <w:pPr>
        <w:jc w:val="both"/>
        <w:rPr>
          <w:bCs/>
          <w:sz w:val="16"/>
          <w:szCs w:val="16"/>
        </w:rPr>
      </w:pPr>
      <w:r w:rsidRPr="004170C0">
        <w:rPr>
          <w:bCs/>
          <w:sz w:val="16"/>
          <w:szCs w:val="16"/>
        </w:rPr>
        <w:t>Cushman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proofErr w:type="spellStart"/>
      <w:r w:rsidRPr="004170C0">
        <w:rPr>
          <w:bCs/>
          <w:i/>
          <w:iCs/>
          <w:sz w:val="16"/>
          <w:szCs w:val="16"/>
        </w:rPr>
        <w:t>Better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never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settles</w:t>
      </w:r>
      <w:proofErr w:type="spellEnd"/>
      <w:r w:rsidRPr="004170C0">
        <w:rPr>
          <w:bCs/>
          <w:sz w:val="16"/>
          <w:szCs w:val="16"/>
        </w:rPr>
        <w:t> Cushman &amp; Wakefield otrzymuje wiele wyróżnień oraz nagród w konkursach branżowych i biznesowych. Dodatkowe informacje na stronie </w:t>
      </w:r>
      <w:hyperlink r:id="rId11" w:tgtFrame="_blank" w:tooltip="http://www.cushmanwakefield.com" w:history="1">
        <w:r w:rsidRPr="004170C0">
          <w:rPr>
            <w:rStyle w:val="Hipercze"/>
            <w:bCs/>
            <w:sz w:val="16"/>
            <w:szCs w:val="16"/>
          </w:rPr>
          <w:t>www.cushmanwakefield.com</w:t>
        </w:r>
      </w:hyperlink>
      <w:r w:rsidRPr="004170C0">
        <w:rPr>
          <w:bCs/>
          <w:sz w:val="16"/>
          <w:szCs w:val="16"/>
        </w:rPr>
        <w:t>.</w:t>
      </w:r>
    </w:p>
    <w:p w14:paraId="64A83442" w14:textId="5CD6CB13" w:rsidR="00BC2537" w:rsidRPr="00AF11EE" w:rsidRDefault="00BC2537" w:rsidP="0017521E">
      <w:pPr>
        <w:jc w:val="center"/>
        <w:rPr>
          <w:sz w:val="16"/>
          <w:szCs w:val="16"/>
        </w:rPr>
      </w:pPr>
    </w:p>
    <w:sectPr w:rsidR="00BC2537" w:rsidRPr="00AF11EE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2A8C" w14:textId="77777777" w:rsidR="00C5786C" w:rsidRDefault="00C5786C">
      <w:pPr>
        <w:spacing w:after="0" w:line="240" w:lineRule="auto"/>
      </w:pPr>
      <w:r>
        <w:separator/>
      </w:r>
    </w:p>
  </w:endnote>
  <w:endnote w:type="continuationSeparator" w:id="0">
    <w:p w14:paraId="5F2A2A92" w14:textId="77777777" w:rsidR="00C5786C" w:rsidRDefault="00C5786C">
      <w:pPr>
        <w:spacing w:after="0" w:line="240" w:lineRule="auto"/>
      </w:pPr>
      <w:r>
        <w:continuationSeparator/>
      </w:r>
    </w:p>
  </w:endnote>
  <w:endnote w:type="continuationNotice" w:id="1">
    <w:p w14:paraId="4FA17D19" w14:textId="77777777" w:rsidR="00C5786C" w:rsidRDefault="00C57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2AD926AD" w14:textId="77777777" w:rsidTr="00B924E3">
      <w:trPr>
        <w:trHeight w:val="630"/>
      </w:trPr>
      <w:tc>
        <w:tcPr>
          <w:tcW w:w="8931" w:type="dxa"/>
          <w:vAlign w:val="bottom"/>
        </w:tcPr>
        <w:p w14:paraId="46F11C58" w14:textId="77777777" w:rsidR="00025C81" w:rsidRPr="00C8277A" w:rsidRDefault="001A4929" w:rsidP="00B924E3">
          <w:pPr>
            <w:pStyle w:val="Nagwek2"/>
            <w:rPr>
              <w:rFonts w:ascii="Arial" w:hAnsi="Arial" w:cs="Arial"/>
              <w:color w:val="000000" w:themeColor="text1"/>
            </w:rPr>
          </w:pPr>
          <w:r w:rsidRPr="00C8277A">
            <w:rPr>
              <w:rFonts w:ascii="Arial" w:hAnsi="Arial" w:cs="Arial"/>
              <w:color w:val="000000" w:themeColor="text1"/>
            </w:rPr>
            <w:t>Dodatkowe informacje:</w:t>
          </w:r>
        </w:p>
      </w:tc>
    </w:tr>
    <w:tr w:rsidR="00C8277A" w:rsidRPr="006B51E5" w14:paraId="2F690183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3467"/>
            <w:gridCol w:w="3763"/>
            <w:gridCol w:w="2865"/>
          </w:tblGrid>
          <w:tr w:rsidR="00C8277A" w:rsidRPr="006B51E5" w14:paraId="73319B5E" w14:textId="77777777" w:rsidTr="00265F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ela-Siatka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C8277A" w:rsidRPr="006B51E5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9D1ABC" w:rsidRDefault="00AF11E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Karolina </w:t>
                      </w:r>
                      <w:proofErr w:type="spellStart"/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Samczyńska-Fiślak</w:t>
                      </w:r>
                      <w:proofErr w:type="spellEnd"/>
                    </w:p>
                    <w:p w14:paraId="03FB117E" w14:textId="77777777" w:rsidR="00025C81" w:rsidRPr="009D1ABC" w:rsidRDefault="001A4929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9D1ABC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51DAB7AF" w14:textId="799868C8" w:rsidR="00025C81" w:rsidRPr="009D1ABC" w:rsidRDefault="001A4929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9D1ABC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 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060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202</w:t>
                      </w:r>
                    </w:p>
                    <w:p w14:paraId="4EC59528" w14:textId="77777777" w:rsidR="00025C81" w:rsidRPr="009D1ABC" w:rsidRDefault="001A4929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e-mail: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B924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4ED69CDE" w14:textId="77777777" w:rsidR="00025C81" w:rsidRPr="007B2741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en-US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7B2741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</w:p>
              <w:p w14:paraId="0D0425FA" w14:textId="77777777" w:rsidR="00025C81" w:rsidRPr="007B2741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en-US"/>
                  </w:rPr>
                </w:pPr>
              </w:p>
            </w:tc>
          </w:tr>
        </w:tbl>
        <w:p w14:paraId="51226427" w14:textId="794B06BC" w:rsidR="00025C81" w:rsidRPr="007B2741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en-US"/>
            </w:rPr>
          </w:pPr>
        </w:p>
      </w:tc>
    </w:tr>
  </w:tbl>
  <w:p w14:paraId="6A6BD428" w14:textId="77777777" w:rsidR="00025C81" w:rsidRPr="007B2741" w:rsidRDefault="00025C81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6B51E5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ipercze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4694" w14:textId="77777777" w:rsidR="00C5786C" w:rsidRDefault="00C5786C">
      <w:pPr>
        <w:spacing w:after="0" w:line="240" w:lineRule="auto"/>
      </w:pPr>
      <w:r>
        <w:separator/>
      </w:r>
    </w:p>
  </w:footnote>
  <w:footnote w:type="continuationSeparator" w:id="0">
    <w:p w14:paraId="3AA74032" w14:textId="77777777" w:rsidR="00C5786C" w:rsidRDefault="00C5786C">
      <w:pPr>
        <w:spacing w:after="0" w:line="240" w:lineRule="auto"/>
      </w:pPr>
      <w:r>
        <w:continuationSeparator/>
      </w:r>
    </w:p>
  </w:footnote>
  <w:footnote w:type="continuationNotice" w:id="1">
    <w:p w14:paraId="3B5A8F55" w14:textId="77777777" w:rsidR="00C5786C" w:rsidRDefault="00C57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47D9"/>
    <w:multiLevelType w:val="hybridMultilevel"/>
    <w:tmpl w:val="0F6AB3AE"/>
    <w:lvl w:ilvl="0" w:tplc="A414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A8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E6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6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8A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6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E1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6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47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5947FE"/>
    <w:multiLevelType w:val="hybridMultilevel"/>
    <w:tmpl w:val="41ACBDF0"/>
    <w:lvl w:ilvl="0" w:tplc="25EC35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70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A81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E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5A01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A2B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8A9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25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CA4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57CBE"/>
    <w:multiLevelType w:val="hybridMultilevel"/>
    <w:tmpl w:val="D198449E"/>
    <w:lvl w:ilvl="0" w:tplc="B2866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24F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CE0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2C0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0CE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0E5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096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A0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ECC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8010623">
    <w:abstractNumId w:val="5"/>
  </w:num>
  <w:num w:numId="2" w16cid:durableId="462424341">
    <w:abstractNumId w:val="0"/>
  </w:num>
  <w:num w:numId="3" w16cid:durableId="337537318">
    <w:abstractNumId w:val="4"/>
  </w:num>
  <w:num w:numId="4" w16cid:durableId="254242283">
    <w:abstractNumId w:val="1"/>
  </w:num>
  <w:num w:numId="5" w16cid:durableId="1994943004">
    <w:abstractNumId w:val="3"/>
  </w:num>
  <w:num w:numId="6" w16cid:durableId="2044095569">
    <w:abstractNumId w:val="2"/>
  </w:num>
  <w:num w:numId="7" w16cid:durableId="633292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D62"/>
    <w:rsid w:val="00003988"/>
    <w:rsid w:val="00005FD5"/>
    <w:rsid w:val="00007243"/>
    <w:rsid w:val="00013F59"/>
    <w:rsid w:val="00014ACA"/>
    <w:rsid w:val="000203A2"/>
    <w:rsid w:val="00022B42"/>
    <w:rsid w:val="000251E4"/>
    <w:rsid w:val="00025C81"/>
    <w:rsid w:val="00027F57"/>
    <w:rsid w:val="0003245E"/>
    <w:rsid w:val="00040FBF"/>
    <w:rsid w:val="000423C3"/>
    <w:rsid w:val="00044C5B"/>
    <w:rsid w:val="000500D7"/>
    <w:rsid w:val="000666EE"/>
    <w:rsid w:val="00067FD0"/>
    <w:rsid w:val="000700E2"/>
    <w:rsid w:val="00071183"/>
    <w:rsid w:val="000720F5"/>
    <w:rsid w:val="0008371E"/>
    <w:rsid w:val="00083F43"/>
    <w:rsid w:val="00086C80"/>
    <w:rsid w:val="0008772D"/>
    <w:rsid w:val="00092316"/>
    <w:rsid w:val="00092C27"/>
    <w:rsid w:val="00093540"/>
    <w:rsid w:val="000944C7"/>
    <w:rsid w:val="00096548"/>
    <w:rsid w:val="000A21C0"/>
    <w:rsid w:val="000A3B4C"/>
    <w:rsid w:val="000A54A7"/>
    <w:rsid w:val="000A622E"/>
    <w:rsid w:val="000B142D"/>
    <w:rsid w:val="000B29DE"/>
    <w:rsid w:val="000B57CB"/>
    <w:rsid w:val="000C1D14"/>
    <w:rsid w:val="000C30AD"/>
    <w:rsid w:val="000C4210"/>
    <w:rsid w:val="000C4294"/>
    <w:rsid w:val="000C585C"/>
    <w:rsid w:val="000C67BD"/>
    <w:rsid w:val="000D4656"/>
    <w:rsid w:val="000D5790"/>
    <w:rsid w:val="000D5FED"/>
    <w:rsid w:val="000D68FD"/>
    <w:rsid w:val="000D7839"/>
    <w:rsid w:val="000E71D0"/>
    <w:rsid w:val="000F64E0"/>
    <w:rsid w:val="000F7964"/>
    <w:rsid w:val="001013AF"/>
    <w:rsid w:val="001062D1"/>
    <w:rsid w:val="00111135"/>
    <w:rsid w:val="001141D8"/>
    <w:rsid w:val="001146DD"/>
    <w:rsid w:val="00114AF8"/>
    <w:rsid w:val="0011559A"/>
    <w:rsid w:val="0012061A"/>
    <w:rsid w:val="00122668"/>
    <w:rsid w:val="00124F62"/>
    <w:rsid w:val="00132CB9"/>
    <w:rsid w:val="00132F07"/>
    <w:rsid w:val="00135B14"/>
    <w:rsid w:val="00140D8B"/>
    <w:rsid w:val="00144415"/>
    <w:rsid w:val="00150F3F"/>
    <w:rsid w:val="00156F9C"/>
    <w:rsid w:val="0016097B"/>
    <w:rsid w:val="001635F6"/>
    <w:rsid w:val="00166861"/>
    <w:rsid w:val="00166F71"/>
    <w:rsid w:val="00167436"/>
    <w:rsid w:val="00174EBA"/>
    <w:rsid w:val="0017521E"/>
    <w:rsid w:val="00175FB4"/>
    <w:rsid w:val="00182C4F"/>
    <w:rsid w:val="00182D8E"/>
    <w:rsid w:val="00185967"/>
    <w:rsid w:val="0018688B"/>
    <w:rsid w:val="00190FB3"/>
    <w:rsid w:val="001A4929"/>
    <w:rsid w:val="001A56D9"/>
    <w:rsid w:val="001B5F5F"/>
    <w:rsid w:val="001B5FA0"/>
    <w:rsid w:val="001B7AE3"/>
    <w:rsid w:val="001C001D"/>
    <w:rsid w:val="001C0591"/>
    <w:rsid w:val="001C58F1"/>
    <w:rsid w:val="001C7005"/>
    <w:rsid w:val="001D08F3"/>
    <w:rsid w:val="001D25D1"/>
    <w:rsid w:val="001D401E"/>
    <w:rsid w:val="001D7B3D"/>
    <w:rsid w:val="001E06FB"/>
    <w:rsid w:val="001E0E42"/>
    <w:rsid w:val="001E16E8"/>
    <w:rsid w:val="001E3C79"/>
    <w:rsid w:val="001E4E45"/>
    <w:rsid w:val="001E56EB"/>
    <w:rsid w:val="001E5B77"/>
    <w:rsid w:val="001E6338"/>
    <w:rsid w:val="001F406E"/>
    <w:rsid w:val="001F7E37"/>
    <w:rsid w:val="00204C52"/>
    <w:rsid w:val="00206001"/>
    <w:rsid w:val="002117B9"/>
    <w:rsid w:val="002125FE"/>
    <w:rsid w:val="00212E0F"/>
    <w:rsid w:val="00217BD6"/>
    <w:rsid w:val="002240B1"/>
    <w:rsid w:val="00236B04"/>
    <w:rsid w:val="002426EF"/>
    <w:rsid w:val="0024400C"/>
    <w:rsid w:val="00246115"/>
    <w:rsid w:val="00251824"/>
    <w:rsid w:val="00251F00"/>
    <w:rsid w:val="002520C3"/>
    <w:rsid w:val="00252DCA"/>
    <w:rsid w:val="00254581"/>
    <w:rsid w:val="00257ED3"/>
    <w:rsid w:val="0026004F"/>
    <w:rsid w:val="00260C7D"/>
    <w:rsid w:val="00261AA0"/>
    <w:rsid w:val="00261FD7"/>
    <w:rsid w:val="00265F1D"/>
    <w:rsid w:val="0026615D"/>
    <w:rsid w:val="00266AA6"/>
    <w:rsid w:val="002730A2"/>
    <w:rsid w:val="00275982"/>
    <w:rsid w:val="00275F1E"/>
    <w:rsid w:val="00275FDC"/>
    <w:rsid w:val="0028046B"/>
    <w:rsid w:val="00281BFB"/>
    <w:rsid w:val="0028223D"/>
    <w:rsid w:val="00282FB7"/>
    <w:rsid w:val="00284E92"/>
    <w:rsid w:val="00285282"/>
    <w:rsid w:val="00286DC7"/>
    <w:rsid w:val="00293086"/>
    <w:rsid w:val="00293E07"/>
    <w:rsid w:val="00293ED2"/>
    <w:rsid w:val="002958EB"/>
    <w:rsid w:val="0029652C"/>
    <w:rsid w:val="002967FF"/>
    <w:rsid w:val="002A197E"/>
    <w:rsid w:val="002A37FC"/>
    <w:rsid w:val="002A43B7"/>
    <w:rsid w:val="002B381B"/>
    <w:rsid w:val="002B461F"/>
    <w:rsid w:val="002B4716"/>
    <w:rsid w:val="002B4A31"/>
    <w:rsid w:val="002B6B39"/>
    <w:rsid w:val="002C06D5"/>
    <w:rsid w:val="002C1DFF"/>
    <w:rsid w:val="002C480C"/>
    <w:rsid w:val="002C5887"/>
    <w:rsid w:val="002D0B42"/>
    <w:rsid w:val="002D4EC6"/>
    <w:rsid w:val="002D5829"/>
    <w:rsid w:val="002D7779"/>
    <w:rsid w:val="002E0BB0"/>
    <w:rsid w:val="002E1729"/>
    <w:rsid w:val="002E2D30"/>
    <w:rsid w:val="002E6FC9"/>
    <w:rsid w:val="002E7D77"/>
    <w:rsid w:val="002E7F16"/>
    <w:rsid w:val="002F0666"/>
    <w:rsid w:val="002F08E1"/>
    <w:rsid w:val="002F0F48"/>
    <w:rsid w:val="002F447F"/>
    <w:rsid w:val="00300BC4"/>
    <w:rsid w:val="003018B3"/>
    <w:rsid w:val="00302886"/>
    <w:rsid w:val="00306BFA"/>
    <w:rsid w:val="00310D2A"/>
    <w:rsid w:val="003154DC"/>
    <w:rsid w:val="0032157F"/>
    <w:rsid w:val="0032389F"/>
    <w:rsid w:val="0034418D"/>
    <w:rsid w:val="00345D04"/>
    <w:rsid w:val="00345D09"/>
    <w:rsid w:val="0035396B"/>
    <w:rsid w:val="00364117"/>
    <w:rsid w:val="00371AFD"/>
    <w:rsid w:val="00374DB8"/>
    <w:rsid w:val="00385CB8"/>
    <w:rsid w:val="0038604F"/>
    <w:rsid w:val="00387CAF"/>
    <w:rsid w:val="003936DF"/>
    <w:rsid w:val="003A24D4"/>
    <w:rsid w:val="003A693E"/>
    <w:rsid w:val="003A70E2"/>
    <w:rsid w:val="003B2048"/>
    <w:rsid w:val="003B3560"/>
    <w:rsid w:val="003B78C7"/>
    <w:rsid w:val="003C1BBA"/>
    <w:rsid w:val="003C1E58"/>
    <w:rsid w:val="003C360C"/>
    <w:rsid w:val="003C5B29"/>
    <w:rsid w:val="003C791A"/>
    <w:rsid w:val="003E003A"/>
    <w:rsid w:val="003E0201"/>
    <w:rsid w:val="003E3F99"/>
    <w:rsid w:val="003E406F"/>
    <w:rsid w:val="003E56B1"/>
    <w:rsid w:val="003F4AAD"/>
    <w:rsid w:val="003F60EA"/>
    <w:rsid w:val="004001BC"/>
    <w:rsid w:val="00403626"/>
    <w:rsid w:val="00410D62"/>
    <w:rsid w:val="004112C0"/>
    <w:rsid w:val="0042183C"/>
    <w:rsid w:val="0042255F"/>
    <w:rsid w:val="004329C4"/>
    <w:rsid w:val="00432ACA"/>
    <w:rsid w:val="00433DA4"/>
    <w:rsid w:val="004375A1"/>
    <w:rsid w:val="0043767F"/>
    <w:rsid w:val="00440D65"/>
    <w:rsid w:val="00441803"/>
    <w:rsid w:val="00441C82"/>
    <w:rsid w:val="00443EFE"/>
    <w:rsid w:val="0044480B"/>
    <w:rsid w:val="00450389"/>
    <w:rsid w:val="00451C25"/>
    <w:rsid w:val="00452FD6"/>
    <w:rsid w:val="00454311"/>
    <w:rsid w:val="00457545"/>
    <w:rsid w:val="00461B2F"/>
    <w:rsid w:val="00462B62"/>
    <w:rsid w:val="00464434"/>
    <w:rsid w:val="00464B72"/>
    <w:rsid w:val="00466300"/>
    <w:rsid w:val="00466ABC"/>
    <w:rsid w:val="004678CA"/>
    <w:rsid w:val="00471A22"/>
    <w:rsid w:val="00486394"/>
    <w:rsid w:val="00487560"/>
    <w:rsid w:val="004900F3"/>
    <w:rsid w:val="00490581"/>
    <w:rsid w:val="00491EA1"/>
    <w:rsid w:val="0049367E"/>
    <w:rsid w:val="00497908"/>
    <w:rsid w:val="004A01E8"/>
    <w:rsid w:val="004A5B66"/>
    <w:rsid w:val="004B0979"/>
    <w:rsid w:val="004B3D1A"/>
    <w:rsid w:val="004B5A43"/>
    <w:rsid w:val="004C2C37"/>
    <w:rsid w:val="004D07CC"/>
    <w:rsid w:val="004D14A3"/>
    <w:rsid w:val="004D16D5"/>
    <w:rsid w:val="004D62D2"/>
    <w:rsid w:val="004D68AD"/>
    <w:rsid w:val="004D6A3C"/>
    <w:rsid w:val="004D7C3B"/>
    <w:rsid w:val="004E0237"/>
    <w:rsid w:val="004E0A16"/>
    <w:rsid w:val="004E46E9"/>
    <w:rsid w:val="004E5A7E"/>
    <w:rsid w:val="004E7185"/>
    <w:rsid w:val="004F64D6"/>
    <w:rsid w:val="00501170"/>
    <w:rsid w:val="00502E72"/>
    <w:rsid w:val="0050412F"/>
    <w:rsid w:val="00512047"/>
    <w:rsid w:val="00512ADF"/>
    <w:rsid w:val="0051329D"/>
    <w:rsid w:val="005136A0"/>
    <w:rsid w:val="00513D4D"/>
    <w:rsid w:val="0051644B"/>
    <w:rsid w:val="00517B59"/>
    <w:rsid w:val="00520076"/>
    <w:rsid w:val="005229AB"/>
    <w:rsid w:val="00531CF4"/>
    <w:rsid w:val="00531D93"/>
    <w:rsid w:val="005323BE"/>
    <w:rsid w:val="005352C0"/>
    <w:rsid w:val="005369D7"/>
    <w:rsid w:val="00537747"/>
    <w:rsid w:val="00541459"/>
    <w:rsid w:val="00541512"/>
    <w:rsid w:val="00541D5B"/>
    <w:rsid w:val="00552477"/>
    <w:rsid w:val="00552FCF"/>
    <w:rsid w:val="00553AB6"/>
    <w:rsid w:val="0055434C"/>
    <w:rsid w:val="00561829"/>
    <w:rsid w:val="005631C3"/>
    <w:rsid w:val="00566AB7"/>
    <w:rsid w:val="005768B3"/>
    <w:rsid w:val="00577005"/>
    <w:rsid w:val="00580984"/>
    <w:rsid w:val="00580A25"/>
    <w:rsid w:val="0058421C"/>
    <w:rsid w:val="00585A4F"/>
    <w:rsid w:val="005860D9"/>
    <w:rsid w:val="005878DD"/>
    <w:rsid w:val="00591DBB"/>
    <w:rsid w:val="00592299"/>
    <w:rsid w:val="005A3A4C"/>
    <w:rsid w:val="005A4560"/>
    <w:rsid w:val="005B4D77"/>
    <w:rsid w:val="005C01D2"/>
    <w:rsid w:val="005C2765"/>
    <w:rsid w:val="005C3C3C"/>
    <w:rsid w:val="005C4360"/>
    <w:rsid w:val="005C6332"/>
    <w:rsid w:val="005C6C24"/>
    <w:rsid w:val="005C72CD"/>
    <w:rsid w:val="005C7D27"/>
    <w:rsid w:val="005D02A0"/>
    <w:rsid w:val="005D05E5"/>
    <w:rsid w:val="005D06CC"/>
    <w:rsid w:val="005D3204"/>
    <w:rsid w:val="005D4DD1"/>
    <w:rsid w:val="005D5A9A"/>
    <w:rsid w:val="005D5EEB"/>
    <w:rsid w:val="005E0A93"/>
    <w:rsid w:val="005E2C9B"/>
    <w:rsid w:val="005E2EC7"/>
    <w:rsid w:val="005E36C1"/>
    <w:rsid w:val="005E49BA"/>
    <w:rsid w:val="005F6BFB"/>
    <w:rsid w:val="005F709A"/>
    <w:rsid w:val="00601B86"/>
    <w:rsid w:val="006020AF"/>
    <w:rsid w:val="00603782"/>
    <w:rsid w:val="00606E7D"/>
    <w:rsid w:val="00606F29"/>
    <w:rsid w:val="00607408"/>
    <w:rsid w:val="00612A79"/>
    <w:rsid w:val="0061537A"/>
    <w:rsid w:val="00617929"/>
    <w:rsid w:val="00624E73"/>
    <w:rsid w:val="00625117"/>
    <w:rsid w:val="00625497"/>
    <w:rsid w:val="00625DBC"/>
    <w:rsid w:val="00626706"/>
    <w:rsid w:val="00627181"/>
    <w:rsid w:val="00627867"/>
    <w:rsid w:val="00634853"/>
    <w:rsid w:val="00634A82"/>
    <w:rsid w:val="00635784"/>
    <w:rsid w:val="006367C0"/>
    <w:rsid w:val="00647BF0"/>
    <w:rsid w:val="00654588"/>
    <w:rsid w:val="00655594"/>
    <w:rsid w:val="00657885"/>
    <w:rsid w:val="00661892"/>
    <w:rsid w:val="00662194"/>
    <w:rsid w:val="0066343D"/>
    <w:rsid w:val="00670CB1"/>
    <w:rsid w:val="006714A0"/>
    <w:rsid w:val="00674476"/>
    <w:rsid w:val="0067480E"/>
    <w:rsid w:val="00674AAF"/>
    <w:rsid w:val="00675B1B"/>
    <w:rsid w:val="0067607F"/>
    <w:rsid w:val="006807CC"/>
    <w:rsid w:val="00681940"/>
    <w:rsid w:val="00682152"/>
    <w:rsid w:val="00682F1F"/>
    <w:rsid w:val="00683345"/>
    <w:rsid w:val="0068616F"/>
    <w:rsid w:val="00686CF4"/>
    <w:rsid w:val="00686FDB"/>
    <w:rsid w:val="0069258A"/>
    <w:rsid w:val="00695E5E"/>
    <w:rsid w:val="006A32B9"/>
    <w:rsid w:val="006A3351"/>
    <w:rsid w:val="006A3FBC"/>
    <w:rsid w:val="006B114D"/>
    <w:rsid w:val="006B3391"/>
    <w:rsid w:val="006B51E5"/>
    <w:rsid w:val="006B635B"/>
    <w:rsid w:val="006B6EBE"/>
    <w:rsid w:val="006C13FC"/>
    <w:rsid w:val="006C3D4A"/>
    <w:rsid w:val="006C449A"/>
    <w:rsid w:val="006C62BD"/>
    <w:rsid w:val="006D189F"/>
    <w:rsid w:val="006D1A87"/>
    <w:rsid w:val="006D1EF1"/>
    <w:rsid w:val="006D68E0"/>
    <w:rsid w:val="006E091C"/>
    <w:rsid w:val="006E0A65"/>
    <w:rsid w:val="006E2861"/>
    <w:rsid w:val="006E2DCD"/>
    <w:rsid w:val="006E5816"/>
    <w:rsid w:val="006F06A0"/>
    <w:rsid w:val="007014E6"/>
    <w:rsid w:val="00703171"/>
    <w:rsid w:val="00706617"/>
    <w:rsid w:val="00706A7F"/>
    <w:rsid w:val="00710F25"/>
    <w:rsid w:val="00711D86"/>
    <w:rsid w:val="00717324"/>
    <w:rsid w:val="00725E13"/>
    <w:rsid w:val="007326D4"/>
    <w:rsid w:val="00736585"/>
    <w:rsid w:val="00742036"/>
    <w:rsid w:val="007434AC"/>
    <w:rsid w:val="00743878"/>
    <w:rsid w:val="00747126"/>
    <w:rsid w:val="0075095C"/>
    <w:rsid w:val="00751E88"/>
    <w:rsid w:val="00753387"/>
    <w:rsid w:val="00754C88"/>
    <w:rsid w:val="00757A3F"/>
    <w:rsid w:val="007640FE"/>
    <w:rsid w:val="00765998"/>
    <w:rsid w:val="00765E48"/>
    <w:rsid w:val="00770B4C"/>
    <w:rsid w:val="00771251"/>
    <w:rsid w:val="007726CC"/>
    <w:rsid w:val="00773AAB"/>
    <w:rsid w:val="00775E16"/>
    <w:rsid w:val="00781238"/>
    <w:rsid w:val="00781D70"/>
    <w:rsid w:val="00782A9B"/>
    <w:rsid w:val="00790531"/>
    <w:rsid w:val="00790E9B"/>
    <w:rsid w:val="0079250E"/>
    <w:rsid w:val="00792ECE"/>
    <w:rsid w:val="00792F37"/>
    <w:rsid w:val="007A354E"/>
    <w:rsid w:val="007A6E6F"/>
    <w:rsid w:val="007B0283"/>
    <w:rsid w:val="007B1B45"/>
    <w:rsid w:val="007B20DD"/>
    <w:rsid w:val="007B2567"/>
    <w:rsid w:val="007B2741"/>
    <w:rsid w:val="007B54E0"/>
    <w:rsid w:val="007B6E2A"/>
    <w:rsid w:val="007B7606"/>
    <w:rsid w:val="007C69D0"/>
    <w:rsid w:val="007C76FF"/>
    <w:rsid w:val="007D2192"/>
    <w:rsid w:val="007D4408"/>
    <w:rsid w:val="007D74D5"/>
    <w:rsid w:val="007E0A4B"/>
    <w:rsid w:val="007E6493"/>
    <w:rsid w:val="007E6CDD"/>
    <w:rsid w:val="007F13AB"/>
    <w:rsid w:val="007F2FE9"/>
    <w:rsid w:val="007F5890"/>
    <w:rsid w:val="007F7F38"/>
    <w:rsid w:val="008014DA"/>
    <w:rsid w:val="00802ECA"/>
    <w:rsid w:val="0081370C"/>
    <w:rsid w:val="0081778B"/>
    <w:rsid w:val="0082036C"/>
    <w:rsid w:val="00821380"/>
    <w:rsid w:val="00824654"/>
    <w:rsid w:val="00824D18"/>
    <w:rsid w:val="0083179A"/>
    <w:rsid w:val="00831B7D"/>
    <w:rsid w:val="00842064"/>
    <w:rsid w:val="00842687"/>
    <w:rsid w:val="0084290C"/>
    <w:rsid w:val="00843BB8"/>
    <w:rsid w:val="0085202E"/>
    <w:rsid w:val="00856BE4"/>
    <w:rsid w:val="00865458"/>
    <w:rsid w:val="00866DDD"/>
    <w:rsid w:val="008716DD"/>
    <w:rsid w:val="00871766"/>
    <w:rsid w:val="00872092"/>
    <w:rsid w:val="00872873"/>
    <w:rsid w:val="00874174"/>
    <w:rsid w:val="00874BB3"/>
    <w:rsid w:val="008753CF"/>
    <w:rsid w:val="008772B7"/>
    <w:rsid w:val="00880E20"/>
    <w:rsid w:val="00881769"/>
    <w:rsid w:val="00882E1D"/>
    <w:rsid w:val="008848B1"/>
    <w:rsid w:val="00885E0C"/>
    <w:rsid w:val="00887AB1"/>
    <w:rsid w:val="00892DCD"/>
    <w:rsid w:val="00895739"/>
    <w:rsid w:val="00895809"/>
    <w:rsid w:val="00895F80"/>
    <w:rsid w:val="008972B1"/>
    <w:rsid w:val="008974F3"/>
    <w:rsid w:val="008978B9"/>
    <w:rsid w:val="008A26A0"/>
    <w:rsid w:val="008A3A39"/>
    <w:rsid w:val="008A3F07"/>
    <w:rsid w:val="008A77D9"/>
    <w:rsid w:val="008B26B4"/>
    <w:rsid w:val="008B352B"/>
    <w:rsid w:val="008B4539"/>
    <w:rsid w:val="008C14E5"/>
    <w:rsid w:val="008C390B"/>
    <w:rsid w:val="008C42CD"/>
    <w:rsid w:val="008C5675"/>
    <w:rsid w:val="008C6651"/>
    <w:rsid w:val="008D009F"/>
    <w:rsid w:val="008D4FB5"/>
    <w:rsid w:val="008E34FB"/>
    <w:rsid w:val="008E5B6C"/>
    <w:rsid w:val="008F01FC"/>
    <w:rsid w:val="008F034B"/>
    <w:rsid w:val="008F0AAC"/>
    <w:rsid w:val="008F1B4D"/>
    <w:rsid w:val="008F2C02"/>
    <w:rsid w:val="008F2CFF"/>
    <w:rsid w:val="008F7EA7"/>
    <w:rsid w:val="00901841"/>
    <w:rsid w:val="00904E04"/>
    <w:rsid w:val="00905A21"/>
    <w:rsid w:val="00911FF4"/>
    <w:rsid w:val="00913B05"/>
    <w:rsid w:val="00914465"/>
    <w:rsid w:val="00915181"/>
    <w:rsid w:val="0091784B"/>
    <w:rsid w:val="00920635"/>
    <w:rsid w:val="00920BE7"/>
    <w:rsid w:val="00921FC7"/>
    <w:rsid w:val="00927365"/>
    <w:rsid w:val="009322DC"/>
    <w:rsid w:val="00935219"/>
    <w:rsid w:val="00941B66"/>
    <w:rsid w:val="00941EB9"/>
    <w:rsid w:val="00943336"/>
    <w:rsid w:val="00943E20"/>
    <w:rsid w:val="00945854"/>
    <w:rsid w:val="00946C47"/>
    <w:rsid w:val="009522F7"/>
    <w:rsid w:val="00953475"/>
    <w:rsid w:val="00953C3E"/>
    <w:rsid w:val="00956547"/>
    <w:rsid w:val="00962A05"/>
    <w:rsid w:val="00965609"/>
    <w:rsid w:val="0096608A"/>
    <w:rsid w:val="0096799A"/>
    <w:rsid w:val="00967B91"/>
    <w:rsid w:val="00971AF5"/>
    <w:rsid w:val="0097409A"/>
    <w:rsid w:val="00976C95"/>
    <w:rsid w:val="00977641"/>
    <w:rsid w:val="00977AE0"/>
    <w:rsid w:val="0098288E"/>
    <w:rsid w:val="00983E80"/>
    <w:rsid w:val="00987E9D"/>
    <w:rsid w:val="009902A1"/>
    <w:rsid w:val="00993D91"/>
    <w:rsid w:val="00994AF6"/>
    <w:rsid w:val="00997139"/>
    <w:rsid w:val="009A1D96"/>
    <w:rsid w:val="009A5279"/>
    <w:rsid w:val="009A57CA"/>
    <w:rsid w:val="009A7442"/>
    <w:rsid w:val="009B0753"/>
    <w:rsid w:val="009B11D8"/>
    <w:rsid w:val="009B7F16"/>
    <w:rsid w:val="009C075D"/>
    <w:rsid w:val="009C5621"/>
    <w:rsid w:val="009C7F14"/>
    <w:rsid w:val="009D025D"/>
    <w:rsid w:val="009D233E"/>
    <w:rsid w:val="009D31EC"/>
    <w:rsid w:val="009D7B37"/>
    <w:rsid w:val="009E408E"/>
    <w:rsid w:val="009E4572"/>
    <w:rsid w:val="009E7575"/>
    <w:rsid w:val="009F15E7"/>
    <w:rsid w:val="009F196F"/>
    <w:rsid w:val="009F274E"/>
    <w:rsid w:val="009F35CD"/>
    <w:rsid w:val="00A06149"/>
    <w:rsid w:val="00A0629B"/>
    <w:rsid w:val="00A10255"/>
    <w:rsid w:val="00A12517"/>
    <w:rsid w:val="00A12551"/>
    <w:rsid w:val="00A12BAB"/>
    <w:rsid w:val="00A13F0B"/>
    <w:rsid w:val="00A1678D"/>
    <w:rsid w:val="00A17001"/>
    <w:rsid w:val="00A176AA"/>
    <w:rsid w:val="00A201A3"/>
    <w:rsid w:val="00A2466A"/>
    <w:rsid w:val="00A24875"/>
    <w:rsid w:val="00A27354"/>
    <w:rsid w:val="00A27372"/>
    <w:rsid w:val="00A31C14"/>
    <w:rsid w:val="00A31F0C"/>
    <w:rsid w:val="00A33E4A"/>
    <w:rsid w:val="00A344ED"/>
    <w:rsid w:val="00A36A72"/>
    <w:rsid w:val="00A425AB"/>
    <w:rsid w:val="00A4481B"/>
    <w:rsid w:val="00A44A37"/>
    <w:rsid w:val="00A453C0"/>
    <w:rsid w:val="00A46E16"/>
    <w:rsid w:val="00A47FCD"/>
    <w:rsid w:val="00A54E85"/>
    <w:rsid w:val="00A54FA6"/>
    <w:rsid w:val="00A55BAF"/>
    <w:rsid w:val="00A63543"/>
    <w:rsid w:val="00A66644"/>
    <w:rsid w:val="00A714B6"/>
    <w:rsid w:val="00A73BB9"/>
    <w:rsid w:val="00A74CD5"/>
    <w:rsid w:val="00A74D49"/>
    <w:rsid w:val="00A758B5"/>
    <w:rsid w:val="00A77A0A"/>
    <w:rsid w:val="00A840D5"/>
    <w:rsid w:val="00A850FA"/>
    <w:rsid w:val="00A876A9"/>
    <w:rsid w:val="00A91E08"/>
    <w:rsid w:val="00A93515"/>
    <w:rsid w:val="00A959F1"/>
    <w:rsid w:val="00A97129"/>
    <w:rsid w:val="00A97D53"/>
    <w:rsid w:val="00AA15B2"/>
    <w:rsid w:val="00AA2003"/>
    <w:rsid w:val="00AA3E59"/>
    <w:rsid w:val="00AA69D2"/>
    <w:rsid w:val="00AB1473"/>
    <w:rsid w:val="00AB6253"/>
    <w:rsid w:val="00AB6698"/>
    <w:rsid w:val="00AB6E9C"/>
    <w:rsid w:val="00AB7DB1"/>
    <w:rsid w:val="00AC2A87"/>
    <w:rsid w:val="00AC3A00"/>
    <w:rsid w:val="00AC5B79"/>
    <w:rsid w:val="00AC62A5"/>
    <w:rsid w:val="00AC6DF8"/>
    <w:rsid w:val="00AD08F0"/>
    <w:rsid w:val="00AD1D8B"/>
    <w:rsid w:val="00AD30C6"/>
    <w:rsid w:val="00AD3963"/>
    <w:rsid w:val="00AD4DD9"/>
    <w:rsid w:val="00AD5879"/>
    <w:rsid w:val="00AE0DAF"/>
    <w:rsid w:val="00AF11EE"/>
    <w:rsid w:val="00AF254B"/>
    <w:rsid w:val="00AF3577"/>
    <w:rsid w:val="00AF4B8F"/>
    <w:rsid w:val="00AF6B27"/>
    <w:rsid w:val="00B01460"/>
    <w:rsid w:val="00B0179B"/>
    <w:rsid w:val="00B022DB"/>
    <w:rsid w:val="00B02DB5"/>
    <w:rsid w:val="00B077A8"/>
    <w:rsid w:val="00B133BB"/>
    <w:rsid w:val="00B14FED"/>
    <w:rsid w:val="00B15D9B"/>
    <w:rsid w:val="00B15EE3"/>
    <w:rsid w:val="00B2047D"/>
    <w:rsid w:val="00B20D95"/>
    <w:rsid w:val="00B22689"/>
    <w:rsid w:val="00B27B61"/>
    <w:rsid w:val="00B3263B"/>
    <w:rsid w:val="00B3629E"/>
    <w:rsid w:val="00B37EEB"/>
    <w:rsid w:val="00B44499"/>
    <w:rsid w:val="00B4722F"/>
    <w:rsid w:val="00B53CF6"/>
    <w:rsid w:val="00B57D96"/>
    <w:rsid w:val="00B60C5B"/>
    <w:rsid w:val="00B60EBB"/>
    <w:rsid w:val="00B62C50"/>
    <w:rsid w:val="00B6594B"/>
    <w:rsid w:val="00B6706E"/>
    <w:rsid w:val="00B70FF6"/>
    <w:rsid w:val="00B77D91"/>
    <w:rsid w:val="00B807B3"/>
    <w:rsid w:val="00B807FC"/>
    <w:rsid w:val="00B812E5"/>
    <w:rsid w:val="00B834FC"/>
    <w:rsid w:val="00B83758"/>
    <w:rsid w:val="00B85996"/>
    <w:rsid w:val="00B86C86"/>
    <w:rsid w:val="00B91170"/>
    <w:rsid w:val="00B930BE"/>
    <w:rsid w:val="00B95B93"/>
    <w:rsid w:val="00B970B4"/>
    <w:rsid w:val="00BB5E4C"/>
    <w:rsid w:val="00BC1E2F"/>
    <w:rsid w:val="00BC2537"/>
    <w:rsid w:val="00BC40B8"/>
    <w:rsid w:val="00BD1331"/>
    <w:rsid w:val="00BD14D7"/>
    <w:rsid w:val="00BD2944"/>
    <w:rsid w:val="00BD36A0"/>
    <w:rsid w:val="00BE0588"/>
    <w:rsid w:val="00BE1BE1"/>
    <w:rsid w:val="00BE3533"/>
    <w:rsid w:val="00BE4E4B"/>
    <w:rsid w:val="00BE65D4"/>
    <w:rsid w:val="00BE7960"/>
    <w:rsid w:val="00BE7EEB"/>
    <w:rsid w:val="00BF1FC1"/>
    <w:rsid w:val="00BF4150"/>
    <w:rsid w:val="00C01F9F"/>
    <w:rsid w:val="00C02E1C"/>
    <w:rsid w:val="00C0604F"/>
    <w:rsid w:val="00C06706"/>
    <w:rsid w:val="00C073DC"/>
    <w:rsid w:val="00C11029"/>
    <w:rsid w:val="00C11181"/>
    <w:rsid w:val="00C12505"/>
    <w:rsid w:val="00C166DD"/>
    <w:rsid w:val="00C22606"/>
    <w:rsid w:val="00C238C5"/>
    <w:rsid w:val="00C247D4"/>
    <w:rsid w:val="00C303DB"/>
    <w:rsid w:val="00C308E0"/>
    <w:rsid w:val="00C31642"/>
    <w:rsid w:val="00C33DDD"/>
    <w:rsid w:val="00C40209"/>
    <w:rsid w:val="00C44C77"/>
    <w:rsid w:val="00C45FBA"/>
    <w:rsid w:val="00C473D1"/>
    <w:rsid w:val="00C50CBE"/>
    <w:rsid w:val="00C54EBE"/>
    <w:rsid w:val="00C566FF"/>
    <w:rsid w:val="00C5786C"/>
    <w:rsid w:val="00C57B80"/>
    <w:rsid w:val="00C61185"/>
    <w:rsid w:val="00C679F5"/>
    <w:rsid w:val="00C75D9E"/>
    <w:rsid w:val="00C80B91"/>
    <w:rsid w:val="00C8288B"/>
    <w:rsid w:val="00C84B50"/>
    <w:rsid w:val="00C85469"/>
    <w:rsid w:val="00C859F9"/>
    <w:rsid w:val="00C86FFA"/>
    <w:rsid w:val="00C92A7E"/>
    <w:rsid w:val="00C93DDE"/>
    <w:rsid w:val="00C979E0"/>
    <w:rsid w:val="00CA19DF"/>
    <w:rsid w:val="00CA4389"/>
    <w:rsid w:val="00CB2FB2"/>
    <w:rsid w:val="00CB3CE8"/>
    <w:rsid w:val="00CB7946"/>
    <w:rsid w:val="00CB7A18"/>
    <w:rsid w:val="00CC13BB"/>
    <w:rsid w:val="00CC60E7"/>
    <w:rsid w:val="00CC7487"/>
    <w:rsid w:val="00CD34FC"/>
    <w:rsid w:val="00CD4A7A"/>
    <w:rsid w:val="00CD706B"/>
    <w:rsid w:val="00CE1EF8"/>
    <w:rsid w:val="00CE213B"/>
    <w:rsid w:val="00CE5F49"/>
    <w:rsid w:val="00CF0AA6"/>
    <w:rsid w:val="00CF59BB"/>
    <w:rsid w:val="00CF5A2C"/>
    <w:rsid w:val="00CF6633"/>
    <w:rsid w:val="00D03E2A"/>
    <w:rsid w:val="00D05495"/>
    <w:rsid w:val="00D076D0"/>
    <w:rsid w:val="00D12DFA"/>
    <w:rsid w:val="00D134B7"/>
    <w:rsid w:val="00D13894"/>
    <w:rsid w:val="00D14BEE"/>
    <w:rsid w:val="00D20FAA"/>
    <w:rsid w:val="00D21D09"/>
    <w:rsid w:val="00D30573"/>
    <w:rsid w:val="00D34BAD"/>
    <w:rsid w:val="00D36A8C"/>
    <w:rsid w:val="00D428F4"/>
    <w:rsid w:val="00D43181"/>
    <w:rsid w:val="00D43DF0"/>
    <w:rsid w:val="00D44D7F"/>
    <w:rsid w:val="00D4536C"/>
    <w:rsid w:val="00D45C41"/>
    <w:rsid w:val="00D461DE"/>
    <w:rsid w:val="00D50DE5"/>
    <w:rsid w:val="00D54B27"/>
    <w:rsid w:val="00D54CC0"/>
    <w:rsid w:val="00D60976"/>
    <w:rsid w:val="00D63173"/>
    <w:rsid w:val="00D63DA8"/>
    <w:rsid w:val="00D66BF9"/>
    <w:rsid w:val="00D73A86"/>
    <w:rsid w:val="00D74B1F"/>
    <w:rsid w:val="00D74BA3"/>
    <w:rsid w:val="00D804D2"/>
    <w:rsid w:val="00D81E2F"/>
    <w:rsid w:val="00D83060"/>
    <w:rsid w:val="00D84A2D"/>
    <w:rsid w:val="00D87426"/>
    <w:rsid w:val="00D8749B"/>
    <w:rsid w:val="00DA4CF2"/>
    <w:rsid w:val="00DA73FE"/>
    <w:rsid w:val="00DB11D4"/>
    <w:rsid w:val="00DB227F"/>
    <w:rsid w:val="00DB61A6"/>
    <w:rsid w:val="00DC3AC1"/>
    <w:rsid w:val="00DC4D4D"/>
    <w:rsid w:val="00DC5105"/>
    <w:rsid w:val="00DD20D1"/>
    <w:rsid w:val="00DD51F8"/>
    <w:rsid w:val="00DD64C5"/>
    <w:rsid w:val="00DE14E2"/>
    <w:rsid w:val="00DE14F9"/>
    <w:rsid w:val="00DE15AC"/>
    <w:rsid w:val="00DE2C36"/>
    <w:rsid w:val="00DE2F94"/>
    <w:rsid w:val="00DE3500"/>
    <w:rsid w:val="00DE4430"/>
    <w:rsid w:val="00DE4595"/>
    <w:rsid w:val="00DE6B35"/>
    <w:rsid w:val="00DE70C2"/>
    <w:rsid w:val="00DF0675"/>
    <w:rsid w:val="00DF4FE6"/>
    <w:rsid w:val="00DF513D"/>
    <w:rsid w:val="00DF580D"/>
    <w:rsid w:val="00DF6FDA"/>
    <w:rsid w:val="00DF7E2B"/>
    <w:rsid w:val="00E05885"/>
    <w:rsid w:val="00E06BC9"/>
    <w:rsid w:val="00E10BFB"/>
    <w:rsid w:val="00E1249A"/>
    <w:rsid w:val="00E12880"/>
    <w:rsid w:val="00E1447F"/>
    <w:rsid w:val="00E14D9E"/>
    <w:rsid w:val="00E16DA6"/>
    <w:rsid w:val="00E21904"/>
    <w:rsid w:val="00E21E99"/>
    <w:rsid w:val="00E2228E"/>
    <w:rsid w:val="00E23E56"/>
    <w:rsid w:val="00E30FFC"/>
    <w:rsid w:val="00E327A1"/>
    <w:rsid w:val="00E33EF0"/>
    <w:rsid w:val="00E370BF"/>
    <w:rsid w:val="00E37CB8"/>
    <w:rsid w:val="00E4016D"/>
    <w:rsid w:val="00E50D24"/>
    <w:rsid w:val="00E510C4"/>
    <w:rsid w:val="00E530B7"/>
    <w:rsid w:val="00E54066"/>
    <w:rsid w:val="00E57168"/>
    <w:rsid w:val="00E611A2"/>
    <w:rsid w:val="00E61BAB"/>
    <w:rsid w:val="00E61C6F"/>
    <w:rsid w:val="00E729CB"/>
    <w:rsid w:val="00E73C50"/>
    <w:rsid w:val="00E777C8"/>
    <w:rsid w:val="00E8011B"/>
    <w:rsid w:val="00E81EE4"/>
    <w:rsid w:val="00E8250A"/>
    <w:rsid w:val="00E82DCD"/>
    <w:rsid w:val="00E83444"/>
    <w:rsid w:val="00E849E6"/>
    <w:rsid w:val="00E84DD9"/>
    <w:rsid w:val="00E870C1"/>
    <w:rsid w:val="00E909E6"/>
    <w:rsid w:val="00E90B70"/>
    <w:rsid w:val="00E924EC"/>
    <w:rsid w:val="00E93300"/>
    <w:rsid w:val="00E93BB0"/>
    <w:rsid w:val="00EA27C3"/>
    <w:rsid w:val="00EA2BEE"/>
    <w:rsid w:val="00EA370F"/>
    <w:rsid w:val="00EA440F"/>
    <w:rsid w:val="00EA5F36"/>
    <w:rsid w:val="00EA7A70"/>
    <w:rsid w:val="00EB15F9"/>
    <w:rsid w:val="00EB2AAE"/>
    <w:rsid w:val="00EB57CA"/>
    <w:rsid w:val="00EB6D45"/>
    <w:rsid w:val="00EC07F6"/>
    <w:rsid w:val="00EC07FA"/>
    <w:rsid w:val="00EC2099"/>
    <w:rsid w:val="00EC5B03"/>
    <w:rsid w:val="00ED7B42"/>
    <w:rsid w:val="00ED7B80"/>
    <w:rsid w:val="00EE087B"/>
    <w:rsid w:val="00EE094E"/>
    <w:rsid w:val="00EE0CC2"/>
    <w:rsid w:val="00EE18F8"/>
    <w:rsid w:val="00EE1DDC"/>
    <w:rsid w:val="00EE31D9"/>
    <w:rsid w:val="00EE47A2"/>
    <w:rsid w:val="00EF0C53"/>
    <w:rsid w:val="00EF2D32"/>
    <w:rsid w:val="00EF368A"/>
    <w:rsid w:val="00EF4FE0"/>
    <w:rsid w:val="00EF6F9D"/>
    <w:rsid w:val="00EF7495"/>
    <w:rsid w:val="00F038F0"/>
    <w:rsid w:val="00F04E2C"/>
    <w:rsid w:val="00F06CE8"/>
    <w:rsid w:val="00F0783D"/>
    <w:rsid w:val="00F1223A"/>
    <w:rsid w:val="00F12E5F"/>
    <w:rsid w:val="00F14E08"/>
    <w:rsid w:val="00F203B0"/>
    <w:rsid w:val="00F20CD7"/>
    <w:rsid w:val="00F210E9"/>
    <w:rsid w:val="00F2150A"/>
    <w:rsid w:val="00F22AF0"/>
    <w:rsid w:val="00F33929"/>
    <w:rsid w:val="00F35767"/>
    <w:rsid w:val="00F35BB4"/>
    <w:rsid w:val="00F42C1C"/>
    <w:rsid w:val="00F4744B"/>
    <w:rsid w:val="00F504FB"/>
    <w:rsid w:val="00F55691"/>
    <w:rsid w:val="00F55B87"/>
    <w:rsid w:val="00F61448"/>
    <w:rsid w:val="00F6361F"/>
    <w:rsid w:val="00F65724"/>
    <w:rsid w:val="00F66561"/>
    <w:rsid w:val="00F71390"/>
    <w:rsid w:val="00F72F62"/>
    <w:rsid w:val="00F73E1F"/>
    <w:rsid w:val="00F75585"/>
    <w:rsid w:val="00F75F73"/>
    <w:rsid w:val="00F77459"/>
    <w:rsid w:val="00F809EE"/>
    <w:rsid w:val="00F844E6"/>
    <w:rsid w:val="00F849DE"/>
    <w:rsid w:val="00F84BE4"/>
    <w:rsid w:val="00F865A3"/>
    <w:rsid w:val="00F909DB"/>
    <w:rsid w:val="00F9314E"/>
    <w:rsid w:val="00F9432D"/>
    <w:rsid w:val="00F9475F"/>
    <w:rsid w:val="00F951BA"/>
    <w:rsid w:val="00F955FB"/>
    <w:rsid w:val="00FA2531"/>
    <w:rsid w:val="00FA4C1B"/>
    <w:rsid w:val="00FA5355"/>
    <w:rsid w:val="00FB35B4"/>
    <w:rsid w:val="00FB4542"/>
    <w:rsid w:val="00FB6C2F"/>
    <w:rsid w:val="00FC0091"/>
    <w:rsid w:val="00FC10E9"/>
    <w:rsid w:val="00FC23CC"/>
    <w:rsid w:val="00FC4FF0"/>
    <w:rsid w:val="00FC57BC"/>
    <w:rsid w:val="00FC5D7E"/>
    <w:rsid w:val="00FD01DC"/>
    <w:rsid w:val="00FD01E1"/>
    <w:rsid w:val="00FD04B8"/>
    <w:rsid w:val="00FD13B2"/>
    <w:rsid w:val="00FD4DFC"/>
    <w:rsid w:val="00FD6173"/>
    <w:rsid w:val="00FE0A40"/>
    <w:rsid w:val="00FE3132"/>
    <w:rsid w:val="00FE47F2"/>
    <w:rsid w:val="00FE64F7"/>
    <w:rsid w:val="00FE6C0D"/>
    <w:rsid w:val="00FF10DD"/>
    <w:rsid w:val="00FF3240"/>
    <w:rsid w:val="00FF3C70"/>
    <w:rsid w:val="00FF5193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817EE"/>
  <w15:docId w15:val="{E74CE97A-50E6-4BCC-AC12-AFDA32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sid w:val="009151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68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48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4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6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88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0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c748b-9673-4c43-b9e9-f6f47eed6137" xsi:nil="true"/>
    <lcf76f155ced4ddcb4097134ff3c332f xmlns="ad0eda28-077b-48b4-981d-21104f8134f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ED7BA2763A478EDE0130F91B5123" ma:contentTypeVersion="15" ma:contentTypeDescription="Create a new document." ma:contentTypeScope="" ma:versionID="f0827b97c411c567ea7b6231876734c3">
  <xsd:schema xmlns:xsd="http://www.w3.org/2001/XMLSchema" xmlns:xs="http://www.w3.org/2001/XMLSchema" xmlns:p="http://schemas.microsoft.com/office/2006/metadata/properties" xmlns:ns2="ad0eda28-077b-48b4-981d-21104f8134f6" xmlns:ns3="9e8c748b-9673-4c43-b9e9-f6f47eed6137" targetNamespace="http://schemas.microsoft.com/office/2006/metadata/properties" ma:root="true" ma:fieldsID="b88f6f328498e53ec5465a59d7175b84" ns2:_="" ns3:_="">
    <xsd:import namespace="ad0eda28-077b-48b4-981d-21104f8134f6"/>
    <xsd:import namespace="9e8c748b-9673-4c43-b9e9-f6f47eed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28-077b-48b4-981d-21104f813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48b-9673-4c43-b9e9-f6f47eed6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de1b-057e-4a17-a9b6-2fa292d2b0ef}" ma:internalName="TaxCatchAll" ma:showField="CatchAllData" ma:web="9e8c748b-9673-4c43-b9e9-f6f47ee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D8228-3A9C-4322-9E48-344148643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9e8c748b-9673-4c43-b9e9-f6f47eed6137"/>
    <ds:schemaRef ds:uri="ad0eda28-077b-48b4-981d-21104f8134f6"/>
  </ds:schemaRefs>
</ds:datastoreItem>
</file>

<file path=customXml/itemProps4.xml><?xml version="1.0" encoding="utf-8"?>
<ds:datastoreItem xmlns:ds="http://schemas.openxmlformats.org/officeDocument/2006/customXml" ds:itemID="{101A7165-7933-4207-B555-4CFBF4C9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a28-077b-48b4-981d-21104f8134f6"/>
    <ds:schemaRef ds:uri="9e8c748b-9673-4c43-b9e9-f6f47eed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Link Leaders</cp:lastModifiedBy>
  <cp:revision>2</cp:revision>
  <dcterms:created xsi:type="dcterms:W3CDTF">2025-08-26T08:26:00Z</dcterms:created>
  <dcterms:modified xsi:type="dcterms:W3CDTF">2025-08-26T08:26:00Z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0x010100C609ED7BA2763A478EDE0130F91B5123</vt:lpwstr>
  </property>
</Properties>
</file>