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A25A" w14:textId="47F9A43D" w:rsidR="6D85D917" w:rsidRDefault="6D85D917" w:rsidP="01C2133E">
      <w:pPr>
        <w:spacing w:before="480" w:after="480" w:line="288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33BE62A2">
        <w:rPr>
          <w:rFonts w:ascii="Arial" w:eastAsia="Arial" w:hAnsi="Arial" w:cs="Arial"/>
          <w:b/>
          <w:bCs/>
          <w:sz w:val="36"/>
          <w:szCs w:val="36"/>
        </w:rPr>
        <w:t xml:space="preserve">Xiaomi regista receitas de </w:t>
      </w:r>
      <w:r w:rsidR="0DC3A695" w:rsidRPr="33BE62A2">
        <w:rPr>
          <w:rFonts w:ascii="Arial" w:eastAsia="Arial" w:hAnsi="Arial" w:cs="Arial"/>
          <w:b/>
          <w:bCs/>
          <w:sz w:val="36"/>
          <w:szCs w:val="36"/>
        </w:rPr>
        <w:t xml:space="preserve">116 </w:t>
      </w:r>
      <w:r w:rsidRPr="33BE62A2">
        <w:rPr>
          <w:rFonts w:ascii="Arial" w:eastAsia="Arial" w:hAnsi="Arial" w:cs="Arial"/>
          <w:b/>
          <w:bCs/>
          <w:sz w:val="36"/>
          <w:szCs w:val="36"/>
        </w:rPr>
        <w:t xml:space="preserve">mil milhões de </w:t>
      </w:r>
      <w:r w:rsidR="46169E72" w:rsidRPr="33BE62A2">
        <w:rPr>
          <w:rFonts w:ascii="Arial" w:eastAsia="Arial" w:hAnsi="Arial" w:cs="Arial"/>
          <w:b/>
          <w:bCs/>
          <w:sz w:val="36"/>
          <w:szCs w:val="36"/>
        </w:rPr>
        <w:t xml:space="preserve">yuans </w:t>
      </w:r>
      <w:r w:rsidRPr="33BE62A2">
        <w:rPr>
          <w:rFonts w:ascii="Arial" w:eastAsia="Arial" w:hAnsi="Arial" w:cs="Arial"/>
          <w:b/>
          <w:bCs/>
          <w:sz w:val="36"/>
          <w:szCs w:val="36"/>
        </w:rPr>
        <w:t>no segundo trimestre de 2025</w:t>
      </w:r>
      <w:r w:rsidR="009F547C">
        <w:rPr>
          <w:rFonts w:ascii="Arial" w:eastAsia="Arial" w:hAnsi="Arial" w:cs="Arial"/>
          <w:b/>
          <w:bCs/>
          <w:sz w:val="36"/>
          <w:szCs w:val="36"/>
        </w:rPr>
        <w:t xml:space="preserve">. Lucro </w:t>
      </w:r>
      <w:r w:rsidR="009F547C" w:rsidRPr="009F547C">
        <w:rPr>
          <w:rFonts w:ascii="Arial" w:eastAsia="Arial" w:hAnsi="Arial" w:cs="Arial"/>
          <w:b/>
          <w:bCs/>
          <w:sz w:val="36"/>
          <w:szCs w:val="36"/>
        </w:rPr>
        <w:t>líquido ajustado cresce 75,4% face ao ano passado</w:t>
      </w:r>
      <w:r w:rsidR="009F547C">
        <w:rPr>
          <w:rFonts w:ascii="Arial" w:eastAsia="Arial" w:hAnsi="Arial" w:cs="Arial"/>
          <w:b/>
          <w:bCs/>
          <w:sz w:val="36"/>
          <w:szCs w:val="36"/>
        </w:rPr>
        <w:t>.</w:t>
      </w:r>
    </w:p>
    <w:p w14:paraId="602DE8B2" w14:textId="46CCEFF9" w:rsidR="55471992" w:rsidRDefault="55471992" w:rsidP="33BE62A2">
      <w:pPr>
        <w:pStyle w:val="PargrafodaLista"/>
        <w:numPr>
          <w:ilvl w:val="0"/>
          <w:numId w:val="1"/>
        </w:numPr>
        <w:spacing w:before="480" w:after="480" w:line="288" w:lineRule="auto"/>
        <w:jc w:val="both"/>
        <w:rPr>
          <w:rFonts w:ascii="Arial" w:eastAsia="Arial" w:hAnsi="Arial" w:cs="Arial"/>
          <w:b/>
          <w:bCs/>
        </w:rPr>
      </w:pPr>
      <w:r w:rsidRPr="33BE62A2">
        <w:rPr>
          <w:rFonts w:ascii="Arial" w:eastAsia="Arial" w:hAnsi="Arial" w:cs="Arial"/>
          <w:b/>
          <w:bCs/>
          <w:sz w:val="22"/>
          <w:szCs w:val="22"/>
        </w:rPr>
        <w:t>Resultados ultrapassam os 10</w:t>
      </w:r>
      <w:r w:rsidR="4449C96B" w:rsidRPr="33BE62A2">
        <w:rPr>
          <w:rFonts w:ascii="Arial" w:eastAsia="Arial" w:hAnsi="Arial" w:cs="Arial"/>
          <w:b/>
          <w:bCs/>
          <w:sz w:val="22"/>
          <w:szCs w:val="22"/>
        </w:rPr>
        <w:t>0</w:t>
      </w:r>
      <w:r w:rsidRPr="33BE62A2">
        <w:rPr>
          <w:rFonts w:ascii="Arial" w:eastAsia="Arial" w:hAnsi="Arial" w:cs="Arial"/>
          <w:b/>
          <w:bCs/>
          <w:sz w:val="22"/>
          <w:szCs w:val="22"/>
        </w:rPr>
        <w:t xml:space="preserve"> mil milhões de </w:t>
      </w:r>
      <w:r w:rsidR="02CE4221" w:rsidRPr="33BE62A2">
        <w:rPr>
          <w:rFonts w:ascii="Arial" w:eastAsia="Arial" w:hAnsi="Arial" w:cs="Arial"/>
          <w:b/>
          <w:bCs/>
          <w:sz w:val="22"/>
          <w:szCs w:val="22"/>
        </w:rPr>
        <w:t>yuan</w:t>
      </w:r>
      <w:r w:rsidRPr="33BE62A2">
        <w:rPr>
          <w:rFonts w:ascii="Arial" w:eastAsia="Arial" w:hAnsi="Arial" w:cs="Arial"/>
          <w:b/>
          <w:bCs/>
          <w:sz w:val="22"/>
          <w:szCs w:val="22"/>
        </w:rPr>
        <w:t>s pelo terceiro trimestre consecutivo</w:t>
      </w:r>
      <w:r w:rsidR="3359BC79" w:rsidRPr="33BE62A2">
        <w:rPr>
          <w:rFonts w:ascii="Arial" w:eastAsia="Arial" w:hAnsi="Arial" w:cs="Arial"/>
          <w:b/>
          <w:bCs/>
          <w:sz w:val="22"/>
          <w:szCs w:val="22"/>
        </w:rPr>
        <w:t>;</w:t>
      </w:r>
    </w:p>
    <w:p w14:paraId="746612F7" w14:textId="77BF04AA" w:rsidR="58DFCDC0" w:rsidRDefault="58DFCDC0" w:rsidP="01C2133E">
      <w:pPr>
        <w:pStyle w:val="PargrafodaLista"/>
        <w:numPr>
          <w:ilvl w:val="0"/>
          <w:numId w:val="1"/>
        </w:numPr>
        <w:spacing w:before="480" w:after="480" w:line="288" w:lineRule="auto"/>
        <w:jc w:val="both"/>
        <w:rPr>
          <w:rFonts w:ascii="Arial" w:eastAsia="Arial" w:hAnsi="Arial" w:cs="Arial"/>
          <w:b/>
          <w:bCs/>
        </w:rPr>
      </w:pPr>
      <w:r w:rsidRPr="01C2133E">
        <w:rPr>
          <w:rFonts w:ascii="Arial" w:eastAsia="Arial" w:hAnsi="Arial" w:cs="Arial"/>
          <w:b/>
          <w:bCs/>
          <w:sz w:val="22"/>
          <w:szCs w:val="22"/>
        </w:rPr>
        <w:t>Lucro líquido ajustado cresce 75,4% face ao ano passado</w:t>
      </w:r>
      <w:r w:rsidR="2A993B2F" w:rsidRPr="01C2133E">
        <w:rPr>
          <w:rFonts w:ascii="Arial" w:eastAsia="Arial" w:hAnsi="Arial" w:cs="Arial"/>
          <w:b/>
          <w:bCs/>
          <w:sz w:val="22"/>
          <w:szCs w:val="22"/>
        </w:rPr>
        <w:t>;</w:t>
      </w:r>
    </w:p>
    <w:p w14:paraId="6DFFDC88" w14:textId="0E3204AD" w:rsidR="354AA72D" w:rsidRDefault="354AA72D" w:rsidP="33BE62A2">
      <w:pPr>
        <w:pStyle w:val="PargrafodaLista"/>
        <w:numPr>
          <w:ilvl w:val="0"/>
          <w:numId w:val="1"/>
        </w:numPr>
        <w:spacing w:before="480" w:after="480" w:line="288" w:lineRule="auto"/>
        <w:jc w:val="both"/>
        <w:rPr>
          <w:b/>
          <w:bCs/>
        </w:rPr>
      </w:pPr>
      <w:r w:rsidRPr="33BE62A2">
        <w:rPr>
          <w:rFonts w:ascii="Arial" w:eastAsia="Arial" w:hAnsi="Arial" w:cs="Arial"/>
          <w:b/>
          <w:bCs/>
          <w:sz w:val="22"/>
          <w:szCs w:val="22"/>
        </w:rPr>
        <w:t xml:space="preserve">Aposta no segmento </w:t>
      </w:r>
      <w:r w:rsidRPr="33BE62A2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premium </w:t>
      </w:r>
      <w:r w:rsidRPr="33BE62A2">
        <w:rPr>
          <w:rFonts w:ascii="Arial" w:eastAsia="Arial" w:hAnsi="Arial" w:cs="Arial"/>
          <w:b/>
          <w:bCs/>
          <w:sz w:val="22"/>
          <w:szCs w:val="22"/>
        </w:rPr>
        <w:t>acelera, impulsionando um forte crescimento nos smartphones, veículos elétricos e eletrodomésticos inteligentes</w:t>
      </w:r>
      <w:r w:rsidR="4E905BAB" w:rsidRPr="33BE62A2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1CD8DCB5" w14:textId="39C9B1D3" w:rsidR="3F5F51B6" w:rsidRPr="00F6088A" w:rsidRDefault="5D3073AD" w:rsidP="01C2133E">
      <w:pPr>
        <w:spacing w:before="120" w:after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b/>
          <w:bCs/>
        </w:rPr>
        <w:t xml:space="preserve">Lisboa, </w:t>
      </w:r>
      <w:r w:rsidR="00F6088A">
        <w:rPr>
          <w:b/>
          <w:bCs/>
        </w:rPr>
        <w:t>2</w:t>
      </w:r>
      <w:r w:rsidR="00A50422">
        <w:rPr>
          <w:b/>
          <w:bCs/>
        </w:rPr>
        <w:t>6</w:t>
      </w:r>
      <w:r w:rsidR="00833F6B" w:rsidRPr="00F6088A">
        <w:rPr>
          <w:b/>
          <w:bCs/>
        </w:rPr>
        <w:t xml:space="preserve"> de </w:t>
      </w:r>
      <w:r w:rsidR="16810CCB" w:rsidRPr="00F6088A">
        <w:rPr>
          <w:b/>
          <w:bCs/>
        </w:rPr>
        <w:t xml:space="preserve">agosto </w:t>
      </w:r>
      <w:r w:rsidR="3AFEFDE2" w:rsidRPr="00F6088A">
        <w:rPr>
          <w:b/>
          <w:bCs/>
        </w:rPr>
        <w:t xml:space="preserve">de </w:t>
      </w:r>
      <w:r w:rsidRPr="00F6088A">
        <w:rPr>
          <w:b/>
          <w:bCs/>
        </w:rPr>
        <w:t>2025</w:t>
      </w:r>
      <w:r w:rsidRPr="00F6088A">
        <w:rPr>
          <w:rFonts w:ascii="Arial" w:eastAsia="DengXian" w:hAnsi="Arial" w:cs="Arial"/>
          <w:sz w:val="22"/>
          <w:szCs w:val="22"/>
        </w:rPr>
        <w:t xml:space="preserve"> - 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A Xiaomi apresentou os resultados consolidados não auditados </w:t>
      </w:r>
      <w:r w:rsidR="5EB94515" w:rsidRPr="00F6088A">
        <w:rPr>
          <w:rFonts w:ascii="Arial" w:eastAsia="Arial" w:hAnsi="Arial" w:cs="Arial"/>
          <w:sz w:val="22"/>
          <w:szCs w:val="22"/>
        </w:rPr>
        <w:t xml:space="preserve">do segundo trimestre de 2025, </w:t>
      </w:r>
      <w:r w:rsidR="7993E946" w:rsidRPr="00F6088A">
        <w:rPr>
          <w:rFonts w:ascii="Arial" w:eastAsia="Arial" w:hAnsi="Arial" w:cs="Arial"/>
          <w:sz w:val="22"/>
          <w:szCs w:val="22"/>
        </w:rPr>
        <w:t>relativ</w:t>
      </w:r>
      <w:r w:rsidR="16E7ACD6" w:rsidRPr="00F6088A">
        <w:rPr>
          <w:rFonts w:ascii="Arial" w:eastAsia="Arial" w:hAnsi="Arial" w:cs="Arial"/>
          <w:sz w:val="22"/>
          <w:szCs w:val="22"/>
        </w:rPr>
        <w:t>o ao período que terminou a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 30 de junho de 2025. Neste trimestre, as receitas do Grupo aumentaram 30,5% face ao período homólogo, atingindo </w:t>
      </w:r>
      <w:r w:rsidR="20BE4635" w:rsidRPr="00F6088A">
        <w:rPr>
          <w:rFonts w:ascii="Arial" w:eastAsia="Arial" w:hAnsi="Arial" w:cs="Arial"/>
          <w:sz w:val="22"/>
          <w:szCs w:val="22"/>
        </w:rPr>
        <w:t xml:space="preserve">os </w:t>
      </w:r>
      <w:r w:rsidR="1FC4CC9C" w:rsidRPr="00F6088A">
        <w:rPr>
          <w:rFonts w:ascii="Arial" w:eastAsia="Arial" w:hAnsi="Arial" w:cs="Arial"/>
          <w:sz w:val="22"/>
          <w:szCs w:val="22"/>
        </w:rPr>
        <w:t xml:space="preserve">116 mil milhões de yuans (cerca de </w:t>
      </w:r>
      <w:r w:rsidR="20BE4635" w:rsidRPr="00F6088A">
        <w:rPr>
          <w:rFonts w:ascii="Arial" w:eastAsia="Arial" w:hAnsi="Arial" w:cs="Arial"/>
          <w:sz w:val="22"/>
          <w:szCs w:val="22"/>
        </w:rPr>
        <w:t>13,9 mil milões de euros</w:t>
      </w:r>
      <w:r w:rsidR="27B67BAF" w:rsidRPr="00F6088A">
        <w:rPr>
          <w:rFonts w:ascii="Arial" w:eastAsia="Arial" w:hAnsi="Arial" w:cs="Arial"/>
          <w:sz w:val="22"/>
          <w:szCs w:val="22"/>
        </w:rPr>
        <w:t>)</w:t>
      </w:r>
      <w:r w:rsidR="20BE4635" w:rsidRPr="00F6088A">
        <w:rPr>
          <w:rFonts w:ascii="Arial" w:eastAsia="Arial" w:hAnsi="Arial" w:cs="Arial"/>
          <w:sz w:val="22"/>
          <w:szCs w:val="22"/>
        </w:rPr>
        <w:t xml:space="preserve">, </w:t>
      </w:r>
      <w:r w:rsidR="6D6CA2DD" w:rsidRPr="00F6088A">
        <w:rPr>
          <w:rFonts w:ascii="Arial" w:eastAsia="Arial" w:hAnsi="Arial" w:cs="Arial"/>
          <w:sz w:val="22"/>
          <w:szCs w:val="22"/>
        </w:rPr>
        <w:t xml:space="preserve">ultrapassando </w:t>
      </w:r>
      <w:r w:rsidR="7AB8A149" w:rsidRPr="00F6088A">
        <w:rPr>
          <w:rFonts w:ascii="Arial" w:eastAsia="Arial" w:hAnsi="Arial" w:cs="Arial"/>
          <w:sz w:val="22"/>
          <w:szCs w:val="22"/>
        </w:rPr>
        <w:t>os 10</w:t>
      </w:r>
      <w:r w:rsidR="03522FED" w:rsidRPr="00F6088A">
        <w:rPr>
          <w:rFonts w:ascii="Arial" w:eastAsia="Arial" w:hAnsi="Arial" w:cs="Arial"/>
          <w:sz w:val="22"/>
          <w:szCs w:val="22"/>
        </w:rPr>
        <w:t>0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 mil milhões de </w:t>
      </w:r>
      <w:r w:rsidR="7B30C870" w:rsidRPr="00F6088A">
        <w:rPr>
          <w:rFonts w:ascii="Arial" w:eastAsia="Arial" w:hAnsi="Arial" w:cs="Arial"/>
          <w:sz w:val="22"/>
          <w:szCs w:val="22"/>
        </w:rPr>
        <w:t xml:space="preserve">yuans </w:t>
      </w:r>
      <w:r w:rsidR="70DA075D" w:rsidRPr="00F6088A">
        <w:rPr>
          <w:rFonts w:ascii="Arial" w:eastAsia="Arial" w:hAnsi="Arial" w:cs="Arial"/>
          <w:sz w:val="22"/>
          <w:szCs w:val="22"/>
        </w:rPr>
        <w:t>pelo terceiro trimestre consecutivo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. O </w:t>
      </w:r>
      <w:r w:rsidR="0F7A3F5F" w:rsidRPr="00F6088A">
        <w:rPr>
          <w:rFonts w:ascii="Arial" w:eastAsia="Arial" w:hAnsi="Arial" w:cs="Arial"/>
          <w:sz w:val="22"/>
          <w:szCs w:val="22"/>
        </w:rPr>
        <w:t xml:space="preserve">lucro </w:t>
      </w:r>
      <w:r w:rsidR="7AB8A149" w:rsidRPr="00F6088A">
        <w:rPr>
          <w:rFonts w:ascii="Arial" w:eastAsia="Arial" w:hAnsi="Arial" w:cs="Arial"/>
          <w:sz w:val="22"/>
          <w:szCs w:val="22"/>
        </w:rPr>
        <w:t>líquido ajustado cresceu 75,4% e</w:t>
      </w:r>
      <w:r w:rsidR="5D57C68F" w:rsidRPr="00F6088A">
        <w:rPr>
          <w:rFonts w:ascii="Arial" w:eastAsia="Arial" w:hAnsi="Arial" w:cs="Arial"/>
          <w:sz w:val="22"/>
          <w:szCs w:val="22"/>
        </w:rPr>
        <w:t>m relação ao ano anterior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, para </w:t>
      </w:r>
      <w:r w:rsidR="65CAD578" w:rsidRPr="00F6088A">
        <w:rPr>
          <w:rFonts w:ascii="Arial" w:eastAsia="Arial" w:hAnsi="Arial" w:cs="Arial"/>
          <w:sz w:val="22"/>
          <w:szCs w:val="22"/>
        </w:rPr>
        <w:t>10,8 mil milhões de yuans</w:t>
      </w:r>
      <w:r w:rsidR="01408255" w:rsidRPr="00F6088A">
        <w:rPr>
          <w:rFonts w:ascii="Arial" w:eastAsia="Arial" w:hAnsi="Arial" w:cs="Arial"/>
          <w:sz w:val="22"/>
          <w:szCs w:val="22"/>
        </w:rPr>
        <w:t xml:space="preserve"> (cerca de </w:t>
      </w:r>
      <w:r w:rsidR="4678274A" w:rsidRPr="00F6088A">
        <w:rPr>
          <w:rFonts w:ascii="Arial" w:eastAsia="Arial" w:hAnsi="Arial" w:cs="Arial"/>
          <w:sz w:val="22"/>
          <w:szCs w:val="22"/>
        </w:rPr>
        <w:t>1 292 mil milhões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 </w:t>
      </w:r>
      <w:r w:rsidR="46186596" w:rsidRPr="00F6088A">
        <w:rPr>
          <w:rFonts w:ascii="Arial" w:eastAsia="Arial" w:hAnsi="Arial" w:cs="Arial"/>
          <w:sz w:val="22"/>
          <w:szCs w:val="22"/>
        </w:rPr>
        <w:t>de euros</w:t>
      </w:r>
      <w:r w:rsidR="231EC2F7" w:rsidRPr="00F6088A">
        <w:rPr>
          <w:rFonts w:ascii="Arial" w:eastAsia="Arial" w:hAnsi="Arial" w:cs="Arial"/>
          <w:sz w:val="22"/>
          <w:szCs w:val="22"/>
        </w:rPr>
        <w:t>)</w:t>
      </w:r>
      <w:r w:rsidR="7AB8A149" w:rsidRPr="00F6088A">
        <w:rPr>
          <w:rFonts w:ascii="Arial" w:eastAsia="Arial" w:hAnsi="Arial" w:cs="Arial"/>
          <w:sz w:val="22"/>
          <w:szCs w:val="22"/>
        </w:rPr>
        <w:t>, superando a marca dos 10 mil milhões</w:t>
      </w:r>
      <w:r w:rsidR="00A34BE3" w:rsidRPr="00F6088A">
        <w:rPr>
          <w:rFonts w:ascii="Arial" w:eastAsia="Arial" w:hAnsi="Arial" w:cs="Arial"/>
          <w:sz w:val="22"/>
          <w:szCs w:val="22"/>
        </w:rPr>
        <w:t xml:space="preserve"> de yuans</w:t>
      </w:r>
      <w:r w:rsidR="7AB8A149" w:rsidRPr="00F6088A">
        <w:rPr>
          <w:rFonts w:ascii="Arial" w:eastAsia="Arial" w:hAnsi="Arial" w:cs="Arial"/>
          <w:sz w:val="22"/>
          <w:szCs w:val="22"/>
        </w:rPr>
        <w:t xml:space="preserve"> pelo segundo trimestre consecutivo. Estes resultados refletem uma rentabilidade resiliente e um crescimento sólido e consistente, sustentado numa base robusta.</w:t>
      </w:r>
    </w:p>
    <w:p w14:paraId="4609AC66" w14:textId="75DE7D41" w:rsidR="53D1E116" w:rsidRPr="00F6088A" w:rsidRDefault="53D1E116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>Com base n</w:t>
      </w:r>
      <w:r w:rsidR="66551D97" w:rsidRPr="00F6088A">
        <w:rPr>
          <w:rFonts w:ascii="Arial" w:eastAsia="Arial" w:hAnsi="Arial" w:cs="Arial"/>
          <w:sz w:val="22"/>
          <w:szCs w:val="22"/>
        </w:rPr>
        <w:t>a estratégia do ecossistema inteligente «</w:t>
      </w:r>
      <w:r w:rsidR="66551D97" w:rsidRPr="00F6088A">
        <w:rPr>
          <w:rFonts w:ascii="Arial" w:eastAsia="Arial" w:hAnsi="Arial" w:cs="Arial"/>
          <w:i/>
          <w:iCs/>
          <w:sz w:val="22"/>
          <w:szCs w:val="22"/>
        </w:rPr>
        <w:t>Human x Car x Home</w:t>
      </w:r>
      <w:r w:rsidR="66551D97" w:rsidRPr="00F6088A">
        <w:rPr>
          <w:rFonts w:ascii="Arial" w:eastAsia="Arial" w:hAnsi="Arial" w:cs="Arial"/>
          <w:sz w:val="22"/>
          <w:szCs w:val="22"/>
        </w:rPr>
        <w:t xml:space="preserve">», </w:t>
      </w:r>
      <w:r w:rsidR="364B4922" w:rsidRPr="00F6088A">
        <w:rPr>
          <w:rFonts w:ascii="Arial" w:eastAsia="Arial" w:hAnsi="Arial" w:cs="Arial"/>
          <w:sz w:val="22"/>
          <w:szCs w:val="22"/>
        </w:rPr>
        <w:t>a Xiaomi registou um crescimento robusto nas suas três principais áreas de negócio</w:t>
      </w:r>
      <w:r w:rsidR="66551D97" w:rsidRPr="00F6088A">
        <w:rPr>
          <w:rFonts w:ascii="Arial" w:eastAsia="Arial" w:hAnsi="Arial" w:cs="Arial"/>
          <w:sz w:val="22"/>
          <w:szCs w:val="22"/>
        </w:rPr>
        <w:t xml:space="preserve"> –</w:t>
      </w:r>
      <w:r w:rsidR="66551D97" w:rsidRPr="00F6088A">
        <w:rPr>
          <w:rFonts w:ascii="Arial" w:eastAsia="Arial" w:hAnsi="Arial" w:cs="Arial"/>
          <w:i/>
          <w:iCs/>
          <w:sz w:val="22"/>
          <w:szCs w:val="22"/>
        </w:rPr>
        <w:t>smartphones</w:t>
      </w:r>
      <w:r w:rsidR="66551D97" w:rsidRPr="00F6088A">
        <w:rPr>
          <w:rFonts w:ascii="Arial" w:eastAsia="Arial" w:hAnsi="Arial" w:cs="Arial"/>
          <w:sz w:val="22"/>
          <w:szCs w:val="22"/>
        </w:rPr>
        <w:t xml:space="preserve">, veículos elétricos inteligentes e </w:t>
      </w:r>
      <w:r w:rsidR="20BC5C66" w:rsidRPr="00F6088A">
        <w:rPr>
          <w:rFonts w:ascii="Arial" w:eastAsia="Arial" w:hAnsi="Arial" w:cs="Arial"/>
          <w:sz w:val="22"/>
          <w:szCs w:val="22"/>
        </w:rPr>
        <w:t xml:space="preserve">grandes </w:t>
      </w:r>
      <w:r w:rsidR="66551D97" w:rsidRPr="00F6088A">
        <w:rPr>
          <w:rFonts w:ascii="Arial" w:eastAsia="Arial" w:hAnsi="Arial" w:cs="Arial"/>
          <w:sz w:val="22"/>
          <w:szCs w:val="22"/>
        </w:rPr>
        <w:t>eletrodomésticos inteligentes –</w:t>
      </w:r>
      <w:r w:rsidR="532046C6" w:rsidRPr="00F6088A">
        <w:rPr>
          <w:rFonts w:ascii="Arial" w:eastAsia="Arial" w:hAnsi="Arial" w:cs="Arial"/>
          <w:sz w:val="22"/>
          <w:szCs w:val="22"/>
        </w:rPr>
        <w:t xml:space="preserve"> durante o segundo trimestre. 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As receitas do segmento de </w:t>
      </w:r>
      <w:r w:rsidR="5FC28F3F"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atingiram os 45,5 mil milhões de yuans (cerca de </w:t>
      </w:r>
      <w:r w:rsidR="5335D768" w:rsidRPr="00F6088A">
        <w:rPr>
          <w:rFonts w:ascii="Arial" w:eastAsia="Arial" w:hAnsi="Arial" w:cs="Arial"/>
          <w:sz w:val="22"/>
          <w:szCs w:val="22"/>
        </w:rPr>
        <w:t>5,4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 mil milhões de euros), com </w:t>
      </w:r>
      <w:r w:rsidR="3AA78201" w:rsidRPr="00F6088A">
        <w:rPr>
          <w:rFonts w:ascii="Arial" w:eastAsia="Arial" w:hAnsi="Arial" w:cs="Arial"/>
          <w:sz w:val="22"/>
          <w:szCs w:val="22"/>
        </w:rPr>
        <w:t>os envio</w:t>
      </w:r>
      <w:r w:rsidR="5FC28F3F" w:rsidRPr="00F6088A">
        <w:rPr>
          <w:rFonts w:ascii="Arial" w:eastAsia="Arial" w:hAnsi="Arial" w:cs="Arial"/>
          <w:sz w:val="22"/>
          <w:szCs w:val="22"/>
        </w:rPr>
        <w:t>s a crescer</w:t>
      </w:r>
      <w:r w:rsidR="57C0E51A" w:rsidRPr="00F6088A">
        <w:rPr>
          <w:rFonts w:ascii="Arial" w:eastAsia="Arial" w:hAnsi="Arial" w:cs="Arial"/>
          <w:sz w:val="22"/>
          <w:szCs w:val="22"/>
        </w:rPr>
        <w:t>em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 pelo oitavo trimestre consecutivo e a manterem a marca no top 3 global pelo vigésimo trimestre seguido. Já o segmento de IoT e </w:t>
      </w:r>
      <w:r w:rsidR="5FC28F3F" w:rsidRPr="00F6088A">
        <w:rPr>
          <w:rFonts w:ascii="Arial" w:eastAsia="Arial" w:hAnsi="Arial" w:cs="Arial"/>
          <w:i/>
          <w:iCs/>
          <w:sz w:val="22"/>
          <w:szCs w:val="22"/>
        </w:rPr>
        <w:t xml:space="preserve">lifestyle 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alcançou um novo recorde de 38,7 mil milhões de </w:t>
      </w:r>
      <w:r w:rsidR="1CE32DB3" w:rsidRPr="00F6088A">
        <w:rPr>
          <w:rFonts w:ascii="Arial" w:eastAsia="Arial" w:hAnsi="Arial" w:cs="Arial"/>
          <w:sz w:val="22"/>
          <w:szCs w:val="22"/>
        </w:rPr>
        <w:t xml:space="preserve">yuans (cerca de </w:t>
      </w:r>
      <w:r w:rsidR="3C23A151" w:rsidRPr="00F6088A">
        <w:rPr>
          <w:rFonts w:ascii="Arial" w:eastAsia="Arial" w:hAnsi="Arial" w:cs="Arial"/>
          <w:sz w:val="22"/>
          <w:szCs w:val="22"/>
        </w:rPr>
        <w:t>4,6</w:t>
      </w:r>
      <w:r w:rsidR="00F230ED" w:rsidRPr="00F6088A">
        <w:rPr>
          <w:rFonts w:ascii="Arial" w:eastAsia="Arial" w:hAnsi="Arial" w:cs="Arial"/>
          <w:sz w:val="22"/>
          <w:szCs w:val="22"/>
        </w:rPr>
        <w:t xml:space="preserve"> mil</w:t>
      </w:r>
      <w:r w:rsidR="1CE32DB3" w:rsidRPr="00F6088A">
        <w:rPr>
          <w:rFonts w:ascii="Arial" w:eastAsia="Arial" w:hAnsi="Arial" w:cs="Arial"/>
          <w:sz w:val="22"/>
          <w:szCs w:val="22"/>
        </w:rPr>
        <w:t xml:space="preserve"> milhões de euros)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, traduzindo-se num aumento de 44,7% face ao ano anterior, impulsionado sobretudo por uma subida de 66,2% nas receitas de eletrodomésticos inteligentes. O segmento de veículos elétricos inteligentes, IA e outras novas iniciativas gerou 21,3 mil milhões de </w:t>
      </w:r>
      <w:r w:rsidR="2EACD7FC" w:rsidRPr="00F6088A">
        <w:rPr>
          <w:rFonts w:ascii="Arial" w:eastAsia="Arial" w:hAnsi="Arial" w:cs="Arial"/>
          <w:sz w:val="22"/>
          <w:szCs w:val="22"/>
        </w:rPr>
        <w:t>yuans</w:t>
      </w:r>
      <w:r w:rsidR="2BEC265B" w:rsidRPr="00F6088A">
        <w:rPr>
          <w:rFonts w:ascii="Arial" w:eastAsia="Arial" w:hAnsi="Arial" w:cs="Arial"/>
          <w:sz w:val="22"/>
          <w:szCs w:val="22"/>
        </w:rPr>
        <w:t xml:space="preserve"> (cerca de </w:t>
      </w:r>
      <w:r w:rsidR="070E3186" w:rsidRPr="00F6088A">
        <w:rPr>
          <w:rFonts w:ascii="Arial" w:eastAsia="Arial" w:hAnsi="Arial" w:cs="Arial"/>
          <w:sz w:val="22"/>
          <w:szCs w:val="22"/>
        </w:rPr>
        <w:t>2,5</w:t>
      </w:r>
      <w:r w:rsidR="00F230ED" w:rsidRPr="00F6088A">
        <w:rPr>
          <w:rFonts w:ascii="Arial" w:eastAsia="Arial" w:hAnsi="Arial" w:cs="Arial"/>
          <w:sz w:val="22"/>
          <w:szCs w:val="22"/>
        </w:rPr>
        <w:t xml:space="preserve"> mil</w:t>
      </w:r>
      <w:r w:rsidR="2BEC265B" w:rsidRPr="00F6088A">
        <w:rPr>
          <w:rFonts w:ascii="Arial" w:eastAsia="Arial" w:hAnsi="Arial" w:cs="Arial"/>
          <w:sz w:val="22"/>
          <w:szCs w:val="22"/>
        </w:rPr>
        <w:t xml:space="preserve"> milhões de euros),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 um aumento expressivo de 234% em termos homólogos, com as receitas de veículos elétricos a ultrapassarem, pela primeira vez, os 20 mil milhões de </w:t>
      </w:r>
      <w:r w:rsidR="7D16F05B" w:rsidRPr="00F6088A">
        <w:rPr>
          <w:rFonts w:ascii="Arial" w:eastAsia="Arial" w:hAnsi="Arial" w:cs="Arial"/>
          <w:sz w:val="22"/>
          <w:szCs w:val="22"/>
        </w:rPr>
        <w:t>yuans,</w:t>
      </w:r>
      <w:r w:rsidR="5FC28F3F" w:rsidRPr="00F6088A">
        <w:rPr>
          <w:rFonts w:ascii="Arial" w:eastAsia="Arial" w:hAnsi="Arial" w:cs="Arial"/>
          <w:sz w:val="22"/>
          <w:szCs w:val="22"/>
        </w:rPr>
        <w:t xml:space="preserve"> um marco significativo para </w:t>
      </w:r>
      <w:r w:rsidR="242B5EC2" w:rsidRPr="00F6088A">
        <w:rPr>
          <w:rFonts w:ascii="Arial" w:eastAsia="Arial" w:hAnsi="Arial" w:cs="Arial"/>
          <w:sz w:val="22"/>
          <w:szCs w:val="22"/>
        </w:rPr>
        <w:t xml:space="preserve">o </w:t>
      </w:r>
      <w:r w:rsidR="5FC28F3F" w:rsidRPr="00F6088A">
        <w:rPr>
          <w:rFonts w:ascii="Arial" w:eastAsia="Arial" w:hAnsi="Arial" w:cs="Arial"/>
          <w:sz w:val="22"/>
          <w:szCs w:val="22"/>
        </w:rPr>
        <w:t>negócio.</w:t>
      </w:r>
    </w:p>
    <w:p w14:paraId="07C56F33" w14:textId="6C51D868" w:rsidR="49D27059" w:rsidRPr="00F6088A" w:rsidRDefault="49D27059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 xml:space="preserve">A aposta da Xiaomi no segmento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premium </w:t>
      </w:r>
      <w:r w:rsidRPr="00F6088A">
        <w:rPr>
          <w:rFonts w:ascii="Arial" w:eastAsia="Arial" w:hAnsi="Arial" w:cs="Arial"/>
          <w:sz w:val="22"/>
          <w:szCs w:val="22"/>
        </w:rPr>
        <w:t xml:space="preserve">em todas as categorias de produtos continua a acelerar. No segundo trimestre, a quota de mercado do Grupo nos segmentos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="5606B0BF" w:rsidRPr="00F6088A">
        <w:rPr>
          <w:rFonts w:ascii="Arial" w:eastAsia="Arial" w:hAnsi="Arial" w:cs="Arial"/>
          <w:sz w:val="22"/>
          <w:szCs w:val="22"/>
        </w:rPr>
        <w:t>topo de gama</w:t>
      </w:r>
      <w:r w:rsidRPr="00F6088A">
        <w:rPr>
          <w:rFonts w:ascii="Arial" w:eastAsia="Arial" w:hAnsi="Arial" w:cs="Arial"/>
          <w:sz w:val="22"/>
          <w:szCs w:val="22"/>
        </w:rPr>
        <w:t xml:space="preserve"> manteve a sua trajetória de crescimento. Em junho, a marca lançou o seu primeiro SUV, </w:t>
      </w:r>
      <w:r w:rsidR="03D77732" w:rsidRPr="00F6088A">
        <w:rPr>
          <w:rFonts w:ascii="Arial" w:eastAsia="Arial" w:hAnsi="Arial" w:cs="Arial"/>
          <w:sz w:val="22"/>
          <w:szCs w:val="22"/>
        </w:rPr>
        <w:t>o</w:t>
      </w:r>
      <w:r w:rsidRPr="00F6088A">
        <w:rPr>
          <w:rFonts w:ascii="Arial" w:eastAsia="Arial" w:hAnsi="Arial" w:cs="Arial"/>
          <w:sz w:val="22"/>
          <w:szCs w:val="22"/>
        </w:rPr>
        <w:t xml:space="preserve"> Xiaomi YU7, </w:t>
      </w:r>
      <w:r w:rsidR="671F0436" w:rsidRPr="00F6088A">
        <w:rPr>
          <w:rFonts w:ascii="Arial" w:eastAsia="Arial" w:hAnsi="Arial" w:cs="Arial"/>
          <w:sz w:val="22"/>
          <w:szCs w:val="22"/>
        </w:rPr>
        <w:t xml:space="preserve">que se posiciona </w:t>
      </w:r>
      <w:r w:rsidRPr="00F6088A">
        <w:rPr>
          <w:rFonts w:ascii="Arial" w:eastAsia="Arial" w:hAnsi="Arial" w:cs="Arial"/>
          <w:sz w:val="22"/>
          <w:szCs w:val="22"/>
        </w:rPr>
        <w:t xml:space="preserve">como um «SUV de luxo de </w:t>
      </w:r>
      <w:r w:rsidRPr="00F6088A">
        <w:rPr>
          <w:rFonts w:ascii="Arial" w:eastAsia="Arial" w:hAnsi="Arial" w:cs="Arial"/>
          <w:sz w:val="22"/>
          <w:szCs w:val="22"/>
        </w:rPr>
        <w:lastRenderedPageBreak/>
        <w:t>alto desempenho». O modelo teve uma receção excecional</w:t>
      </w:r>
      <w:r w:rsidR="658441C7" w:rsidRPr="00F6088A">
        <w:rPr>
          <w:rFonts w:ascii="Arial" w:eastAsia="Arial" w:hAnsi="Arial" w:cs="Arial"/>
          <w:sz w:val="22"/>
          <w:szCs w:val="22"/>
        </w:rPr>
        <w:t xml:space="preserve"> no mercado</w:t>
      </w:r>
      <w:r w:rsidRPr="00F6088A">
        <w:rPr>
          <w:rFonts w:ascii="Arial" w:eastAsia="Arial" w:hAnsi="Arial" w:cs="Arial"/>
          <w:sz w:val="22"/>
          <w:szCs w:val="22"/>
        </w:rPr>
        <w:t>, acumulando mais de 240 mil encomendas confirmadas nas primeiras 18 horas após o lançamento.</w:t>
      </w:r>
    </w:p>
    <w:p w14:paraId="11ED1B7D" w14:textId="6FF25D5C" w:rsidR="5621F108" w:rsidRPr="00F6088A" w:rsidRDefault="5621F108" w:rsidP="33BE62A2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6088A">
        <w:rPr>
          <w:rFonts w:ascii="Arial" w:eastAsia="Arial" w:hAnsi="Arial" w:cs="Arial"/>
          <w:b/>
          <w:bCs/>
          <w:sz w:val="22"/>
          <w:szCs w:val="22"/>
        </w:rPr>
        <w:t xml:space="preserve">Xiaomi mantém-se no top 3 global de </w:t>
      </w:r>
      <w:r w:rsidRPr="00F6088A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smartphones </w:t>
      </w:r>
      <w:r w:rsidRPr="00F6088A">
        <w:rPr>
          <w:rFonts w:ascii="Arial" w:eastAsia="Arial" w:hAnsi="Arial" w:cs="Arial"/>
          <w:b/>
          <w:bCs/>
          <w:sz w:val="22"/>
          <w:szCs w:val="22"/>
        </w:rPr>
        <w:t xml:space="preserve">há 20 trimestres consecutivos, reforçando a aposta no segmento </w:t>
      </w:r>
      <w:r w:rsidRPr="00F6088A">
        <w:rPr>
          <w:rFonts w:ascii="Arial" w:eastAsia="Arial" w:hAnsi="Arial" w:cs="Arial"/>
          <w:b/>
          <w:bCs/>
          <w:i/>
          <w:iCs/>
          <w:sz w:val="22"/>
          <w:szCs w:val="22"/>
        </w:rPr>
        <w:t>premium</w:t>
      </w:r>
    </w:p>
    <w:p w14:paraId="25187703" w14:textId="24E46DCB" w:rsidR="5EDD912E" w:rsidRPr="00F6088A" w:rsidRDefault="5EDD912E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 xml:space="preserve">Apesar da pressão </w:t>
      </w:r>
      <w:r w:rsidR="2DFBA39F" w:rsidRPr="00F6088A">
        <w:rPr>
          <w:rFonts w:ascii="Arial" w:eastAsia="Arial" w:hAnsi="Arial" w:cs="Arial"/>
          <w:sz w:val="22"/>
          <w:szCs w:val="22"/>
        </w:rPr>
        <w:t>sentida n</w:t>
      </w:r>
      <w:r w:rsidRPr="00F6088A">
        <w:rPr>
          <w:rFonts w:ascii="Arial" w:eastAsia="Arial" w:hAnsi="Arial" w:cs="Arial"/>
          <w:sz w:val="22"/>
          <w:szCs w:val="22"/>
        </w:rPr>
        <w:t xml:space="preserve">o mercado global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Pr="00F6088A">
        <w:rPr>
          <w:rFonts w:ascii="Arial" w:eastAsia="Arial" w:hAnsi="Arial" w:cs="Arial"/>
          <w:sz w:val="22"/>
          <w:szCs w:val="22"/>
        </w:rPr>
        <w:t xml:space="preserve">durante o segundo trimestre, o segmento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Pr="00F6088A">
        <w:rPr>
          <w:rFonts w:ascii="Arial" w:eastAsia="Arial" w:hAnsi="Arial" w:cs="Arial"/>
          <w:sz w:val="22"/>
          <w:szCs w:val="22"/>
        </w:rPr>
        <w:t>da Xiaomi demonstrou uma resiliência notável, tanto na China continental como nos mercados internacionais. As receitas do segmento atingiram 45,5 mil milhões de yuans (</w:t>
      </w:r>
      <w:r w:rsidR="56FFCDA7" w:rsidRPr="00F6088A">
        <w:rPr>
          <w:rFonts w:ascii="Arial" w:eastAsia="Arial" w:hAnsi="Arial" w:cs="Arial"/>
          <w:sz w:val="22"/>
          <w:szCs w:val="22"/>
        </w:rPr>
        <w:t>cerca de 5,4 mil milhões de euros</w:t>
      </w:r>
      <w:r w:rsidR="55814066" w:rsidRPr="00F6088A">
        <w:rPr>
          <w:rFonts w:ascii="Arial" w:eastAsia="Arial" w:hAnsi="Arial" w:cs="Arial"/>
          <w:sz w:val="22"/>
          <w:szCs w:val="22"/>
        </w:rPr>
        <w:t xml:space="preserve">) </w:t>
      </w:r>
      <w:r w:rsidRPr="00F6088A">
        <w:rPr>
          <w:rFonts w:ascii="Arial" w:eastAsia="Arial" w:hAnsi="Arial" w:cs="Arial"/>
          <w:sz w:val="22"/>
          <w:szCs w:val="22"/>
        </w:rPr>
        <w:t xml:space="preserve">e os envios globais totalizaram </w:t>
      </w:r>
      <w:r w:rsidR="33D17307" w:rsidRPr="00F6088A">
        <w:rPr>
          <w:rFonts w:ascii="Arial" w:eastAsia="Arial" w:hAnsi="Arial" w:cs="Arial"/>
          <w:sz w:val="22"/>
          <w:szCs w:val="22"/>
        </w:rPr>
        <w:t xml:space="preserve">os </w:t>
      </w:r>
      <w:r w:rsidRPr="00F6088A">
        <w:rPr>
          <w:rFonts w:ascii="Arial" w:eastAsia="Arial" w:hAnsi="Arial" w:cs="Arial"/>
          <w:sz w:val="22"/>
          <w:szCs w:val="22"/>
        </w:rPr>
        <w:t xml:space="preserve">42,4 milhões de unidades, assinalando o oitavo trimestre consecutivo de crescimento homólogo. Segundo a Canalys (atualmente </w:t>
      </w:r>
      <w:r w:rsidR="2E6A3B6B" w:rsidRPr="00F6088A">
        <w:rPr>
          <w:rFonts w:ascii="Arial" w:eastAsia="Arial" w:hAnsi="Arial" w:cs="Arial"/>
          <w:sz w:val="22"/>
          <w:szCs w:val="22"/>
        </w:rPr>
        <w:t>parte</w:t>
      </w:r>
      <w:r w:rsidRPr="00F6088A">
        <w:rPr>
          <w:rFonts w:ascii="Arial" w:eastAsia="Arial" w:hAnsi="Arial" w:cs="Arial"/>
          <w:sz w:val="22"/>
          <w:szCs w:val="22"/>
        </w:rPr>
        <w:t xml:space="preserve"> </w:t>
      </w:r>
      <w:r w:rsidR="2E6A3B6B" w:rsidRPr="00F6088A">
        <w:rPr>
          <w:rFonts w:ascii="Arial" w:eastAsia="Arial" w:hAnsi="Arial" w:cs="Arial"/>
          <w:sz w:val="22"/>
          <w:szCs w:val="22"/>
        </w:rPr>
        <w:t>d</w:t>
      </w:r>
      <w:r w:rsidRPr="00F6088A">
        <w:rPr>
          <w:rFonts w:ascii="Arial" w:eastAsia="Arial" w:hAnsi="Arial" w:cs="Arial"/>
          <w:sz w:val="22"/>
          <w:szCs w:val="22"/>
        </w:rPr>
        <w:t xml:space="preserve">a Omdia), a quota de mercado global da Xiaomi </w:t>
      </w:r>
      <w:r w:rsidR="1A871FC7" w:rsidRPr="00F6088A">
        <w:rPr>
          <w:rFonts w:ascii="Arial" w:eastAsia="Arial" w:hAnsi="Arial" w:cs="Arial"/>
          <w:sz w:val="22"/>
          <w:szCs w:val="22"/>
        </w:rPr>
        <w:t>no que diz respeito a</w:t>
      </w:r>
      <w:r w:rsidRPr="00F6088A">
        <w:rPr>
          <w:rFonts w:ascii="Arial" w:eastAsia="Arial" w:hAnsi="Arial" w:cs="Arial"/>
          <w:sz w:val="22"/>
          <w:szCs w:val="22"/>
        </w:rPr>
        <w:t xml:space="preserve"> envios foi de 14,7% no segundo trimestre de 2025, assegurando à marca uma posição no top 3 mundial pelo 20.º trimestre consecutivo. </w:t>
      </w:r>
      <w:r w:rsidR="2D596FB9" w:rsidRPr="00F6088A">
        <w:rPr>
          <w:rFonts w:ascii="Arial" w:eastAsia="Arial" w:hAnsi="Arial" w:cs="Arial"/>
          <w:sz w:val="22"/>
          <w:szCs w:val="22"/>
        </w:rPr>
        <w:t xml:space="preserve">Após ter regressado ao primeiro lugar em envios de </w:t>
      </w:r>
      <w:r w:rsidR="2D596FB9"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="2D596FB9" w:rsidRPr="00F6088A">
        <w:rPr>
          <w:rFonts w:ascii="Arial" w:eastAsia="Arial" w:hAnsi="Arial" w:cs="Arial"/>
          <w:sz w:val="22"/>
          <w:szCs w:val="22"/>
        </w:rPr>
        <w:t>na China continental no primeiro trimestre do ano, a Xiaomi manteve a liderança em novas ativações de dispositivos no segundo trimestre.</w:t>
      </w:r>
    </w:p>
    <w:p w14:paraId="48CD6BE3" w14:textId="7D02BA58" w:rsidR="55179F9D" w:rsidRPr="00F6088A" w:rsidRDefault="55179F9D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 xml:space="preserve">A aposta do Grupo no segmento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premium </w:t>
      </w:r>
      <w:r w:rsidRPr="00F6088A">
        <w:rPr>
          <w:rFonts w:ascii="Arial" w:eastAsia="Arial" w:hAnsi="Arial" w:cs="Arial"/>
          <w:sz w:val="22"/>
          <w:szCs w:val="22"/>
        </w:rPr>
        <w:t xml:space="preserve">continuou a gerar resultados expressivos. De acordo com dados de </w:t>
      </w:r>
      <w:r w:rsidR="52AE6022" w:rsidRPr="00F6088A">
        <w:rPr>
          <w:rFonts w:ascii="Arial" w:eastAsia="Arial" w:hAnsi="Arial" w:cs="Arial"/>
          <w:sz w:val="22"/>
          <w:szCs w:val="22"/>
        </w:rPr>
        <w:t>fontes externas</w:t>
      </w:r>
      <w:r w:rsidRPr="00F6088A">
        <w:rPr>
          <w:rFonts w:ascii="Arial" w:eastAsia="Arial" w:hAnsi="Arial" w:cs="Arial"/>
          <w:sz w:val="22"/>
          <w:szCs w:val="22"/>
        </w:rPr>
        <w:t xml:space="preserve">, as vendas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Pr="00F6088A">
        <w:rPr>
          <w:rFonts w:ascii="Arial" w:eastAsia="Arial" w:hAnsi="Arial" w:cs="Arial"/>
          <w:sz w:val="22"/>
          <w:szCs w:val="22"/>
        </w:rPr>
        <w:t>topo de gama</w:t>
      </w:r>
      <w:r w:rsidR="78976142" w:rsidRPr="00F6088A">
        <w:rPr>
          <w:rFonts w:ascii="Arial" w:eastAsia="Arial" w:hAnsi="Arial" w:cs="Arial"/>
          <w:sz w:val="22"/>
          <w:szCs w:val="22"/>
        </w:rPr>
        <w:t xml:space="preserve"> </w:t>
      </w:r>
      <w:r w:rsidRPr="00F6088A">
        <w:rPr>
          <w:rFonts w:ascii="Arial" w:eastAsia="Arial" w:hAnsi="Arial" w:cs="Arial"/>
          <w:sz w:val="22"/>
          <w:szCs w:val="22"/>
        </w:rPr>
        <w:t xml:space="preserve">(com preço igual ou superior a </w:t>
      </w:r>
      <w:r w:rsidR="40674A91" w:rsidRPr="00F6088A">
        <w:rPr>
          <w:rFonts w:ascii="Arial" w:eastAsia="Arial" w:hAnsi="Arial" w:cs="Arial"/>
          <w:sz w:val="22"/>
          <w:szCs w:val="22"/>
        </w:rPr>
        <w:t>3 mil</w:t>
      </w:r>
      <w:r w:rsidRPr="00F6088A">
        <w:rPr>
          <w:rFonts w:ascii="Arial" w:eastAsia="Arial" w:hAnsi="Arial" w:cs="Arial"/>
          <w:sz w:val="22"/>
          <w:szCs w:val="22"/>
        </w:rPr>
        <w:t xml:space="preserve"> </w:t>
      </w:r>
      <w:r w:rsidR="0D039BED" w:rsidRPr="00F6088A">
        <w:rPr>
          <w:rFonts w:ascii="Arial" w:eastAsia="Arial" w:hAnsi="Arial" w:cs="Arial"/>
          <w:sz w:val="22"/>
          <w:szCs w:val="22"/>
        </w:rPr>
        <w:t>yuans</w:t>
      </w:r>
      <w:r w:rsidRPr="00F6088A">
        <w:rPr>
          <w:rFonts w:ascii="Arial" w:eastAsia="Arial" w:hAnsi="Arial" w:cs="Arial"/>
          <w:sz w:val="22"/>
          <w:szCs w:val="22"/>
        </w:rPr>
        <w:t xml:space="preserve">) na China continental representaram 27,6% do total das vendas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smartphones </w:t>
      </w:r>
      <w:r w:rsidRPr="00F6088A">
        <w:rPr>
          <w:rFonts w:ascii="Arial" w:eastAsia="Arial" w:hAnsi="Arial" w:cs="Arial"/>
          <w:sz w:val="22"/>
          <w:szCs w:val="22"/>
        </w:rPr>
        <w:t>do Grupo, um aumento de 5,5 pontos percentuais face ao ano anterior. O Grupo reforçou a liderança no segmento de 4</w:t>
      </w:r>
      <w:r w:rsidR="1E8D7233" w:rsidRPr="00F6088A">
        <w:rPr>
          <w:rFonts w:ascii="Arial" w:eastAsia="Arial" w:hAnsi="Arial" w:cs="Arial"/>
          <w:sz w:val="22"/>
          <w:szCs w:val="22"/>
        </w:rPr>
        <w:t xml:space="preserve"> mil a 5 mil yuans</w:t>
      </w:r>
      <w:r w:rsidRPr="00F6088A">
        <w:rPr>
          <w:rFonts w:ascii="Arial" w:eastAsia="Arial" w:hAnsi="Arial" w:cs="Arial"/>
          <w:sz w:val="22"/>
          <w:szCs w:val="22"/>
        </w:rPr>
        <w:t xml:space="preserve">, onde a quota de mercado cresceu 4,5 pontos percentuais </w:t>
      </w:r>
      <w:r w:rsidR="6F27A1F7" w:rsidRPr="00F6088A">
        <w:rPr>
          <w:rFonts w:ascii="Arial" w:eastAsia="Arial" w:hAnsi="Arial" w:cs="Arial"/>
          <w:sz w:val="22"/>
          <w:szCs w:val="22"/>
        </w:rPr>
        <w:t>face ao período homólogo</w:t>
      </w:r>
      <w:r w:rsidRPr="00F6088A">
        <w:rPr>
          <w:rFonts w:ascii="Arial" w:eastAsia="Arial" w:hAnsi="Arial" w:cs="Arial"/>
          <w:sz w:val="22"/>
          <w:szCs w:val="22"/>
        </w:rPr>
        <w:t xml:space="preserve">, para 24,7%, consolidando a sua posição como número um no mercado </w:t>
      </w:r>
      <w:r w:rsidR="2A4C5CAC" w:rsidRPr="00F6088A">
        <w:rPr>
          <w:rFonts w:ascii="Arial" w:eastAsia="Arial" w:hAnsi="Arial" w:cs="Arial"/>
          <w:sz w:val="22"/>
          <w:szCs w:val="22"/>
        </w:rPr>
        <w:t>doméstic</w:t>
      </w:r>
      <w:r w:rsidRPr="00F6088A">
        <w:rPr>
          <w:rFonts w:ascii="Arial" w:eastAsia="Arial" w:hAnsi="Arial" w:cs="Arial"/>
          <w:sz w:val="22"/>
          <w:szCs w:val="22"/>
        </w:rPr>
        <w:t>o. Já no segmento de 5</w:t>
      </w:r>
      <w:r w:rsidR="0DEBF3E4" w:rsidRPr="00F6088A">
        <w:rPr>
          <w:rFonts w:ascii="Arial" w:eastAsia="Arial" w:hAnsi="Arial" w:cs="Arial"/>
          <w:sz w:val="22"/>
          <w:szCs w:val="22"/>
        </w:rPr>
        <w:t xml:space="preserve"> mil a 6 mil yuans</w:t>
      </w:r>
      <w:r w:rsidRPr="00F6088A">
        <w:rPr>
          <w:rFonts w:ascii="Arial" w:eastAsia="Arial" w:hAnsi="Arial" w:cs="Arial"/>
          <w:sz w:val="22"/>
          <w:szCs w:val="22"/>
        </w:rPr>
        <w:t xml:space="preserve">, a quota de mercado atingiu </w:t>
      </w:r>
      <w:r w:rsidR="510C599B" w:rsidRPr="00F6088A">
        <w:rPr>
          <w:rFonts w:ascii="Arial" w:eastAsia="Arial" w:hAnsi="Arial" w:cs="Arial"/>
          <w:sz w:val="22"/>
          <w:szCs w:val="22"/>
        </w:rPr>
        <w:t xml:space="preserve">os </w:t>
      </w:r>
      <w:r w:rsidRPr="00F6088A">
        <w:rPr>
          <w:rFonts w:ascii="Arial" w:eastAsia="Arial" w:hAnsi="Arial" w:cs="Arial"/>
          <w:sz w:val="22"/>
          <w:szCs w:val="22"/>
        </w:rPr>
        <w:t>15,4%, uma subida de 6,5 pontos percentuais em relação ao mesmo período do ano passado.</w:t>
      </w:r>
    </w:p>
    <w:p w14:paraId="53703F79" w14:textId="46392EBF" w:rsidR="0C3B3806" w:rsidRPr="00F6088A" w:rsidRDefault="0C3B3806" w:rsidP="33BE62A2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6088A">
        <w:rPr>
          <w:rFonts w:ascii="Arial" w:eastAsia="Arial" w:hAnsi="Arial" w:cs="Arial"/>
          <w:b/>
          <w:bCs/>
          <w:sz w:val="22"/>
          <w:szCs w:val="22"/>
        </w:rPr>
        <w:t xml:space="preserve">Veículos elétricos da Xiaomi continuam a crescer, marcando a entrada numa fase de </w:t>
      </w:r>
      <w:r w:rsidR="03157C29" w:rsidRPr="00F6088A">
        <w:rPr>
          <w:rFonts w:ascii="Arial" w:eastAsia="Arial" w:hAnsi="Arial" w:cs="Arial"/>
          <w:b/>
          <w:bCs/>
          <w:sz w:val="22"/>
          <w:szCs w:val="22"/>
        </w:rPr>
        <w:t>expansão em escala</w:t>
      </w:r>
    </w:p>
    <w:p w14:paraId="64B7ABB9" w14:textId="25C43F46" w:rsidR="03157C29" w:rsidRPr="00F6088A" w:rsidRDefault="03157C29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>O segmento de veículos elétricos inteligentes, IA e outras novas iniciativas da Xiaomi registou um crescimento expressivo no segundo trimestre. As receitas totais atingiram 21,3 mil milhões de yuans (</w:t>
      </w:r>
      <w:r w:rsidR="48D44A4E" w:rsidRPr="00F6088A">
        <w:rPr>
          <w:rFonts w:ascii="Arial" w:eastAsia="Arial" w:hAnsi="Arial" w:cs="Arial"/>
          <w:sz w:val="22"/>
          <w:szCs w:val="22"/>
        </w:rPr>
        <w:t>cerca de 2,5</w:t>
      </w:r>
      <w:r w:rsidR="001B4AAD" w:rsidRPr="00F6088A">
        <w:rPr>
          <w:rFonts w:ascii="Arial" w:eastAsia="Arial" w:hAnsi="Arial" w:cs="Arial"/>
          <w:sz w:val="22"/>
          <w:szCs w:val="22"/>
        </w:rPr>
        <w:t xml:space="preserve"> mil</w:t>
      </w:r>
      <w:r w:rsidR="48D44A4E" w:rsidRPr="00F6088A">
        <w:rPr>
          <w:rFonts w:ascii="Arial" w:eastAsia="Arial" w:hAnsi="Arial" w:cs="Arial"/>
          <w:sz w:val="22"/>
          <w:szCs w:val="22"/>
        </w:rPr>
        <w:t xml:space="preserve"> milhões de euros)</w:t>
      </w:r>
      <w:r w:rsidRPr="00F6088A">
        <w:rPr>
          <w:rFonts w:ascii="Arial" w:eastAsia="Arial" w:hAnsi="Arial" w:cs="Arial"/>
          <w:sz w:val="22"/>
          <w:szCs w:val="22"/>
        </w:rPr>
        <w:t>, com a receita de veículos elétricos a ultrapassar, pela primeira vez, os 20 mil milhões de yuans, um marco que assinala a entrada do negócio numa nova fase de crescimento em escala. No mesmo período, as entregas de veículos elétricos da Xiaomi continuaram a aumentar, totalizando</w:t>
      </w:r>
      <w:r w:rsidR="75F06B03" w:rsidRPr="00F6088A">
        <w:rPr>
          <w:rFonts w:ascii="Arial" w:eastAsia="Arial" w:hAnsi="Arial" w:cs="Arial"/>
          <w:sz w:val="22"/>
          <w:szCs w:val="22"/>
        </w:rPr>
        <w:t xml:space="preserve"> as</w:t>
      </w:r>
      <w:r w:rsidRPr="00F6088A">
        <w:rPr>
          <w:rFonts w:ascii="Arial" w:eastAsia="Arial" w:hAnsi="Arial" w:cs="Arial"/>
          <w:sz w:val="22"/>
          <w:szCs w:val="22"/>
        </w:rPr>
        <w:t xml:space="preserve"> 81</w:t>
      </w:r>
      <w:r w:rsidR="6611D88E" w:rsidRPr="00F6088A">
        <w:rPr>
          <w:rFonts w:ascii="Arial" w:eastAsia="Arial" w:hAnsi="Arial" w:cs="Arial"/>
          <w:sz w:val="22"/>
          <w:szCs w:val="22"/>
        </w:rPr>
        <w:t xml:space="preserve"> </w:t>
      </w:r>
      <w:r w:rsidRPr="00F6088A">
        <w:rPr>
          <w:rFonts w:ascii="Arial" w:eastAsia="Arial" w:hAnsi="Arial" w:cs="Arial"/>
          <w:sz w:val="22"/>
          <w:szCs w:val="22"/>
        </w:rPr>
        <w:t>302 unidades.</w:t>
      </w:r>
    </w:p>
    <w:p w14:paraId="3EDE45B6" w14:textId="34B81155" w:rsidR="5FB6DEAE" w:rsidRPr="00F6088A" w:rsidRDefault="5FB6DEAE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t xml:space="preserve">Importa destacar que, mesmo antes do início das entregas do Xiaomi YU7, o Grupo já tinha colocado mais de 157 mil veículos no mercado durante o primeiro semestre do ano. Em julho de 2025, as entregas acumuladas desde o lançamento do Xiaomi EV ultrapassaram as 300 mil unidades. No segundo trimestre, o prejuízo operacional do negócio de veículos elétricos reduziu-se para 300 milhões de </w:t>
      </w:r>
      <w:r w:rsidR="7329DC72" w:rsidRPr="00F6088A">
        <w:rPr>
          <w:rFonts w:ascii="Arial" w:eastAsia="Arial" w:hAnsi="Arial" w:cs="Arial"/>
          <w:sz w:val="22"/>
          <w:szCs w:val="22"/>
        </w:rPr>
        <w:t>yuans (cerca de</w:t>
      </w:r>
      <w:r w:rsidR="5CAEB84D" w:rsidRPr="00F6088A">
        <w:rPr>
          <w:rFonts w:ascii="Arial" w:eastAsia="Arial" w:hAnsi="Arial" w:cs="Arial"/>
          <w:sz w:val="22"/>
          <w:szCs w:val="22"/>
        </w:rPr>
        <w:t xml:space="preserve"> 36 milhões de euros)</w:t>
      </w:r>
      <w:r w:rsidRPr="00F6088A">
        <w:rPr>
          <w:rFonts w:ascii="Arial" w:eastAsia="Arial" w:hAnsi="Arial" w:cs="Arial"/>
          <w:sz w:val="22"/>
          <w:szCs w:val="22"/>
        </w:rPr>
        <w:t>, estando previsto alcançar o equilíbrio financeiro no segundo semestre do ano.</w:t>
      </w:r>
    </w:p>
    <w:p w14:paraId="460DC62B" w14:textId="14CF2C0F" w:rsidR="3C1E42C9" w:rsidRPr="00F6088A" w:rsidRDefault="3C1E42C9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lastRenderedPageBreak/>
        <w:t>O Grupo continuou a expandir a rede de vendas e serviços. A 30 de junho de 2025, a Xiaomi contava já com 335 centros de vendas de veículos elétricos inteligentes em 92 cidades da China continental.</w:t>
      </w:r>
    </w:p>
    <w:p w14:paraId="4BE92D80" w14:textId="3C22A7E4" w:rsidR="49EB910A" w:rsidRPr="00F6088A" w:rsidRDefault="49EB910A" w:rsidP="33BE62A2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6088A">
        <w:rPr>
          <w:rFonts w:ascii="Arial" w:eastAsia="Arial" w:hAnsi="Arial" w:cs="Arial"/>
          <w:b/>
          <w:bCs/>
          <w:sz w:val="22"/>
          <w:szCs w:val="22"/>
        </w:rPr>
        <w:t>Segmento de IoT mantém crescimento robusto, com os grandes eletrodomésticos inteligentes a desafiar a tendência de queda do mercado</w:t>
      </w:r>
    </w:p>
    <w:p w14:paraId="2E23CD08" w14:textId="7476E525" w:rsidR="431CC797" w:rsidRPr="00F6088A" w:rsidRDefault="431CC797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 xml:space="preserve">O segmento de produtos IoT 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lifestyle </w:t>
      </w:r>
      <w:r w:rsidRPr="00F6088A">
        <w:rPr>
          <w:rFonts w:ascii="Arial" w:eastAsia="Arial" w:hAnsi="Arial" w:cs="Arial"/>
          <w:sz w:val="22"/>
          <w:szCs w:val="22"/>
        </w:rPr>
        <w:t>do Grupo gerou receitas de 38,7 mil milhões de yuans no segundo trimestre (cerca de 4,6</w:t>
      </w:r>
      <w:r w:rsidR="006647E1" w:rsidRPr="00F6088A">
        <w:rPr>
          <w:rFonts w:ascii="Arial" w:eastAsia="Arial" w:hAnsi="Arial" w:cs="Arial"/>
          <w:sz w:val="22"/>
          <w:szCs w:val="22"/>
        </w:rPr>
        <w:t xml:space="preserve"> mil</w:t>
      </w:r>
      <w:r w:rsidRPr="00F6088A">
        <w:rPr>
          <w:rFonts w:ascii="Arial" w:eastAsia="Arial" w:hAnsi="Arial" w:cs="Arial"/>
          <w:sz w:val="22"/>
          <w:szCs w:val="22"/>
        </w:rPr>
        <w:t xml:space="preserve"> milhões de euros), um aumento de 44,7% face ao período homólogo, com a margem de lucro bruto a subir 2,8 pontos percentuais para 22,5%. Apesar da forte pressão competitiva no mercado alargado de eletrodomésticos, a divisão de grandes eletrodomésticos inteligentes da Xiaomi registou um desempenho notável, com receitas a crescer 66,2% em termos anuais. Os envios também contrariaram a tendência do mercado</w:t>
      </w:r>
      <w:r w:rsidR="04AA557D" w:rsidRPr="00F6088A">
        <w:rPr>
          <w:rFonts w:ascii="Arial" w:eastAsia="Arial" w:hAnsi="Arial" w:cs="Arial"/>
          <w:sz w:val="22"/>
          <w:szCs w:val="22"/>
        </w:rPr>
        <w:t>, com</w:t>
      </w:r>
      <w:r w:rsidRPr="00F6088A">
        <w:rPr>
          <w:rFonts w:ascii="Arial" w:eastAsia="Arial" w:hAnsi="Arial" w:cs="Arial"/>
          <w:sz w:val="22"/>
          <w:szCs w:val="22"/>
        </w:rPr>
        <w:t xml:space="preserve"> os aparelhos de ar condicionado </w:t>
      </w:r>
      <w:r w:rsidR="3F590ADD" w:rsidRPr="00F6088A">
        <w:rPr>
          <w:rFonts w:ascii="Arial" w:eastAsia="Arial" w:hAnsi="Arial" w:cs="Arial"/>
          <w:sz w:val="22"/>
          <w:szCs w:val="22"/>
        </w:rPr>
        <w:t xml:space="preserve">a </w:t>
      </w:r>
      <w:r w:rsidRPr="00F6088A">
        <w:rPr>
          <w:rFonts w:ascii="Arial" w:eastAsia="Arial" w:hAnsi="Arial" w:cs="Arial"/>
          <w:sz w:val="22"/>
          <w:szCs w:val="22"/>
        </w:rPr>
        <w:t>ultrapassar</w:t>
      </w:r>
      <w:r w:rsidR="36ECE2CC" w:rsidRPr="00F6088A">
        <w:rPr>
          <w:rFonts w:ascii="Arial" w:eastAsia="Arial" w:hAnsi="Arial" w:cs="Arial"/>
          <w:sz w:val="22"/>
          <w:szCs w:val="22"/>
        </w:rPr>
        <w:t>em</w:t>
      </w:r>
      <w:r w:rsidRPr="00F6088A">
        <w:rPr>
          <w:rFonts w:ascii="Arial" w:eastAsia="Arial" w:hAnsi="Arial" w:cs="Arial"/>
          <w:sz w:val="22"/>
          <w:szCs w:val="22"/>
        </w:rPr>
        <w:t xml:space="preserve"> os 5,4 milhões de unidades, um crescimento superior a 60% em relação ao ano anterior</w:t>
      </w:r>
      <w:r w:rsidR="69095912" w:rsidRPr="00F6088A">
        <w:rPr>
          <w:rFonts w:ascii="Arial" w:eastAsia="Arial" w:hAnsi="Arial" w:cs="Arial"/>
          <w:sz w:val="22"/>
          <w:szCs w:val="22"/>
        </w:rPr>
        <w:t>. O</w:t>
      </w:r>
      <w:r w:rsidRPr="00F6088A">
        <w:rPr>
          <w:rFonts w:ascii="Arial" w:eastAsia="Arial" w:hAnsi="Arial" w:cs="Arial"/>
          <w:sz w:val="22"/>
          <w:szCs w:val="22"/>
        </w:rPr>
        <w:t>s</w:t>
      </w:r>
      <w:r w:rsidR="2040060E" w:rsidRPr="00F6088A">
        <w:rPr>
          <w:rFonts w:ascii="Arial" w:eastAsia="Arial" w:hAnsi="Arial" w:cs="Arial"/>
          <w:sz w:val="22"/>
          <w:szCs w:val="22"/>
        </w:rPr>
        <w:t xml:space="preserve"> envios de</w:t>
      </w:r>
      <w:r w:rsidRPr="00F6088A">
        <w:rPr>
          <w:rFonts w:ascii="Arial" w:eastAsia="Arial" w:hAnsi="Arial" w:cs="Arial"/>
          <w:sz w:val="22"/>
          <w:szCs w:val="22"/>
        </w:rPr>
        <w:t xml:space="preserve"> frigoríficos aumentaram 25%, para mais de 790 mil unidades</w:t>
      </w:r>
      <w:r w:rsidR="695FC786" w:rsidRPr="00F6088A">
        <w:rPr>
          <w:rFonts w:ascii="Arial" w:eastAsia="Arial" w:hAnsi="Arial" w:cs="Arial"/>
          <w:sz w:val="22"/>
          <w:szCs w:val="22"/>
        </w:rPr>
        <w:t>,</w:t>
      </w:r>
      <w:r w:rsidRPr="00F6088A">
        <w:rPr>
          <w:rFonts w:ascii="Arial" w:eastAsia="Arial" w:hAnsi="Arial" w:cs="Arial"/>
          <w:sz w:val="22"/>
          <w:szCs w:val="22"/>
        </w:rPr>
        <w:t xml:space="preserve"> e as máquinas de lavar roupa subiram 45%, para mais de 600 mil unidades.</w:t>
      </w:r>
    </w:p>
    <w:p w14:paraId="170FC69B" w14:textId="68D3B86A" w:rsidR="4AA6B4AB" w:rsidRPr="00F6088A" w:rsidRDefault="4AA6B4AB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t xml:space="preserve">O segmento de tablets da Xiaomi manteve um forte dinamismo durante este período. Segundo a Canalys, os envios globais de tablets da marca cresceram 42,3% face ao ano anterior, o crescimento mais rápido entre os cinco maiores fabricantes mundiais. Já os envios de auriculares TWS colocaram a Xiaomi na segunda posição a nível global e na liderança absoluta na China continental. Em junho, o Grupo lançou os primeiros óculos Xiaomi AI Glasses, cujas vendas superaram largamente as expectativas. A versão </w:t>
      </w:r>
      <w:r w:rsidR="006647E1" w:rsidRPr="00F6088A">
        <w:rPr>
          <w:rFonts w:ascii="Arial" w:eastAsia="Arial" w:hAnsi="Arial" w:cs="Arial"/>
          <w:sz w:val="22"/>
          <w:szCs w:val="22"/>
        </w:rPr>
        <w:t>electrocrómica</w:t>
      </w:r>
      <w:r w:rsidRPr="00F6088A">
        <w:rPr>
          <w:rFonts w:ascii="Arial" w:eastAsia="Arial" w:hAnsi="Arial" w:cs="Arial"/>
          <w:sz w:val="22"/>
          <w:szCs w:val="22"/>
        </w:rPr>
        <w:t xml:space="preserve"> esgotou rapidamente e a empresa está a acelerar a produção para dar resposta à procura.</w:t>
      </w:r>
    </w:p>
    <w:p w14:paraId="6A8E69B4" w14:textId="51CB2D72" w:rsidR="1C71A779" w:rsidRPr="00F6088A" w:rsidRDefault="1C71A779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t>À data de</w:t>
      </w:r>
      <w:r w:rsidR="50AB3D24" w:rsidRPr="00F6088A">
        <w:rPr>
          <w:rFonts w:ascii="Arial" w:eastAsia="Arial" w:hAnsi="Arial" w:cs="Arial"/>
          <w:sz w:val="22"/>
          <w:szCs w:val="22"/>
        </w:rPr>
        <w:t xml:space="preserve"> </w:t>
      </w:r>
      <w:r w:rsidRPr="00F6088A">
        <w:rPr>
          <w:rFonts w:ascii="Arial" w:eastAsia="Arial" w:hAnsi="Arial" w:cs="Arial"/>
          <w:sz w:val="22"/>
          <w:szCs w:val="22"/>
        </w:rPr>
        <w:t xml:space="preserve">30 de junho de 2025, o número de dispositivos IoT conectados à plataforma AIoT do Grupo (excluindo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>smartphones</w:t>
      </w:r>
      <w:r w:rsidRPr="00F6088A">
        <w:rPr>
          <w:rFonts w:ascii="Arial" w:eastAsia="Arial" w:hAnsi="Arial" w:cs="Arial"/>
          <w:sz w:val="22"/>
          <w:szCs w:val="22"/>
        </w:rPr>
        <w:t xml:space="preserve">, tablets e computadores portáteis) aumentou para </w:t>
      </w:r>
      <w:r w:rsidR="4826ED10" w:rsidRPr="00F6088A">
        <w:rPr>
          <w:rFonts w:ascii="Arial" w:eastAsia="Arial" w:hAnsi="Arial" w:cs="Arial"/>
          <w:sz w:val="22"/>
          <w:szCs w:val="22"/>
        </w:rPr>
        <w:t xml:space="preserve">os </w:t>
      </w:r>
      <w:r w:rsidRPr="00F6088A">
        <w:rPr>
          <w:rFonts w:ascii="Arial" w:eastAsia="Arial" w:hAnsi="Arial" w:cs="Arial"/>
          <w:sz w:val="22"/>
          <w:szCs w:val="22"/>
        </w:rPr>
        <w:t xml:space="preserve">989,1 milhões, um aumento de 20,3% em relação ao ano anterior. O número de utilizadores com cinco ou mais dispositivos conectados atingiu os 20,5 milhões, um aumento de 26,8% em relação ao ano anterior. </w:t>
      </w:r>
      <w:r w:rsidR="6026F403" w:rsidRPr="00F6088A">
        <w:rPr>
          <w:rFonts w:ascii="Arial" w:eastAsia="Arial" w:hAnsi="Arial" w:cs="Arial"/>
          <w:sz w:val="22"/>
          <w:szCs w:val="22"/>
        </w:rPr>
        <w:t>Em junho de 2025, o número de utilizadores ativos mensais (MAU) da aplicação Mi Home cresceu 16,8% em termos anuais, para 113,1 milhões, enquanto o do AI Assistant aumentou 16,4%, para os 153,2 milhões.</w:t>
      </w:r>
    </w:p>
    <w:p w14:paraId="5821AB85" w14:textId="59F308FA" w:rsidR="24F44C9B" w:rsidRPr="00F6088A" w:rsidRDefault="24F44C9B" w:rsidP="33BE62A2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6088A">
        <w:rPr>
          <w:rFonts w:ascii="Arial" w:eastAsia="Arial" w:hAnsi="Arial" w:cs="Arial"/>
          <w:b/>
          <w:bCs/>
          <w:sz w:val="22"/>
          <w:szCs w:val="22"/>
        </w:rPr>
        <w:t>Serviços de Internet mantêm margem bruta elevada à medida que a base de utilizadores continua a crescer</w:t>
      </w:r>
    </w:p>
    <w:p w14:paraId="77CCBBA1" w14:textId="10936BAA" w:rsidR="24F44C9B" w:rsidRPr="00F6088A" w:rsidRDefault="24F44C9B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t xml:space="preserve">O segmento de serviços de Internet manteve um desempenho sólido no segundo trimestre, com receitas de 9,1 mil milhões de yuans (cerca de </w:t>
      </w:r>
      <w:r w:rsidR="69801BEC" w:rsidRPr="00F6088A">
        <w:rPr>
          <w:rFonts w:ascii="Arial" w:eastAsia="Arial" w:hAnsi="Arial" w:cs="Arial"/>
          <w:sz w:val="22"/>
          <w:szCs w:val="22"/>
        </w:rPr>
        <w:t>1</w:t>
      </w:r>
      <w:r w:rsidR="00A721A7" w:rsidRPr="00F6088A">
        <w:rPr>
          <w:rFonts w:ascii="Arial" w:eastAsia="Arial" w:hAnsi="Arial" w:cs="Arial"/>
          <w:sz w:val="22"/>
          <w:szCs w:val="22"/>
        </w:rPr>
        <w:t>,08</w:t>
      </w:r>
      <w:r w:rsidR="69801BEC" w:rsidRPr="00F6088A">
        <w:rPr>
          <w:rFonts w:ascii="Arial" w:eastAsia="Arial" w:hAnsi="Arial" w:cs="Arial"/>
          <w:sz w:val="22"/>
          <w:szCs w:val="22"/>
        </w:rPr>
        <w:t xml:space="preserve"> mil</w:t>
      </w:r>
      <w:r w:rsidRPr="00F6088A">
        <w:rPr>
          <w:rFonts w:ascii="Arial" w:eastAsia="Arial" w:hAnsi="Arial" w:cs="Arial"/>
          <w:sz w:val="22"/>
          <w:szCs w:val="22"/>
        </w:rPr>
        <w:t xml:space="preserve"> milhões de euros), uma subida de 10,1% face ao período homólogo. A margem bruta permaneceu em níveis elevados, situando-se nos 75,4%. </w:t>
      </w:r>
      <w:r w:rsidR="16BD9ED1" w:rsidRPr="00F6088A">
        <w:rPr>
          <w:rFonts w:ascii="Arial" w:eastAsia="Arial" w:hAnsi="Arial" w:cs="Arial"/>
          <w:sz w:val="22"/>
          <w:szCs w:val="22"/>
        </w:rPr>
        <w:t>Com a contínua expansão da base de utilizadores, tanto o número global de utilizadores ativos mensais (MAU) como o da China continental alcançaram novos máximos. Em junho de 2025, o número de utilizadores ativos mensais (MAU) a nível global atingiu 731,2 milhões, um aumento de 8,2% em termos anuais, enquanto na China continental chegou aos 184,8 milhões, mais 12,4% do que no mesmo período do ano anterior.</w:t>
      </w:r>
    </w:p>
    <w:p w14:paraId="56B14FD5" w14:textId="3CB7DC57" w:rsidR="00E6C1AA" w:rsidRPr="00F6088A" w:rsidRDefault="00E6C1AA" w:rsidP="33BE62A2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6088A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Xiaomi </w:t>
      </w:r>
      <w:r w:rsidR="43CB9515" w:rsidRPr="00F6088A">
        <w:rPr>
          <w:rFonts w:ascii="Arial" w:eastAsia="Arial" w:hAnsi="Arial" w:cs="Arial"/>
          <w:b/>
          <w:bCs/>
          <w:sz w:val="22"/>
          <w:szCs w:val="22"/>
        </w:rPr>
        <w:t xml:space="preserve">reforça </w:t>
      </w:r>
      <w:r w:rsidRPr="00F6088A">
        <w:rPr>
          <w:rFonts w:ascii="Arial" w:eastAsia="Arial" w:hAnsi="Arial" w:cs="Arial"/>
          <w:b/>
          <w:bCs/>
          <w:sz w:val="22"/>
          <w:szCs w:val="22"/>
        </w:rPr>
        <w:t>i</w:t>
      </w:r>
      <w:r w:rsidR="3817523A" w:rsidRPr="00F6088A">
        <w:rPr>
          <w:rFonts w:ascii="Arial" w:eastAsia="Arial" w:hAnsi="Arial" w:cs="Arial"/>
          <w:b/>
          <w:bCs/>
          <w:sz w:val="22"/>
          <w:szCs w:val="22"/>
        </w:rPr>
        <w:t xml:space="preserve">nvestimento </w:t>
      </w:r>
      <w:r w:rsidR="63269D3F" w:rsidRPr="00F6088A">
        <w:rPr>
          <w:rFonts w:ascii="Arial" w:eastAsia="Arial" w:hAnsi="Arial" w:cs="Arial"/>
          <w:b/>
          <w:bCs/>
          <w:sz w:val="22"/>
          <w:szCs w:val="22"/>
        </w:rPr>
        <w:t>em</w:t>
      </w:r>
      <w:r w:rsidR="3817523A" w:rsidRPr="00F6088A">
        <w:rPr>
          <w:rFonts w:ascii="Arial" w:eastAsia="Arial" w:hAnsi="Arial" w:cs="Arial"/>
          <w:b/>
          <w:bCs/>
          <w:sz w:val="22"/>
          <w:szCs w:val="22"/>
        </w:rPr>
        <w:t xml:space="preserve"> tecnologias essenciais acelera, com os gastos trimestrais em </w:t>
      </w:r>
      <w:r w:rsidR="4000C704" w:rsidRPr="00F6088A">
        <w:rPr>
          <w:rFonts w:ascii="Arial" w:eastAsia="Arial" w:hAnsi="Arial" w:cs="Arial"/>
          <w:b/>
          <w:bCs/>
          <w:sz w:val="22"/>
          <w:szCs w:val="22"/>
        </w:rPr>
        <w:t>I</w:t>
      </w:r>
      <w:r w:rsidR="3817523A" w:rsidRPr="00F6088A">
        <w:rPr>
          <w:rFonts w:ascii="Arial" w:eastAsia="Arial" w:hAnsi="Arial" w:cs="Arial"/>
          <w:b/>
          <w:bCs/>
          <w:sz w:val="22"/>
          <w:szCs w:val="22"/>
        </w:rPr>
        <w:t>&amp;D a alcançarem um recorde de 7,8 mil milhões de yuans</w:t>
      </w:r>
    </w:p>
    <w:p w14:paraId="1BC7B4F9" w14:textId="6DC60537" w:rsidR="2163D5DA" w:rsidRPr="00F6088A" w:rsidRDefault="2163D5DA" w:rsidP="33BE62A2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F6088A">
        <w:rPr>
          <w:rFonts w:ascii="Arial" w:eastAsia="Arial" w:hAnsi="Arial" w:cs="Arial"/>
          <w:sz w:val="22"/>
          <w:szCs w:val="22"/>
        </w:rPr>
        <w:t>A Xiaomi continuou a reforçar o investimento em tecnologias essenciais, impulsion</w:t>
      </w:r>
      <w:r w:rsidR="50874488" w:rsidRPr="00F6088A">
        <w:rPr>
          <w:rFonts w:ascii="Arial" w:eastAsia="Arial" w:hAnsi="Arial" w:cs="Arial"/>
          <w:sz w:val="22"/>
          <w:szCs w:val="22"/>
        </w:rPr>
        <w:t>ando</w:t>
      </w:r>
      <w:r w:rsidRPr="00F6088A">
        <w:rPr>
          <w:rFonts w:ascii="Arial" w:eastAsia="Arial" w:hAnsi="Arial" w:cs="Arial"/>
          <w:sz w:val="22"/>
          <w:szCs w:val="22"/>
        </w:rPr>
        <w:t xml:space="preserve"> avanços significativos nos negócios inovadores nas áreas automóvel,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chips </w:t>
      </w:r>
      <w:r w:rsidRPr="00F6088A">
        <w:rPr>
          <w:rFonts w:ascii="Arial" w:eastAsia="Arial" w:hAnsi="Arial" w:cs="Arial"/>
          <w:sz w:val="22"/>
          <w:szCs w:val="22"/>
        </w:rPr>
        <w:t xml:space="preserve">e de </w:t>
      </w:r>
      <w:r w:rsidR="0A9FFD26" w:rsidRPr="00F6088A">
        <w:rPr>
          <w:rFonts w:ascii="Arial" w:eastAsia="Arial" w:hAnsi="Arial" w:cs="Arial"/>
          <w:sz w:val="22"/>
          <w:szCs w:val="22"/>
        </w:rPr>
        <w:t>I</w:t>
      </w:r>
      <w:r w:rsidRPr="00F6088A">
        <w:rPr>
          <w:rFonts w:ascii="Arial" w:eastAsia="Arial" w:hAnsi="Arial" w:cs="Arial"/>
          <w:sz w:val="22"/>
          <w:szCs w:val="22"/>
        </w:rPr>
        <w:t xml:space="preserve">nteligência </w:t>
      </w:r>
      <w:r w:rsidR="5DC25087" w:rsidRPr="00F6088A">
        <w:rPr>
          <w:rFonts w:ascii="Arial" w:eastAsia="Arial" w:hAnsi="Arial" w:cs="Arial"/>
          <w:sz w:val="22"/>
          <w:szCs w:val="22"/>
        </w:rPr>
        <w:t>A</w:t>
      </w:r>
      <w:r w:rsidRPr="00F6088A">
        <w:rPr>
          <w:rFonts w:ascii="Arial" w:eastAsia="Arial" w:hAnsi="Arial" w:cs="Arial"/>
          <w:sz w:val="22"/>
          <w:szCs w:val="22"/>
        </w:rPr>
        <w:t xml:space="preserve">rtificial. </w:t>
      </w:r>
      <w:r w:rsidR="1DBB7B91" w:rsidRPr="00F6088A">
        <w:rPr>
          <w:rFonts w:ascii="Arial" w:eastAsia="Arial" w:hAnsi="Arial" w:cs="Arial"/>
          <w:sz w:val="22"/>
          <w:szCs w:val="22"/>
        </w:rPr>
        <w:t>O investimento</w:t>
      </w:r>
      <w:r w:rsidRPr="00F6088A">
        <w:rPr>
          <w:rFonts w:ascii="Arial" w:eastAsia="Arial" w:hAnsi="Arial" w:cs="Arial"/>
          <w:sz w:val="22"/>
          <w:szCs w:val="22"/>
        </w:rPr>
        <w:t xml:space="preserve"> do Grupo em </w:t>
      </w:r>
      <w:r w:rsidR="77D40E1E" w:rsidRPr="00F6088A">
        <w:rPr>
          <w:rFonts w:ascii="Arial" w:eastAsia="Arial" w:hAnsi="Arial" w:cs="Arial"/>
          <w:sz w:val="22"/>
          <w:szCs w:val="22"/>
        </w:rPr>
        <w:t>I</w:t>
      </w:r>
      <w:r w:rsidRPr="00F6088A">
        <w:rPr>
          <w:rFonts w:ascii="Arial" w:eastAsia="Arial" w:hAnsi="Arial" w:cs="Arial"/>
          <w:sz w:val="22"/>
          <w:szCs w:val="22"/>
        </w:rPr>
        <w:t xml:space="preserve">nvestigação e </w:t>
      </w:r>
      <w:r w:rsidR="4E3252E1" w:rsidRPr="00F6088A">
        <w:rPr>
          <w:rFonts w:ascii="Arial" w:eastAsia="Arial" w:hAnsi="Arial" w:cs="Arial"/>
          <w:sz w:val="22"/>
          <w:szCs w:val="22"/>
        </w:rPr>
        <w:t>D</w:t>
      </w:r>
      <w:r w:rsidRPr="00F6088A">
        <w:rPr>
          <w:rFonts w:ascii="Arial" w:eastAsia="Arial" w:hAnsi="Arial" w:cs="Arial"/>
          <w:sz w:val="22"/>
          <w:szCs w:val="22"/>
        </w:rPr>
        <w:t>esenvolvimento (I&amp;D) atingi</w:t>
      </w:r>
      <w:r w:rsidR="12B994B3" w:rsidRPr="00F6088A">
        <w:rPr>
          <w:rFonts w:ascii="Arial" w:eastAsia="Arial" w:hAnsi="Arial" w:cs="Arial"/>
          <w:sz w:val="22"/>
          <w:szCs w:val="22"/>
        </w:rPr>
        <w:t>u</w:t>
      </w:r>
      <w:r w:rsidRPr="00F6088A">
        <w:rPr>
          <w:rFonts w:ascii="Arial" w:eastAsia="Arial" w:hAnsi="Arial" w:cs="Arial"/>
          <w:sz w:val="22"/>
          <w:szCs w:val="22"/>
        </w:rPr>
        <w:t xml:space="preserve"> um recorde de 7,8 mil milhões de </w:t>
      </w:r>
      <w:r w:rsidR="717C4D48" w:rsidRPr="00F6088A">
        <w:rPr>
          <w:rFonts w:ascii="Arial" w:eastAsia="Arial" w:hAnsi="Arial" w:cs="Arial"/>
          <w:sz w:val="22"/>
          <w:szCs w:val="22"/>
        </w:rPr>
        <w:t>yuans (</w:t>
      </w:r>
      <w:r w:rsidR="7906A082" w:rsidRPr="00F6088A">
        <w:rPr>
          <w:rFonts w:ascii="Arial" w:eastAsia="Arial" w:hAnsi="Arial" w:cs="Arial"/>
          <w:sz w:val="22"/>
          <w:szCs w:val="22"/>
        </w:rPr>
        <w:t>cerca de 93</w:t>
      </w:r>
      <w:r w:rsidR="000E25E6" w:rsidRPr="00F6088A">
        <w:rPr>
          <w:rFonts w:ascii="Arial" w:eastAsia="Arial" w:hAnsi="Arial" w:cs="Arial"/>
          <w:sz w:val="22"/>
          <w:szCs w:val="22"/>
        </w:rPr>
        <w:t>0</w:t>
      </w:r>
      <w:r w:rsidR="7906A082" w:rsidRPr="00F6088A">
        <w:rPr>
          <w:rFonts w:ascii="Arial" w:eastAsia="Arial" w:hAnsi="Arial" w:cs="Arial"/>
          <w:sz w:val="22"/>
          <w:szCs w:val="22"/>
        </w:rPr>
        <w:t xml:space="preserve"> milhões </w:t>
      </w:r>
      <w:r w:rsidR="717C4D48" w:rsidRPr="00F6088A">
        <w:rPr>
          <w:rFonts w:ascii="Arial" w:eastAsia="Arial" w:hAnsi="Arial" w:cs="Arial"/>
          <w:sz w:val="22"/>
          <w:szCs w:val="22"/>
        </w:rPr>
        <w:t>de euros)</w:t>
      </w:r>
      <w:r w:rsidRPr="00F6088A">
        <w:rPr>
          <w:rFonts w:ascii="Arial" w:eastAsia="Arial" w:hAnsi="Arial" w:cs="Arial"/>
          <w:sz w:val="22"/>
          <w:szCs w:val="22"/>
        </w:rPr>
        <w:t xml:space="preserve"> no segundo trimestre, mais 41,2% do que no período homólogo. A 30 de junho de 2025, a equipa de I&amp;D da Xiaomi alcançava já um novo máximo, com 22</w:t>
      </w:r>
      <w:r w:rsidR="335BCAC7" w:rsidRPr="00F6088A">
        <w:rPr>
          <w:rFonts w:ascii="Arial" w:eastAsia="Arial" w:hAnsi="Arial" w:cs="Arial"/>
          <w:sz w:val="22"/>
          <w:szCs w:val="22"/>
        </w:rPr>
        <w:t xml:space="preserve"> </w:t>
      </w:r>
      <w:r w:rsidRPr="00F6088A">
        <w:rPr>
          <w:rFonts w:ascii="Arial" w:eastAsia="Arial" w:hAnsi="Arial" w:cs="Arial"/>
          <w:sz w:val="22"/>
          <w:szCs w:val="22"/>
        </w:rPr>
        <w:t>641 colaboradores.</w:t>
      </w:r>
    </w:p>
    <w:p w14:paraId="4E13C905" w14:textId="26046A0E" w:rsidR="1B90A7BC" w:rsidRPr="00F6088A" w:rsidRDefault="1B90A7BC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t xml:space="preserve">No setor de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>chips</w:t>
      </w:r>
      <w:r w:rsidRPr="00F6088A">
        <w:rPr>
          <w:rFonts w:ascii="Arial" w:eastAsia="Arial" w:hAnsi="Arial" w:cs="Arial"/>
          <w:sz w:val="22"/>
          <w:szCs w:val="22"/>
        </w:rPr>
        <w:t xml:space="preserve">, a Xiaomi apresentou o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chip </w:t>
      </w:r>
      <w:r w:rsidRPr="00F6088A">
        <w:rPr>
          <w:rFonts w:ascii="Arial" w:eastAsia="Arial" w:hAnsi="Arial" w:cs="Arial"/>
          <w:sz w:val="22"/>
          <w:szCs w:val="22"/>
        </w:rPr>
        <w:t>de 3 nanómetros,</w:t>
      </w:r>
      <w:r w:rsidR="44D95322" w:rsidRPr="00F6088A">
        <w:rPr>
          <w:rFonts w:ascii="Arial" w:eastAsia="Arial" w:hAnsi="Arial" w:cs="Arial"/>
          <w:sz w:val="22"/>
          <w:szCs w:val="22"/>
        </w:rPr>
        <w:t xml:space="preserve"> o Xiaomi XRING O1,</w:t>
      </w:r>
      <w:r w:rsidRPr="00F6088A">
        <w:rPr>
          <w:rFonts w:ascii="Arial" w:eastAsia="Arial" w:hAnsi="Arial" w:cs="Arial"/>
          <w:sz w:val="22"/>
          <w:szCs w:val="22"/>
        </w:rPr>
        <w:t xml:space="preserve"> desenvolvido internamente. Com este avanço, a empresa tornou-se a quarta a nível global</w:t>
      </w:r>
      <w:r w:rsidR="440C5D68" w:rsidRPr="00F6088A">
        <w:rPr>
          <w:rFonts w:ascii="Arial" w:eastAsia="Arial" w:hAnsi="Arial" w:cs="Arial"/>
          <w:sz w:val="22"/>
          <w:szCs w:val="22"/>
        </w:rPr>
        <w:t>,</w:t>
      </w:r>
      <w:r w:rsidRPr="00F6088A">
        <w:rPr>
          <w:rFonts w:ascii="Arial" w:eastAsia="Arial" w:hAnsi="Arial" w:cs="Arial"/>
          <w:sz w:val="22"/>
          <w:szCs w:val="22"/>
        </w:rPr>
        <w:t xml:space="preserve"> e a primeira na China continental</w:t>
      </w:r>
      <w:r w:rsidR="3149353C" w:rsidRPr="00F6088A">
        <w:rPr>
          <w:rFonts w:ascii="Arial" w:eastAsia="Arial" w:hAnsi="Arial" w:cs="Arial"/>
          <w:sz w:val="22"/>
          <w:szCs w:val="22"/>
        </w:rPr>
        <w:t>,</w:t>
      </w:r>
      <w:r w:rsidRPr="00F6088A">
        <w:rPr>
          <w:rFonts w:ascii="Arial" w:eastAsia="Arial" w:hAnsi="Arial" w:cs="Arial"/>
          <w:sz w:val="22"/>
          <w:szCs w:val="22"/>
        </w:rPr>
        <w:t xml:space="preserve"> capaz de conceber e desenvolver, de forma independente, um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chip </w:t>
      </w:r>
      <w:r w:rsidRPr="00F6088A">
        <w:rPr>
          <w:rFonts w:ascii="Arial" w:eastAsia="Arial" w:hAnsi="Arial" w:cs="Arial"/>
          <w:sz w:val="22"/>
          <w:szCs w:val="22"/>
        </w:rPr>
        <w:t xml:space="preserve">de 3 nm de última geração. O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smartphone </w:t>
      </w:r>
      <w:r w:rsidR="57862655" w:rsidRPr="00F6088A">
        <w:rPr>
          <w:rFonts w:ascii="Arial" w:eastAsia="Arial" w:hAnsi="Arial" w:cs="Arial"/>
          <w:sz w:val="22"/>
          <w:szCs w:val="22"/>
        </w:rPr>
        <w:t xml:space="preserve">topo de gama </w:t>
      </w:r>
      <w:r w:rsidRPr="00F6088A">
        <w:rPr>
          <w:rFonts w:ascii="Arial" w:eastAsia="Arial" w:hAnsi="Arial" w:cs="Arial"/>
          <w:sz w:val="22"/>
          <w:szCs w:val="22"/>
        </w:rPr>
        <w:t>Xiaomi 15S Pro, bem como os tablets OLED Xiaomi Pad 7 Ultra e Xiaomi Pad 7S Pro, todos equipados com o Xiaomi XRING O1, foram lançados de forma faseada ao longo do segundo trimestre, registando uma forte adesão por parte dos consumidores.</w:t>
      </w:r>
    </w:p>
    <w:p w14:paraId="20948BD4" w14:textId="10ABCA75" w:rsidR="6DF0E7B5" w:rsidRDefault="6DF0E7B5" w:rsidP="33BE62A2">
      <w:pPr>
        <w:spacing w:before="240" w:after="240"/>
        <w:jc w:val="both"/>
      </w:pPr>
      <w:r w:rsidRPr="00F6088A">
        <w:rPr>
          <w:rFonts w:ascii="Arial" w:eastAsia="Arial" w:hAnsi="Arial" w:cs="Arial"/>
          <w:sz w:val="22"/>
          <w:szCs w:val="22"/>
        </w:rPr>
        <w:t xml:space="preserve">A Xiaomi </w:t>
      </w:r>
      <w:r w:rsidR="3B99F13B" w:rsidRPr="00F6088A">
        <w:rPr>
          <w:rFonts w:ascii="Arial" w:eastAsia="Arial" w:hAnsi="Arial" w:cs="Arial"/>
          <w:sz w:val="22"/>
          <w:szCs w:val="22"/>
        </w:rPr>
        <w:t>obteve</w:t>
      </w:r>
      <w:r w:rsidRPr="00F6088A">
        <w:rPr>
          <w:rFonts w:ascii="Arial" w:eastAsia="Arial" w:hAnsi="Arial" w:cs="Arial"/>
          <w:sz w:val="22"/>
          <w:szCs w:val="22"/>
        </w:rPr>
        <w:t xml:space="preserve"> também avanços significativos no desenvolvimento de modelos de linguagem de grande dimensão com Inteligência Artificial. Em maio, a marca apresentou oficialmente e disponibilizou em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>open source</w:t>
      </w:r>
      <w:r w:rsidRPr="00F6088A">
        <w:rPr>
          <w:rFonts w:ascii="Arial" w:eastAsia="Arial" w:hAnsi="Arial" w:cs="Arial"/>
          <w:sz w:val="22"/>
          <w:szCs w:val="22"/>
        </w:rPr>
        <w:t xml:space="preserve"> o modelo multimodal de linguagem de grande dimensão, o Xiaomi MiMo-VL-7B. Em julho, 12 </w:t>
      </w:r>
      <w:r w:rsidR="08B52396" w:rsidRPr="00F6088A">
        <w:rPr>
          <w:rFonts w:ascii="Arial" w:eastAsia="Arial" w:hAnsi="Arial" w:cs="Arial"/>
          <w:sz w:val="22"/>
          <w:szCs w:val="22"/>
        </w:rPr>
        <w:t>d</w:t>
      </w:r>
      <w:r w:rsidRPr="00F6088A">
        <w:rPr>
          <w:rFonts w:ascii="Arial" w:eastAsia="Arial" w:hAnsi="Arial" w:cs="Arial"/>
          <w:sz w:val="22"/>
          <w:szCs w:val="22"/>
        </w:rPr>
        <w:t xml:space="preserve">os </w:t>
      </w:r>
      <w:r w:rsidR="707DBF7B" w:rsidRPr="00F6088A">
        <w:rPr>
          <w:rFonts w:ascii="Arial" w:eastAsia="Arial" w:hAnsi="Arial" w:cs="Arial"/>
          <w:sz w:val="22"/>
          <w:szCs w:val="22"/>
        </w:rPr>
        <w:t xml:space="preserve">artigos </w:t>
      </w:r>
      <w:r w:rsidRPr="00F6088A">
        <w:rPr>
          <w:rFonts w:ascii="Arial" w:eastAsia="Arial" w:hAnsi="Arial" w:cs="Arial"/>
          <w:sz w:val="22"/>
          <w:szCs w:val="22"/>
        </w:rPr>
        <w:t xml:space="preserve">da empresa sobre modelos de linguagem de grande dimensão foram aceites para publicação em conferências internacionais de referência, como a ICCV 2025 e a ACL 2025, refletindo as mais recentes inovações da marca nesta área. Já em agosto, a Xiaomi </w:t>
      </w:r>
      <w:r w:rsidR="151983E2" w:rsidRPr="00F6088A">
        <w:rPr>
          <w:rFonts w:ascii="Arial" w:eastAsia="Arial" w:hAnsi="Arial" w:cs="Arial"/>
          <w:sz w:val="22"/>
          <w:szCs w:val="22"/>
        </w:rPr>
        <w:t>disponibilizou em</w:t>
      </w:r>
      <w:r w:rsidRPr="00F6088A">
        <w:rPr>
          <w:rFonts w:ascii="Arial" w:eastAsia="Arial" w:hAnsi="Arial" w:cs="Arial"/>
          <w:sz w:val="22"/>
          <w:szCs w:val="22"/>
        </w:rPr>
        <w:t xml:space="preserve">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open source </w:t>
      </w:r>
      <w:r w:rsidRPr="00F6088A">
        <w:rPr>
          <w:rFonts w:ascii="Arial" w:eastAsia="Arial" w:hAnsi="Arial" w:cs="Arial"/>
          <w:sz w:val="22"/>
          <w:szCs w:val="22"/>
        </w:rPr>
        <w:t>o</w:t>
      </w:r>
      <w:r w:rsidR="36998CDA" w:rsidRPr="00F6088A">
        <w:rPr>
          <w:rFonts w:ascii="Arial" w:eastAsia="Arial" w:hAnsi="Arial" w:cs="Arial"/>
          <w:sz w:val="22"/>
          <w:szCs w:val="22"/>
        </w:rPr>
        <w:t xml:space="preserve"> seu modelo de linguagem de grande dimensão para raciocínio </w:t>
      </w:r>
      <w:r w:rsidR="33B541A7" w:rsidRPr="00F6088A">
        <w:rPr>
          <w:rFonts w:ascii="Arial" w:eastAsia="Arial" w:hAnsi="Arial" w:cs="Arial"/>
          <w:sz w:val="22"/>
          <w:szCs w:val="22"/>
        </w:rPr>
        <w:t xml:space="preserve">de </w:t>
      </w:r>
      <w:r w:rsidR="36998CDA" w:rsidRPr="00F6088A">
        <w:rPr>
          <w:rFonts w:ascii="Arial" w:eastAsia="Arial" w:hAnsi="Arial" w:cs="Arial"/>
          <w:sz w:val="22"/>
          <w:szCs w:val="22"/>
        </w:rPr>
        <w:t>áudio</w:t>
      </w:r>
      <w:r w:rsidRPr="00F6088A">
        <w:rPr>
          <w:rFonts w:ascii="Arial" w:eastAsia="Arial" w:hAnsi="Arial" w:cs="Arial"/>
          <w:sz w:val="22"/>
          <w:szCs w:val="22"/>
        </w:rPr>
        <w:t xml:space="preserve">, o MiDashengLM-7B, que atingiu </w:t>
      </w:r>
      <w:r w:rsidR="7DEF06A7" w:rsidRPr="00F6088A">
        <w:rPr>
          <w:rFonts w:ascii="Arial" w:eastAsia="Arial" w:hAnsi="Arial" w:cs="Arial"/>
          <w:sz w:val="22"/>
          <w:szCs w:val="22"/>
        </w:rPr>
        <w:t xml:space="preserve">um </w:t>
      </w:r>
      <w:r w:rsidRPr="00F6088A">
        <w:rPr>
          <w:rFonts w:ascii="Arial" w:eastAsia="Arial" w:hAnsi="Arial" w:cs="Arial"/>
          <w:sz w:val="22"/>
          <w:szCs w:val="22"/>
        </w:rPr>
        <w:t xml:space="preserve">desempenho de topo em 22 </w:t>
      </w:r>
      <w:r w:rsidRPr="00F6088A">
        <w:rPr>
          <w:rFonts w:ascii="Arial" w:eastAsia="Arial" w:hAnsi="Arial" w:cs="Arial"/>
          <w:i/>
          <w:iCs/>
          <w:sz w:val="22"/>
          <w:szCs w:val="22"/>
        </w:rPr>
        <w:t xml:space="preserve">benchmarks </w:t>
      </w:r>
      <w:r w:rsidRPr="00F6088A">
        <w:rPr>
          <w:rFonts w:ascii="Arial" w:eastAsia="Arial" w:hAnsi="Arial" w:cs="Arial"/>
          <w:sz w:val="22"/>
          <w:szCs w:val="22"/>
        </w:rPr>
        <w:t>de compreensão e raciocínio de áudio.</w:t>
      </w:r>
    </w:p>
    <w:p w14:paraId="316A90A2" w14:textId="6016B62B" w:rsidR="007E5514" w:rsidRPr="005051AB" w:rsidRDefault="007E5514" w:rsidP="3F5F51B6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</w:p>
    <w:p w14:paraId="4E3A8AB2" w14:textId="5D14F22E" w:rsidR="007E5514" w:rsidRPr="005051AB" w:rsidRDefault="007E5514" w:rsidP="3F5F51B6">
      <w:pPr>
        <w:spacing w:before="240" w:after="240"/>
        <w:jc w:val="both"/>
        <w:rPr>
          <w:rFonts w:ascii="Arial" w:hAnsi="Arial" w:cs="Arial"/>
          <w:b/>
          <w:bCs/>
          <w:sz w:val="18"/>
          <w:szCs w:val="18"/>
        </w:rPr>
      </w:pPr>
      <w:r w:rsidRPr="3F5F51B6">
        <w:rPr>
          <w:rFonts w:ascii="Arial" w:hAnsi="Arial" w:cs="Arial"/>
          <w:b/>
          <w:bCs/>
          <w:sz w:val="18"/>
          <w:szCs w:val="18"/>
        </w:rPr>
        <w:t>Sobre a Xiaomi Corporation</w:t>
      </w:r>
    </w:p>
    <w:p w14:paraId="405510FE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>A Xiaomi Corporation foi fundada em abril de 2010 e cotada no Mercado Principal da Bolsa de Valores de Hong Kong a 9 de julho de 2018 (1810.HK). A Xiaomi é uma empresa de eletrónica de consumo e fabrico inteligente com smartphones e hardware inteligente ligados por uma plataforma IoT no seu núcleo.</w:t>
      </w:r>
    </w:p>
    <w:p w14:paraId="52D0E596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>Abraçando a nossa visão de "Ser amiga dos utilizadores e a empresa mais cool nos seus corações", a Xiaomi persegue continuamente a inovação, uma experiência de utilizador de alta qualidade e eficiência operacional. A empresa constrói incessantemente produtos incríveis com preços honestos, para permitir que todas as pessoas no mundo possam desfrutar de uma vida melhor através de tecnologia inovadora.</w:t>
      </w:r>
    </w:p>
    <w:p w14:paraId="38662471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é uma das principais empresas de smartphones do mundo. Em dezembro de 2024, o MAU atingiu aproximadamente 702,3 milhões (incluindo smartphones e tablets) a nível mundial. A empresa também estabeleceu a principal plataforma de IAoT (IA+IoT) para consumidores do mundo, alcançando aproximadamente 904,6 milhões de dispositivos inteligentes ligados à sua plataforma (excluindo smartphones, computadores portáteis e tablets) em 31 de dezembro de 2024. Em outubro de 2023, a Xiaomi atualizou a sua estratégia para o ecossistema inteligente “Human x Car x Home”, fundindo perfeitamente dispositivos pessoais, produtos domésticos inteligentes e automóveis. A Xiaomi centra-se sempre na humanidade e está empenhada em proporcionar experiências abrangentes e mais bem ligadas. Os </w:t>
      </w:r>
      <w:r w:rsidRPr="73C7E29B">
        <w:rPr>
          <w:rFonts w:ascii="Arial" w:hAnsi="Arial" w:cs="Arial"/>
          <w:sz w:val="18"/>
          <w:szCs w:val="18"/>
        </w:rPr>
        <w:lastRenderedPageBreak/>
        <w:t>produtos Xiaomi estão presentes em mais de 100 países e regiões em todo o mundo. Em agosto de 2024, a Xiaomi foi incluída na lista Fortune Global 500 pelo sexto ano consecutivo.</w:t>
      </w:r>
    </w:p>
    <w:p w14:paraId="72D34368" w14:textId="27B66408" w:rsidR="73C7E29B" w:rsidRDefault="007E5514" w:rsidP="001E612D">
      <w:pPr>
        <w:spacing w:after="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>A Xiaomi é um constituinte do Índice Hang Seng, do Índice Hang Seng China Enterprises, do Índice Hang Seng TECH e do Índice Hang Seng China 50.</w:t>
      </w:r>
    </w:p>
    <w:p w14:paraId="0475AAF6" w14:textId="64A03C14" w:rsidR="3D842181" w:rsidRDefault="3D842181" w:rsidP="34E839D4">
      <w:pPr>
        <w:spacing w:after="320"/>
        <w:jc w:val="both"/>
        <w:rPr>
          <w:rFonts w:ascii="Arial" w:hAnsi="Arial" w:cs="Arial"/>
          <w:sz w:val="18"/>
          <w:szCs w:val="18"/>
        </w:rPr>
      </w:pPr>
    </w:p>
    <w:p w14:paraId="0C44A10C" w14:textId="77777777" w:rsidR="007E5514" w:rsidRPr="005051AB" w:rsidRDefault="2BC7FC33" w:rsidP="007E5514">
      <w:pPr>
        <w:spacing w:after="320"/>
        <w:rPr>
          <w:color w:val="0563C1" w:themeColor="hyperlink"/>
          <w:u w:val="single"/>
        </w:rPr>
      </w:pPr>
      <w:r w:rsidRPr="3D842181">
        <w:rPr>
          <w:rFonts w:ascii="Arial" w:eastAsia="Arial" w:hAnsi="Arial" w:cs="Arial"/>
          <w:b/>
          <w:bCs/>
          <w:sz w:val="18"/>
          <w:szCs w:val="18"/>
          <w:u w:val="single"/>
        </w:rPr>
        <w:t>Contactos para imprensa</w:t>
      </w:r>
    </w:p>
    <w:p w14:paraId="10EF192D" w14:textId="6D16A178" w:rsidR="2DBFA5BB" w:rsidRDefault="2DBFA5BB" w:rsidP="3D842181">
      <w:pPr>
        <w:spacing w:after="0" w:line="360" w:lineRule="auto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Xiaomi Portugal </w:t>
      </w:r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>|</w:t>
      </w: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r w:rsidRPr="3D842181">
        <w:rPr>
          <w:rFonts w:ascii="Arial" w:eastAsia="Arial" w:hAnsi="Arial" w:cs="Arial"/>
          <w:color w:val="000000" w:themeColor="text1"/>
          <w:sz w:val="18"/>
          <w:szCs w:val="18"/>
        </w:rPr>
        <w:t xml:space="preserve">Salvador Correia de Sampaio | </w:t>
      </w:r>
      <w:hyperlink r:id="rId7">
        <w:r w:rsidRPr="3D842181">
          <w:rPr>
            <w:rStyle w:val="Hiperligao"/>
            <w:rFonts w:ascii="Arial" w:eastAsia="Arial" w:hAnsi="Arial" w:cs="Arial"/>
            <w:sz w:val="18"/>
            <w:szCs w:val="18"/>
          </w:rPr>
          <w:t>v-salvadors@xiaomi.com</w:t>
        </w:r>
      </w:hyperlink>
    </w:p>
    <w:p w14:paraId="5B93FFDE" w14:textId="5B6A0374" w:rsidR="2DBFA5BB" w:rsidRDefault="2DBFA5BB" w:rsidP="3D842181">
      <w:pPr>
        <w:spacing w:after="0" w:line="360" w:lineRule="auto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Lift Consulting </w:t>
      </w:r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| Tânia Miguel | </w:t>
      </w:r>
      <w:hyperlink r:id="rId8">
        <w:r w:rsidRPr="3D842181">
          <w:rPr>
            <w:rStyle w:val="Hiperligao"/>
            <w:rFonts w:ascii="Arial" w:eastAsia="Arial" w:hAnsi="Arial" w:cs="Arial"/>
            <w:sz w:val="18"/>
            <w:szCs w:val="18"/>
          </w:rPr>
          <w:t>tania.miguel@lift.com.pt</w:t>
        </w:r>
      </w:hyperlink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| 918 270 387</w:t>
      </w:r>
    </w:p>
    <w:p w14:paraId="0D0B940D" w14:textId="75AE3EBE" w:rsidR="007E5514" w:rsidRPr="005051AB" w:rsidRDefault="2DBFA5BB" w:rsidP="3F5F51B6">
      <w:pPr>
        <w:spacing w:after="0" w:line="360" w:lineRule="auto"/>
        <w:ind w:left="708" w:firstLine="708"/>
        <w:rPr>
          <w:rFonts w:ascii="Arial" w:eastAsia="Arial" w:hAnsi="Arial" w:cs="Arial"/>
          <w:color w:val="262626"/>
          <w:sz w:val="18"/>
          <w:szCs w:val="18"/>
        </w:rPr>
      </w:pPr>
      <w:r w:rsidRPr="3F5F51B6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Ana Roquete | </w:t>
      </w:r>
      <w:hyperlink r:id="rId9">
        <w:r w:rsidRPr="3F5F51B6">
          <w:rPr>
            <w:rStyle w:val="Hiperligao"/>
            <w:rFonts w:ascii="Arial" w:eastAsia="Arial" w:hAnsi="Arial" w:cs="Arial"/>
            <w:sz w:val="18"/>
            <w:szCs w:val="18"/>
          </w:rPr>
          <w:t>ana.roquete@lift.com.pt</w:t>
        </w:r>
      </w:hyperlink>
      <w:r w:rsidRPr="3F5F51B6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| 934 623 847</w:t>
      </w:r>
    </w:p>
    <w:p w14:paraId="0E27B00A" w14:textId="77777777" w:rsidR="001B10F3" w:rsidRPr="007E5514" w:rsidRDefault="001B10F3">
      <w:pPr>
        <w:spacing w:before="120" w:after="120" w:line="288" w:lineRule="auto"/>
      </w:pPr>
    </w:p>
    <w:sectPr w:rsidR="001B10F3" w:rsidRPr="007E5514">
      <w:headerReference w:type="default" r:id="rId10"/>
      <w:footerReference w:type="default" r:id="rId11"/>
      <w:pgSz w:w="11905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F84E" w14:textId="77777777" w:rsidR="00F74259" w:rsidRDefault="00F74259">
      <w:pPr>
        <w:spacing w:after="0" w:line="240" w:lineRule="auto"/>
      </w:pPr>
      <w:r>
        <w:separator/>
      </w:r>
    </w:p>
  </w:endnote>
  <w:endnote w:type="continuationSeparator" w:id="0">
    <w:p w14:paraId="4B8DDCF9" w14:textId="77777777" w:rsidR="00F74259" w:rsidRDefault="00F7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3C7E29B" w14:paraId="75D62052" w14:textId="77777777" w:rsidTr="73C7E29B">
      <w:trPr>
        <w:trHeight w:val="300"/>
      </w:trPr>
      <w:tc>
        <w:tcPr>
          <w:tcW w:w="2830" w:type="dxa"/>
        </w:tcPr>
        <w:p w14:paraId="35328CA4" w14:textId="70F43260" w:rsidR="73C7E29B" w:rsidRDefault="73C7E29B" w:rsidP="73C7E29B">
          <w:pPr>
            <w:pStyle w:val="Cabealho"/>
            <w:ind w:left="-115"/>
          </w:pPr>
        </w:p>
      </w:tc>
      <w:tc>
        <w:tcPr>
          <w:tcW w:w="2830" w:type="dxa"/>
        </w:tcPr>
        <w:p w14:paraId="35F1CE32" w14:textId="4DD5F64C" w:rsidR="73C7E29B" w:rsidRDefault="73C7E29B" w:rsidP="73C7E29B">
          <w:pPr>
            <w:pStyle w:val="Cabealho"/>
            <w:jc w:val="center"/>
          </w:pPr>
        </w:p>
      </w:tc>
      <w:tc>
        <w:tcPr>
          <w:tcW w:w="2830" w:type="dxa"/>
        </w:tcPr>
        <w:p w14:paraId="20B72189" w14:textId="20763D14" w:rsidR="73C7E29B" w:rsidRDefault="73C7E29B" w:rsidP="73C7E29B">
          <w:pPr>
            <w:pStyle w:val="Cabealho"/>
            <w:ind w:right="-115"/>
            <w:jc w:val="right"/>
          </w:pPr>
        </w:p>
      </w:tc>
    </w:tr>
  </w:tbl>
  <w:p w14:paraId="6025CE4E" w14:textId="5771B6A0" w:rsidR="73C7E29B" w:rsidRDefault="73C7E29B" w:rsidP="73C7E2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A707" w14:textId="77777777" w:rsidR="00F74259" w:rsidRDefault="00F74259">
      <w:pPr>
        <w:spacing w:after="0" w:line="240" w:lineRule="auto"/>
      </w:pPr>
      <w:r>
        <w:separator/>
      </w:r>
    </w:p>
  </w:footnote>
  <w:footnote w:type="continuationSeparator" w:id="0">
    <w:p w14:paraId="26091D9C" w14:textId="77777777" w:rsidR="00F74259" w:rsidRDefault="00F7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C88B" w14:textId="77777777" w:rsidR="001B10F3" w:rsidRDefault="007E5514">
    <w:r w:rsidRPr="005051AB">
      <w:rPr>
        <w:noProof/>
      </w:rPr>
      <w:drawing>
        <wp:anchor distT="0" distB="0" distL="114300" distR="114300" simplePos="0" relativeHeight="251657216" behindDoc="0" locked="0" layoutInCell="1" allowOverlap="1" wp14:anchorId="6A203E28" wp14:editId="71FD6436">
          <wp:simplePos x="0" y="0"/>
          <wp:positionH relativeFrom="margin">
            <wp:posOffset>5446644</wp:posOffset>
          </wp:positionH>
          <wp:positionV relativeFrom="paragraph">
            <wp:posOffset>-278516</wp:posOffset>
          </wp:positionV>
          <wp:extent cx="505460" cy="495300"/>
          <wp:effectExtent l="0" t="0" r="8890" b="0"/>
          <wp:wrapTopAndBottom/>
          <wp:docPr id="1202859717" name="Imagem 120285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2" t="19258" r="35246" b="19642"/>
                  <a:stretch/>
                </pic:blipFill>
                <pic:spPr bwMode="auto">
                  <a:xfrm>
                    <a:off x="0" y="0"/>
                    <a:ext cx="50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5238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14pt;height:69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89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7B5F"/>
    <w:multiLevelType w:val="hybridMultilevel"/>
    <w:tmpl w:val="526EC0F0"/>
    <w:lvl w:ilvl="0" w:tplc="5EEAB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3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8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B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0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D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108C"/>
    <w:multiLevelType w:val="hybridMultilevel"/>
    <w:tmpl w:val="B57A7E2A"/>
    <w:lvl w:ilvl="0" w:tplc="B8CA9422">
      <w:start w:val="1"/>
      <w:numFmt w:val="decimal"/>
      <w:lvlText w:val="%1."/>
      <w:lvlJc w:val="left"/>
      <w:pPr>
        <w:ind w:left="720" w:hanging="360"/>
      </w:pPr>
    </w:lvl>
    <w:lvl w:ilvl="1" w:tplc="76C25FBE">
      <w:start w:val="1"/>
      <w:numFmt w:val="lowerLetter"/>
      <w:lvlText w:val="%2."/>
      <w:lvlJc w:val="left"/>
      <w:pPr>
        <w:ind w:left="1440" w:hanging="360"/>
      </w:pPr>
    </w:lvl>
    <w:lvl w:ilvl="2" w:tplc="770440AA">
      <w:start w:val="1"/>
      <w:numFmt w:val="lowerRoman"/>
      <w:lvlText w:val="%3."/>
      <w:lvlJc w:val="right"/>
      <w:pPr>
        <w:ind w:left="2160" w:hanging="180"/>
      </w:pPr>
    </w:lvl>
    <w:lvl w:ilvl="3" w:tplc="38461DF6">
      <w:start w:val="1"/>
      <w:numFmt w:val="decimal"/>
      <w:lvlText w:val="%4."/>
      <w:lvlJc w:val="left"/>
      <w:pPr>
        <w:ind w:left="2880" w:hanging="360"/>
      </w:pPr>
    </w:lvl>
    <w:lvl w:ilvl="4" w:tplc="EEC0DC66">
      <w:start w:val="1"/>
      <w:numFmt w:val="lowerLetter"/>
      <w:lvlText w:val="%5."/>
      <w:lvlJc w:val="left"/>
      <w:pPr>
        <w:ind w:left="3600" w:hanging="360"/>
      </w:pPr>
    </w:lvl>
    <w:lvl w:ilvl="5" w:tplc="B0D67E88">
      <w:start w:val="1"/>
      <w:numFmt w:val="lowerRoman"/>
      <w:lvlText w:val="%6."/>
      <w:lvlJc w:val="right"/>
      <w:pPr>
        <w:ind w:left="4320" w:hanging="180"/>
      </w:pPr>
    </w:lvl>
    <w:lvl w:ilvl="6" w:tplc="C6A8BFBC">
      <w:start w:val="1"/>
      <w:numFmt w:val="decimal"/>
      <w:lvlText w:val="%7."/>
      <w:lvlJc w:val="left"/>
      <w:pPr>
        <w:ind w:left="5040" w:hanging="360"/>
      </w:pPr>
    </w:lvl>
    <w:lvl w:ilvl="7" w:tplc="3E84BB7A">
      <w:start w:val="1"/>
      <w:numFmt w:val="lowerLetter"/>
      <w:lvlText w:val="%8."/>
      <w:lvlJc w:val="left"/>
      <w:pPr>
        <w:ind w:left="5760" w:hanging="360"/>
      </w:pPr>
    </w:lvl>
    <w:lvl w:ilvl="8" w:tplc="EAE60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E36"/>
    <w:multiLevelType w:val="multilevel"/>
    <w:tmpl w:val="DB1EAC7C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C7389"/>
    <w:multiLevelType w:val="hybridMultilevel"/>
    <w:tmpl w:val="93ACD3D4"/>
    <w:lvl w:ilvl="0" w:tplc="016E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02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2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0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AC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E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C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0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15DB"/>
    <w:multiLevelType w:val="hybridMultilevel"/>
    <w:tmpl w:val="B6CE9A98"/>
    <w:lvl w:ilvl="0" w:tplc="3352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2C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CB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CB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88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40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5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6D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9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DD341"/>
    <w:multiLevelType w:val="hybridMultilevel"/>
    <w:tmpl w:val="B232A0D2"/>
    <w:lvl w:ilvl="0" w:tplc="35C8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F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ED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27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8F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25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4B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A0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414F1"/>
    <w:multiLevelType w:val="multilevel"/>
    <w:tmpl w:val="0A64E22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D55CA0"/>
    <w:multiLevelType w:val="multilevel"/>
    <w:tmpl w:val="5EEC067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EB15F1"/>
    <w:multiLevelType w:val="multilevel"/>
    <w:tmpl w:val="DD20A92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53313A"/>
    <w:multiLevelType w:val="multilevel"/>
    <w:tmpl w:val="72E6413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3344501">
    <w:abstractNumId w:val="4"/>
  </w:num>
  <w:num w:numId="2" w16cid:durableId="110788392">
    <w:abstractNumId w:val="1"/>
  </w:num>
  <w:num w:numId="3" w16cid:durableId="1456170616">
    <w:abstractNumId w:val="5"/>
  </w:num>
  <w:num w:numId="4" w16cid:durableId="1241057750">
    <w:abstractNumId w:val="3"/>
  </w:num>
  <w:num w:numId="5" w16cid:durableId="1541091866">
    <w:abstractNumId w:val="0"/>
  </w:num>
  <w:num w:numId="6" w16cid:durableId="1500005709">
    <w:abstractNumId w:val="8"/>
  </w:num>
  <w:num w:numId="7" w16cid:durableId="624699743">
    <w:abstractNumId w:val="6"/>
  </w:num>
  <w:num w:numId="8" w16cid:durableId="1807892421">
    <w:abstractNumId w:val="7"/>
  </w:num>
  <w:num w:numId="9" w16cid:durableId="1715497007">
    <w:abstractNumId w:val="2"/>
  </w:num>
  <w:num w:numId="10" w16cid:durableId="2033191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F3"/>
    <w:rsid w:val="00046673"/>
    <w:rsid w:val="000E25E6"/>
    <w:rsid w:val="0012292F"/>
    <w:rsid w:val="00133E5F"/>
    <w:rsid w:val="00143078"/>
    <w:rsid w:val="0018283C"/>
    <w:rsid w:val="001B10F3"/>
    <w:rsid w:val="001B4AAD"/>
    <w:rsid w:val="001C6FEF"/>
    <w:rsid w:val="001E612D"/>
    <w:rsid w:val="001F263C"/>
    <w:rsid w:val="002077A0"/>
    <w:rsid w:val="00237EB3"/>
    <w:rsid w:val="002534F9"/>
    <w:rsid w:val="002D4E85"/>
    <w:rsid w:val="00324DF8"/>
    <w:rsid w:val="003444FD"/>
    <w:rsid w:val="003642D9"/>
    <w:rsid w:val="003865EC"/>
    <w:rsid w:val="003E2A3F"/>
    <w:rsid w:val="003E60DF"/>
    <w:rsid w:val="003E70F0"/>
    <w:rsid w:val="003F587B"/>
    <w:rsid w:val="003F587E"/>
    <w:rsid w:val="005062E4"/>
    <w:rsid w:val="00514782"/>
    <w:rsid w:val="00537D99"/>
    <w:rsid w:val="00554477"/>
    <w:rsid w:val="00554885"/>
    <w:rsid w:val="005B1E6A"/>
    <w:rsid w:val="005C03A7"/>
    <w:rsid w:val="005E696F"/>
    <w:rsid w:val="005E7CC7"/>
    <w:rsid w:val="005F0904"/>
    <w:rsid w:val="005F72DA"/>
    <w:rsid w:val="00642C54"/>
    <w:rsid w:val="006647E1"/>
    <w:rsid w:val="0066FB2B"/>
    <w:rsid w:val="006D1B48"/>
    <w:rsid w:val="006D2948"/>
    <w:rsid w:val="00730715"/>
    <w:rsid w:val="007747CA"/>
    <w:rsid w:val="007D0D1C"/>
    <w:rsid w:val="007E5514"/>
    <w:rsid w:val="00829637"/>
    <w:rsid w:val="00833F6B"/>
    <w:rsid w:val="0084576A"/>
    <w:rsid w:val="00850D7C"/>
    <w:rsid w:val="008D2466"/>
    <w:rsid w:val="008D596B"/>
    <w:rsid w:val="0095448F"/>
    <w:rsid w:val="009AD467"/>
    <w:rsid w:val="009D5F02"/>
    <w:rsid w:val="009EE67B"/>
    <w:rsid w:val="009F547C"/>
    <w:rsid w:val="00A34BE3"/>
    <w:rsid w:val="00A50422"/>
    <w:rsid w:val="00A721A7"/>
    <w:rsid w:val="00A9F3BE"/>
    <w:rsid w:val="00AE04D5"/>
    <w:rsid w:val="00AF40EC"/>
    <w:rsid w:val="00B10662"/>
    <w:rsid w:val="00BA2E86"/>
    <w:rsid w:val="00CF08BC"/>
    <w:rsid w:val="00D15257"/>
    <w:rsid w:val="00D94A15"/>
    <w:rsid w:val="00DC377F"/>
    <w:rsid w:val="00E23696"/>
    <w:rsid w:val="00E6C1AA"/>
    <w:rsid w:val="00E81525"/>
    <w:rsid w:val="00F230ED"/>
    <w:rsid w:val="00F6088A"/>
    <w:rsid w:val="00F74259"/>
    <w:rsid w:val="00F82F65"/>
    <w:rsid w:val="00F929DA"/>
    <w:rsid w:val="01408255"/>
    <w:rsid w:val="015AB92D"/>
    <w:rsid w:val="019420B9"/>
    <w:rsid w:val="0197093A"/>
    <w:rsid w:val="01A2FE64"/>
    <w:rsid w:val="01C2133E"/>
    <w:rsid w:val="020195C7"/>
    <w:rsid w:val="02CE4221"/>
    <w:rsid w:val="03157C29"/>
    <w:rsid w:val="0325C739"/>
    <w:rsid w:val="03522FED"/>
    <w:rsid w:val="037508B8"/>
    <w:rsid w:val="03954415"/>
    <w:rsid w:val="03D77732"/>
    <w:rsid w:val="0439329E"/>
    <w:rsid w:val="04AA557D"/>
    <w:rsid w:val="051ED312"/>
    <w:rsid w:val="05A176A9"/>
    <w:rsid w:val="05A25C51"/>
    <w:rsid w:val="05C24355"/>
    <w:rsid w:val="05F8CD6B"/>
    <w:rsid w:val="05FD18E2"/>
    <w:rsid w:val="0611B7F1"/>
    <w:rsid w:val="06293FF6"/>
    <w:rsid w:val="069AAAFB"/>
    <w:rsid w:val="06BFB175"/>
    <w:rsid w:val="06DD7156"/>
    <w:rsid w:val="070E3186"/>
    <w:rsid w:val="07166F6F"/>
    <w:rsid w:val="073113C2"/>
    <w:rsid w:val="0731FD5F"/>
    <w:rsid w:val="07587B72"/>
    <w:rsid w:val="076BA886"/>
    <w:rsid w:val="077A6D01"/>
    <w:rsid w:val="07A74AEC"/>
    <w:rsid w:val="07B90219"/>
    <w:rsid w:val="07EE7C66"/>
    <w:rsid w:val="07F0A28A"/>
    <w:rsid w:val="08177509"/>
    <w:rsid w:val="08279369"/>
    <w:rsid w:val="08304F0A"/>
    <w:rsid w:val="083F6431"/>
    <w:rsid w:val="0887A4FA"/>
    <w:rsid w:val="08A401FA"/>
    <w:rsid w:val="08B52396"/>
    <w:rsid w:val="08D57E45"/>
    <w:rsid w:val="08FC3D51"/>
    <w:rsid w:val="0919B645"/>
    <w:rsid w:val="0924EAD4"/>
    <w:rsid w:val="093F58A0"/>
    <w:rsid w:val="094789B5"/>
    <w:rsid w:val="0951A608"/>
    <w:rsid w:val="096680BD"/>
    <w:rsid w:val="09E0D7D0"/>
    <w:rsid w:val="09EB8931"/>
    <w:rsid w:val="09FF2B3A"/>
    <w:rsid w:val="0A8F484D"/>
    <w:rsid w:val="0A9FFD26"/>
    <w:rsid w:val="0AB01443"/>
    <w:rsid w:val="0ADD3090"/>
    <w:rsid w:val="0AF9C64A"/>
    <w:rsid w:val="0B3E7CE2"/>
    <w:rsid w:val="0B5FDD2C"/>
    <w:rsid w:val="0B676DAA"/>
    <w:rsid w:val="0B6A16A5"/>
    <w:rsid w:val="0B84538B"/>
    <w:rsid w:val="0C3B3806"/>
    <w:rsid w:val="0C7C5AD3"/>
    <w:rsid w:val="0CBFA669"/>
    <w:rsid w:val="0CD89826"/>
    <w:rsid w:val="0D039BED"/>
    <w:rsid w:val="0D1070A4"/>
    <w:rsid w:val="0D2CD672"/>
    <w:rsid w:val="0D49ABBD"/>
    <w:rsid w:val="0DC3A695"/>
    <w:rsid w:val="0DC54E40"/>
    <w:rsid w:val="0DE3A3C3"/>
    <w:rsid w:val="0DE6627B"/>
    <w:rsid w:val="0DEBF3E4"/>
    <w:rsid w:val="0E0CAB03"/>
    <w:rsid w:val="0E29E59E"/>
    <w:rsid w:val="0E436DF5"/>
    <w:rsid w:val="0E60C872"/>
    <w:rsid w:val="0E7DEFFD"/>
    <w:rsid w:val="0EF5EC35"/>
    <w:rsid w:val="0F5BB4BF"/>
    <w:rsid w:val="0F732232"/>
    <w:rsid w:val="0F7A3F5F"/>
    <w:rsid w:val="0FCBE25F"/>
    <w:rsid w:val="10031FEA"/>
    <w:rsid w:val="101A9C72"/>
    <w:rsid w:val="102C425A"/>
    <w:rsid w:val="102D3448"/>
    <w:rsid w:val="102F7079"/>
    <w:rsid w:val="1033E60E"/>
    <w:rsid w:val="1044078B"/>
    <w:rsid w:val="104C0523"/>
    <w:rsid w:val="105C2568"/>
    <w:rsid w:val="10A2B5A4"/>
    <w:rsid w:val="10C36AE6"/>
    <w:rsid w:val="10F6D04B"/>
    <w:rsid w:val="112B0E1D"/>
    <w:rsid w:val="1141939A"/>
    <w:rsid w:val="11711384"/>
    <w:rsid w:val="118213A8"/>
    <w:rsid w:val="1186A3CD"/>
    <w:rsid w:val="1192B0D4"/>
    <w:rsid w:val="119A4437"/>
    <w:rsid w:val="11B07B21"/>
    <w:rsid w:val="11C14D65"/>
    <w:rsid w:val="11C9B1F7"/>
    <w:rsid w:val="11F620D6"/>
    <w:rsid w:val="12515044"/>
    <w:rsid w:val="12657992"/>
    <w:rsid w:val="128341EA"/>
    <w:rsid w:val="12B994B3"/>
    <w:rsid w:val="12BFCE09"/>
    <w:rsid w:val="12C8F9E5"/>
    <w:rsid w:val="12D9F77A"/>
    <w:rsid w:val="12F2BA6C"/>
    <w:rsid w:val="13241F2F"/>
    <w:rsid w:val="1324C23F"/>
    <w:rsid w:val="1374F3E2"/>
    <w:rsid w:val="13BA5DCC"/>
    <w:rsid w:val="144056F4"/>
    <w:rsid w:val="1454473B"/>
    <w:rsid w:val="148BEF51"/>
    <w:rsid w:val="14A94A54"/>
    <w:rsid w:val="14E007AA"/>
    <w:rsid w:val="14E306AD"/>
    <w:rsid w:val="150F9D97"/>
    <w:rsid w:val="151983E2"/>
    <w:rsid w:val="153966F3"/>
    <w:rsid w:val="154DAA4C"/>
    <w:rsid w:val="15894CD0"/>
    <w:rsid w:val="158E9660"/>
    <w:rsid w:val="15B81241"/>
    <w:rsid w:val="15CEFF96"/>
    <w:rsid w:val="15E65747"/>
    <w:rsid w:val="16068004"/>
    <w:rsid w:val="161179E9"/>
    <w:rsid w:val="1629CB3A"/>
    <w:rsid w:val="16810CCB"/>
    <w:rsid w:val="16AE113E"/>
    <w:rsid w:val="16B48B6B"/>
    <w:rsid w:val="16BD9ED1"/>
    <w:rsid w:val="16D436D9"/>
    <w:rsid w:val="16E09690"/>
    <w:rsid w:val="16E7ACD6"/>
    <w:rsid w:val="16ECE206"/>
    <w:rsid w:val="16F566DC"/>
    <w:rsid w:val="172FDDF4"/>
    <w:rsid w:val="173CCC4B"/>
    <w:rsid w:val="176BEFA9"/>
    <w:rsid w:val="18023232"/>
    <w:rsid w:val="1815AFA7"/>
    <w:rsid w:val="1839FB7E"/>
    <w:rsid w:val="1849D326"/>
    <w:rsid w:val="18623103"/>
    <w:rsid w:val="189D5887"/>
    <w:rsid w:val="18FD0A61"/>
    <w:rsid w:val="1947C757"/>
    <w:rsid w:val="1969F0CA"/>
    <w:rsid w:val="19720EE1"/>
    <w:rsid w:val="1979BD93"/>
    <w:rsid w:val="19A64D16"/>
    <w:rsid w:val="19B5BCCF"/>
    <w:rsid w:val="19C26805"/>
    <w:rsid w:val="19CFE58E"/>
    <w:rsid w:val="1A0CF103"/>
    <w:rsid w:val="1A0EDD6C"/>
    <w:rsid w:val="1A23258F"/>
    <w:rsid w:val="1A43E256"/>
    <w:rsid w:val="1A871FC7"/>
    <w:rsid w:val="1A8C6860"/>
    <w:rsid w:val="1AC29980"/>
    <w:rsid w:val="1AEA941C"/>
    <w:rsid w:val="1AF80535"/>
    <w:rsid w:val="1AFC9FFA"/>
    <w:rsid w:val="1B0B03C1"/>
    <w:rsid w:val="1B493DD8"/>
    <w:rsid w:val="1B5FB974"/>
    <w:rsid w:val="1B90A7BC"/>
    <w:rsid w:val="1BC2051F"/>
    <w:rsid w:val="1BD52EEB"/>
    <w:rsid w:val="1BD5BCA6"/>
    <w:rsid w:val="1BFEBA73"/>
    <w:rsid w:val="1C3C05EB"/>
    <w:rsid w:val="1C71A779"/>
    <w:rsid w:val="1C97C485"/>
    <w:rsid w:val="1CAD3476"/>
    <w:rsid w:val="1CC4FD1B"/>
    <w:rsid w:val="1CCE4D3E"/>
    <w:rsid w:val="1CD89612"/>
    <w:rsid w:val="1CE32DB3"/>
    <w:rsid w:val="1CEAF62E"/>
    <w:rsid w:val="1D1DAE66"/>
    <w:rsid w:val="1D43F547"/>
    <w:rsid w:val="1D889D2A"/>
    <w:rsid w:val="1DB617C9"/>
    <w:rsid w:val="1DBB7B91"/>
    <w:rsid w:val="1DBB82F3"/>
    <w:rsid w:val="1DCF56A8"/>
    <w:rsid w:val="1DEE0438"/>
    <w:rsid w:val="1E367A27"/>
    <w:rsid w:val="1E3D7027"/>
    <w:rsid w:val="1E8D7233"/>
    <w:rsid w:val="1E92C374"/>
    <w:rsid w:val="1E9706A2"/>
    <w:rsid w:val="1EA6A297"/>
    <w:rsid w:val="1EBEC067"/>
    <w:rsid w:val="1EE0908A"/>
    <w:rsid w:val="1EFD3C6D"/>
    <w:rsid w:val="1F5DD65E"/>
    <w:rsid w:val="1F5E08DB"/>
    <w:rsid w:val="1F71C92C"/>
    <w:rsid w:val="1F9306F2"/>
    <w:rsid w:val="1FAA123D"/>
    <w:rsid w:val="1FBF2AF5"/>
    <w:rsid w:val="1FC4CC9C"/>
    <w:rsid w:val="1FFF8A8E"/>
    <w:rsid w:val="2040060E"/>
    <w:rsid w:val="20570CB2"/>
    <w:rsid w:val="206D3455"/>
    <w:rsid w:val="20B8C19B"/>
    <w:rsid w:val="20BC5C66"/>
    <w:rsid w:val="20BE4635"/>
    <w:rsid w:val="21033B52"/>
    <w:rsid w:val="212624D4"/>
    <w:rsid w:val="2163D5DA"/>
    <w:rsid w:val="2166E713"/>
    <w:rsid w:val="21675C06"/>
    <w:rsid w:val="21840E8D"/>
    <w:rsid w:val="21D7AFD5"/>
    <w:rsid w:val="2222B38B"/>
    <w:rsid w:val="2226C97B"/>
    <w:rsid w:val="222A97EF"/>
    <w:rsid w:val="224D5471"/>
    <w:rsid w:val="2250C810"/>
    <w:rsid w:val="2278DF0E"/>
    <w:rsid w:val="228E7EC5"/>
    <w:rsid w:val="22ADDCF8"/>
    <w:rsid w:val="22C31F4F"/>
    <w:rsid w:val="22E48AC8"/>
    <w:rsid w:val="22EFCFE7"/>
    <w:rsid w:val="22FEF2AF"/>
    <w:rsid w:val="231EC2F7"/>
    <w:rsid w:val="23292E91"/>
    <w:rsid w:val="23532BE0"/>
    <w:rsid w:val="23841E2A"/>
    <w:rsid w:val="23BB175A"/>
    <w:rsid w:val="23BBE6C8"/>
    <w:rsid w:val="23D6FE5C"/>
    <w:rsid w:val="240E31B2"/>
    <w:rsid w:val="241F7BAF"/>
    <w:rsid w:val="242670C7"/>
    <w:rsid w:val="242B5EC2"/>
    <w:rsid w:val="2432E6FC"/>
    <w:rsid w:val="243F10EE"/>
    <w:rsid w:val="24540F7E"/>
    <w:rsid w:val="2455DD64"/>
    <w:rsid w:val="245FC274"/>
    <w:rsid w:val="24964F8D"/>
    <w:rsid w:val="24F44C9B"/>
    <w:rsid w:val="24F54653"/>
    <w:rsid w:val="2501F097"/>
    <w:rsid w:val="25766C01"/>
    <w:rsid w:val="25B21B63"/>
    <w:rsid w:val="25CEF9C6"/>
    <w:rsid w:val="25D42A22"/>
    <w:rsid w:val="25D9ACFA"/>
    <w:rsid w:val="26399F4A"/>
    <w:rsid w:val="268E9B52"/>
    <w:rsid w:val="2697018C"/>
    <w:rsid w:val="26BD1EEC"/>
    <w:rsid w:val="26CA62EE"/>
    <w:rsid w:val="26CC67BD"/>
    <w:rsid w:val="27303DA3"/>
    <w:rsid w:val="27628E99"/>
    <w:rsid w:val="276384D6"/>
    <w:rsid w:val="276C7661"/>
    <w:rsid w:val="27914412"/>
    <w:rsid w:val="279B27A9"/>
    <w:rsid w:val="27AF5262"/>
    <w:rsid w:val="27B67BAF"/>
    <w:rsid w:val="27CA3E62"/>
    <w:rsid w:val="27CC6893"/>
    <w:rsid w:val="27D16D22"/>
    <w:rsid w:val="27DEA754"/>
    <w:rsid w:val="27EB48BE"/>
    <w:rsid w:val="28202B6C"/>
    <w:rsid w:val="282826D7"/>
    <w:rsid w:val="287475E5"/>
    <w:rsid w:val="28D62B7C"/>
    <w:rsid w:val="28FEE897"/>
    <w:rsid w:val="2933F57F"/>
    <w:rsid w:val="29A782B8"/>
    <w:rsid w:val="29F82A30"/>
    <w:rsid w:val="2A12AD8B"/>
    <w:rsid w:val="2A2F1A0D"/>
    <w:rsid w:val="2A4C5CAC"/>
    <w:rsid w:val="2A907711"/>
    <w:rsid w:val="2A993B2F"/>
    <w:rsid w:val="2AC06FB2"/>
    <w:rsid w:val="2AC57D46"/>
    <w:rsid w:val="2ACA82A0"/>
    <w:rsid w:val="2B1173E9"/>
    <w:rsid w:val="2B3D45D7"/>
    <w:rsid w:val="2B579F5B"/>
    <w:rsid w:val="2B5E9F00"/>
    <w:rsid w:val="2B879630"/>
    <w:rsid w:val="2BC7FC33"/>
    <w:rsid w:val="2BEC265B"/>
    <w:rsid w:val="2BF02175"/>
    <w:rsid w:val="2BF02D0B"/>
    <w:rsid w:val="2BF1E9C8"/>
    <w:rsid w:val="2C1BF102"/>
    <w:rsid w:val="2C477379"/>
    <w:rsid w:val="2C613EBA"/>
    <w:rsid w:val="2C81509D"/>
    <w:rsid w:val="2CB795FF"/>
    <w:rsid w:val="2CDADCE0"/>
    <w:rsid w:val="2D47C237"/>
    <w:rsid w:val="2D527D60"/>
    <w:rsid w:val="2D596FB9"/>
    <w:rsid w:val="2D59B10B"/>
    <w:rsid w:val="2D8BDCF3"/>
    <w:rsid w:val="2DBCFAAA"/>
    <w:rsid w:val="2DBFA5BB"/>
    <w:rsid w:val="2DF243FD"/>
    <w:rsid w:val="2DFBA39F"/>
    <w:rsid w:val="2E4F9133"/>
    <w:rsid w:val="2E6A3B6B"/>
    <w:rsid w:val="2EACD7FC"/>
    <w:rsid w:val="2F2FB20B"/>
    <w:rsid w:val="2F545A02"/>
    <w:rsid w:val="2FB3609E"/>
    <w:rsid w:val="2FDC970B"/>
    <w:rsid w:val="2FDE19CD"/>
    <w:rsid w:val="302B6EBD"/>
    <w:rsid w:val="30DA0DE1"/>
    <w:rsid w:val="30DDC5B8"/>
    <w:rsid w:val="30EB6417"/>
    <w:rsid w:val="31095F89"/>
    <w:rsid w:val="3149353C"/>
    <w:rsid w:val="314EEBF0"/>
    <w:rsid w:val="31659C9A"/>
    <w:rsid w:val="31777410"/>
    <w:rsid w:val="31AD7CF4"/>
    <w:rsid w:val="31B18FFB"/>
    <w:rsid w:val="31B4D184"/>
    <w:rsid w:val="3214F854"/>
    <w:rsid w:val="3233DCFB"/>
    <w:rsid w:val="3238E586"/>
    <w:rsid w:val="3239D366"/>
    <w:rsid w:val="32466773"/>
    <w:rsid w:val="325C45F1"/>
    <w:rsid w:val="327C2D88"/>
    <w:rsid w:val="32989C90"/>
    <w:rsid w:val="32998D2B"/>
    <w:rsid w:val="32C9BFD9"/>
    <w:rsid w:val="32CF1B42"/>
    <w:rsid w:val="32E2A799"/>
    <w:rsid w:val="32F2D325"/>
    <w:rsid w:val="33377F45"/>
    <w:rsid w:val="333B0452"/>
    <w:rsid w:val="3340C30B"/>
    <w:rsid w:val="334398D2"/>
    <w:rsid w:val="3359BC79"/>
    <w:rsid w:val="335BCAC7"/>
    <w:rsid w:val="33B0FB4C"/>
    <w:rsid w:val="33B541A7"/>
    <w:rsid w:val="33BE62A2"/>
    <w:rsid w:val="33D07E3B"/>
    <w:rsid w:val="33D17307"/>
    <w:rsid w:val="33D9B656"/>
    <w:rsid w:val="33DB6E58"/>
    <w:rsid w:val="33E98C5B"/>
    <w:rsid w:val="34138B78"/>
    <w:rsid w:val="34156002"/>
    <w:rsid w:val="3439CE9F"/>
    <w:rsid w:val="344927A5"/>
    <w:rsid w:val="347D1C64"/>
    <w:rsid w:val="3496E4FF"/>
    <w:rsid w:val="34982E26"/>
    <w:rsid w:val="34E839D4"/>
    <w:rsid w:val="34EB93E7"/>
    <w:rsid w:val="35151DF1"/>
    <w:rsid w:val="3525D844"/>
    <w:rsid w:val="354355C9"/>
    <w:rsid w:val="354AA72D"/>
    <w:rsid w:val="355060EA"/>
    <w:rsid w:val="35C222D0"/>
    <w:rsid w:val="35DD742B"/>
    <w:rsid w:val="35ED3C43"/>
    <w:rsid w:val="35FDE1B2"/>
    <w:rsid w:val="3608D442"/>
    <w:rsid w:val="3615911E"/>
    <w:rsid w:val="361A99A0"/>
    <w:rsid w:val="364B4922"/>
    <w:rsid w:val="365AB2EF"/>
    <w:rsid w:val="366A824C"/>
    <w:rsid w:val="3685F1A8"/>
    <w:rsid w:val="36998CDA"/>
    <w:rsid w:val="36B83DEE"/>
    <w:rsid w:val="36ECE2CC"/>
    <w:rsid w:val="373D9660"/>
    <w:rsid w:val="3789169C"/>
    <w:rsid w:val="37C593B2"/>
    <w:rsid w:val="37EC506A"/>
    <w:rsid w:val="381115C6"/>
    <w:rsid w:val="3817523A"/>
    <w:rsid w:val="3883C598"/>
    <w:rsid w:val="38BCE745"/>
    <w:rsid w:val="38D6D4CC"/>
    <w:rsid w:val="39380CB6"/>
    <w:rsid w:val="39AF13C7"/>
    <w:rsid w:val="39D6B441"/>
    <w:rsid w:val="39D98510"/>
    <w:rsid w:val="39FC5766"/>
    <w:rsid w:val="3A066F59"/>
    <w:rsid w:val="3A285BE7"/>
    <w:rsid w:val="3A2B4246"/>
    <w:rsid w:val="3A5C2A4D"/>
    <w:rsid w:val="3A6E7307"/>
    <w:rsid w:val="3AA78201"/>
    <w:rsid w:val="3AAE8D03"/>
    <w:rsid w:val="3AAEA63E"/>
    <w:rsid w:val="3ABA4700"/>
    <w:rsid w:val="3AE357D4"/>
    <w:rsid w:val="3AFEFDE2"/>
    <w:rsid w:val="3B4250E1"/>
    <w:rsid w:val="3B451F3F"/>
    <w:rsid w:val="3B5DA78B"/>
    <w:rsid w:val="3B621EFF"/>
    <w:rsid w:val="3B651526"/>
    <w:rsid w:val="3B6F7385"/>
    <w:rsid w:val="3B73A7D2"/>
    <w:rsid w:val="3B79CF5B"/>
    <w:rsid w:val="3B99F13B"/>
    <w:rsid w:val="3BA2779D"/>
    <w:rsid w:val="3BA58584"/>
    <w:rsid w:val="3BCDFB74"/>
    <w:rsid w:val="3BD1820B"/>
    <w:rsid w:val="3BD9C8CA"/>
    <w:rsid w:val="3BF1CCF6"/>
    <w:rsid w:val="3C17C71A"/>
    <w:rsid w:val="3C1E42C9"/>
    <w:rsid w:val="3C23A151"/>
    <w:rsid w:val="3C32EAF0"/>
    <w:rsid w:val="3C550008"/>
    <w:rsid w:val="3C760343"/>
    <w:rsid w:val="3C8C5BA2"/>
    <w:rsid w:val="3CADF4CB"/>
    <w:rsid w:val="3CF5A331"/>
    <w:rsid w:val="3D0D0456"/>
    <w:rsid w:val="3D5B828F"/>
    <w:rsid w:val="3D7F5C8E"/>
    <w:rsid w:val="3D842181"/>
    <w:rsid w:val="3D8CAFF0"/>
    <w:rsid w:val="3DC0C574"/>
    <w:rsid w:val="3DC4FE06"/>
    <w:rsid w:val="3DFAACD2"/>
    <w:rsid w:val="3E215BDC"/>
    <w:rsid w:val="3E3388C4"/>
    <w:rsid w:val="3E9E3FFF"/>
    <w:rsid w:val="3ECA5F57"/>
    <w:rsid w:val="3F0666E9"/>
    <w:rsid w:val="3F0C86A4"/>
    <w:rsid w:val="3F20F50B"/>
    <w:rsid w:val="3F2481E6"/>
    <w:rsid w:val="3F4FE90F"/>
    <w:rsid w:val="3F590ADD"/>
    <w:rsid w:val="3F5E03F5"/>
    <w:rsid w:val="3F5F51B6"/>
    <w:rsid w:val="3F670B49"/>
    <w:rsid w:val="3F699AE1"/>
    <w:rsid w:val="3F72AF95"/>
    <w:rsid w:val="3FC890E4"/>
    <w:rsid w:val="3FD34F40"/>
    <w:rsid w:val="3FE49704"/>
    <w:rsid w:val="4000C704"/>
    <w:rsid w:val="40043DDD"/>
    <w:rsid w:val="4010D891"/>
    <w:rsid w:val="404C7E4D"/>
    <w:rsid w:val="40674A91"/>
    <w:rsid w:val="408011DF"/>
    <w:rsid w:val="41272E7A"/>
    <w:rsid w:val="416376D5"/>
    <w:rsid w:val="41914CC7"/>
    <w:rsid w:val="41A22879"/>
    <w:rsid w:val="41C2146C"/>
    <w:rsid w:val="41F06AAC"/>
    <w:rsid w:val="420205C8"/>
    <w:rsid w:val="4217E92B"/>
    <w:rsid w:val="423BAED1"/>
    <w:rsid w:val="424D12BC"/>
    <w:rsid w:val="427A8A6D"/>
    <w:rsid w:val="428C9952"/>
    <w:rsid w:val="42D95076"/>
    <w:rsid w:val="42EE95AD"/>
    <w:rsid w:val="431CC797"/>
    <w:rsid w:val="433E479C"/>
    <w:rsid w:val="434DE7F0"/>
    <w:rsid w:val="43AE8A2F"/>
    <w:rsid w:val="43CB9515"/>
    <w:rsid w:val="43FAEEBD"/>
    <w:rsid w:val="440C5D68"/>
    <w:rsid w:val="4449C96B"/>
    <w:rsid w:val="44636691"/>
    <w:rsid w:val="4478FD02"/>
    <w:rsid w:val="44899D51"/>
    <w:rsid w:val="44A4876D"/>
    <w:rsid w:val="44D95322"/>
    <w:rsid w:val="4530E656"/>
    <w:rsid w:val="453211AA"/>
    <w:rsid w:val="45409D99"/>
    <w:rsid w:val="4555CCAF"/>
    <w:rsid w:val="455B0965"/>
    <w:rsid w:val="45A8D466"/>
    <w:rsid w:val="45BF893A"/>
    <w:rsid w:val="45E4F9EC"/>
    <w:rsid w:val="45EA6B25"/>
    <w:rsid w:val="45F57FF7"/>
    <w:rsid w:val="46013C97"/>
    <w:rsid w:val="46169E72"/>
    <w:rsid w:val="46186596"/>
    <w:rsid w:val="46225098"/>
    <w:rsid w:val="463C2B27"/>
    <w:rsid w:val="46635175"/>
    <w:rsid w:val="4678274A"/>
    <w:rsid w:val="4684C50E"/>
    <w:rsid w:val="4697493B"/>
    <w:rsid w:val="46BB33AE"/>
    <w:rsid w:val="46E3374C"/>
    <w:rsid w:val="46E79EB8"/>
    <w:rsid w:val="4705E9A7"/>
    <w:rsid w:val="47204DDA"/>
    <w:rsid w:val="4726A65D"/>
    <w:rsid w:val="4742D49C"/>
    <w:rsid w:val="47B1FA60"/>
    <w:rsid w:val="47B60A9E"/>
    <w:rsid w:val="47D9A1FC"/>
    <w:rsid w:val="47EF62F5"/>
    <w:rsid w:val="4826ED10"/>
    <w:rsid w:val="482CA2DE"/>
    <w:rsid w:val="485156C0"/>
    <w:rsid w:val="4870E22F"/>
    <w:rsid w:val="488ACE40"/>
    <w:rsid w:val="48970983"/>
    <w:rsid w:val="48B548AA"/>
    <w:rsid w:val="48BCCB90"/>
    <w:rsid w:val="48D44A4E"/>
    <w:rsid w:val="48EC8E54"/>
    <w:rsid w:val="49539E45"/>
    <w:rsid w:val="49907110"/>
    <w:rsid w:val="49BB9AFC"/>
    <w:rsid w:val="49D27059"/>
    <w:rsid w:val="49EB910A"/>
    <w:rsid w:val="4A046EEC"/>
    <w:rsid w:val="4A5905CB"/>
    <w:rsid w:val="4A69B2C3"/>
    <w:rsid w:val="4AA6B4AB"/>
    <w:rsid w:val="4AC8BE8C"/>
    <w:rsid w:val="4B225CEC"/>
    <w:rsid w:val="4B45A253"/>
    <w:rsid w:val="4B598103"/>
    <w:rsid w:val="4B6E569B"/>
    <w:rsid w:val="4B72005B"/>
    <w:rsid w:val="4B85A196"/>
    <w:rsid w:val="4B95E7BF"/>
    <w:rsid w:val="4B99DC81"/>
    <w:rsid w:val="4BEBDD5D"/>
    <w:rsid w:val="4BF59BBC"/>
    <w:rsid w:val="4BFAAC87"/>
    <w:rsid w:val="4C11FE68"/>
    <w:rsid w:val="4C8B3854"/>
    <w:rsid w:val="4CA54707"/>
    <w:rsid w:val="4CAF5090"/>
    <w:rsid w:val="4CB8FB54"/>
    <w:rsid w:val="4CC14298"/>
    <w:rsid w:val="4CDF89D6"/>
    <w:rsid w:val="4CE3A131"/>
    <w:rsid w:val="4D150890"/>
    <w:rsid w:val="4D1D53D9"/>
    <w:rsid w:val="4D23CF3F"/>
    <w:rsid w:val="4D3E3DC3"/>
    <w:rsid w:val="4DA2A3F6"/>
    <w:rsid w:val="4DA66CB1"/>
    <w:rsid w:val="4DA9ACEC"/>
    <w:rsid w:val="4DD2CD9D"/>
    <w:rsid w:val="4DD70683"/>
    <w:rsid w:val="4DEEBE4A"/>
    <w:rsid w:val="4DFADDCD"/>
    <w:rsid w:val="4E0792F9"/>
    <w:rsid w:val="4E1E1FA1"/>
    <w:rsid w:val="4E219B17"/>
    <w:rsid w:val="4E3252E1"/>
    <w:rsid w:val="4E3BBF4E"/>
    <w:rsid w:val="4E905BAB"/>
    <w:rsid w:val="4EA7C516"/>
    <w:rsid w:val="4EBFB601"/>
    <w:rsid w:val="4EEDE709"/>
    <w:rsid w:val="4F0EE926"/>
    <w:rsid w:val="4F0F087D"/>
    <w:rsid w:val="4F324586"/>
    <w:rsid w:val="4F3AB97C"/>
    <w:rsid w:val="4F533C58"/>
    <w:rsid w:val="4F6126A2"/>
    <w:rsid w:val="4F807455"/>
    <w:rsid w:val="4FC876A7"/>
    <w:rsid w:val="502C8CEB"/>
    <w:rsid w:val="507A1D27"/>
    <w:rsid w:val="5081EF8E"/>
    <w:rsid w:val="50874488"/>
    <w:rsid w:val="50960EAA"/>
    <w:rsid w:val="50AB3D24"/>
    <w:rsid w:val="50AD3B6A"/>
    <w:rsid w:val="50AFAEEB"/>
    <w:rsid w:val="50DD894C"/>
    <w:rsid w:val="510270B4"/>
    <w:rsid w:val="510C599B"/>
    <w:rsid w:val="51114EAD"/>
    <w:rsid w:val="513193D0"/>
    <w:rsid w:val="514F3B13"/>
    <w:rsid w:val="5191578F"/>
    <w:rsid w:val="519FF904"/>
    <w:rsid w:val="51C2053F"/>
    <w:rsid w:val="51ECC271"/>
    <w:rsid w:val="51F9D459"/>
    <w:rsid w:val="52208516"/>
    <w:rsid w:val="526FCC96"/>
    <w:rsid w:val="52AE6022"/>
    <w:rsid w:val="52D27D46"/>
    <w:rsid w:val="530CC5C7"/>
    <w:rsid w:val="532046C6"/>
    <w:rsid w:val="5335D768"/>
    <w:rsid w:val="5346D46A"/>
    <w:rsid w:val="534D4C47"/>
    <w:rsid w:val="53D1E116"/>
    <w:rsid w:val="5400BD75"/>
    <w:rsid w:val="540A5FAA"/>
    <w:rsid w:val="5429B620"/>
    <w:rsid w:val="543771F9"/>
    <w:rsid w:val="549B231F"/>
    <w:rsid w:val="54B8B3A4"/>
    <w:rsid w:val="55049931"/>
    <w:rsid w:val="55179F9D"/>
    <w:rsid w:val="551BE19C"/>
    <w:rsid w:val="55471992"/>
    <w:rsid w:val="55497826"/>
    <w:rsid w:val="55814066"/>
    <w:rsid w:val="55B0BBC7"/>
    <w:rsid w:val="55B4CA23"/>
    <w:rsid w:val="55D06A9D"/>
    <w:rsid w:val="55D85AEB"/>
    <w:rsid w:val="55E9F53C"/>
    <w:rsid w:val="5606B0BF"/>
    <w:rsid w:val="560E4F19"/>
    <w:rsid w:val="5621F108"/>
    <w:rsid w:val="566D3D45"/>
    <w:rsid w:val="56772A86"/>
    <w:rsid w:val="567A5AAA"/>
    <w:rsid w:val="567A66B8"/>
    <w:rsid w:val="56B4D946"/>
    <w:rsid w:val="56C1F3EB"/>
    <w:rsid w:val="56CF91F1"/>
    <w:rsid w:val="56DF0EE3"/>
    <w:rsid w:val="56FFCDA7"/>
    <w:rsid w:val="570AD2E7"/>
    <w:rsid w:val="57454C7E"/>
    <w:rsid w:val="57465C5B"/>
    <w:rsid w:val="5769B75E"/>
    <w:rsid w:val="57862655"/>
    <w:rsid w:val="578F2F09"/>
    <w:rsid w:val="57ADF345"/>
    <w:rsid w:val="57C0E51A"/>
    <w:rsid w:val="57DF580E"/>
    <w:rsid w:val="57F5847F"/>
    <w:rsid w:val="57F65419"/>
    <w:rsid w:val="580AC3CA"/>
    <w:rsid w:val="5840A6D6"/>
    <w:rsid w:val="586B9CC0"/>
    <w:rsid w:val="5879305C"/>
    <w:rsid w:val="58914DDE"/>
    <w:rsid w:val="58B657A7"/>
    <w:rsid w:val="58DFCDC0"/>
    <w:rsid w:val="5922AEDD"/>
    <w:rsid w:val="59510786"/>
    <w:rsid w:val="5961FD4D"/>
    <w:rsid w:val="596E0844"/>
    <w:rsid w:val="598A1060"/>
    <w:rsid w:val="599295E1"/>
    <w:rsid w:val="59E91A61"/>
    <w:rsid w:val="5A3CB585"/>
    <w:rsid w:val="5A492B24"/>
    <w:rsid w:val="5AC344D8"/>
    <w:rsid w:val="5AD549AC"/>
    <w:rsid w:val="5B968228"/>
    <w:rsid w:val="5B9792F6"/>
    <w:rsid w:val="5B9CEB99"/>
    <w:rsid w:val="5BB0ABDC"/>
    <w:rsid w:val="5BDB1979"/>
    <w:rsid w:val="5BF96D18"/>
    <w:rsid w:val="5C62FEC3"/>
    <w:rsid w:val="5C7850AC"/>
    <w:rsid w:val="5CA7FC7F"/>
    <w:rsid w:val="5CAEB84D"/>
    <w:rsid w:val="5CC5A619"/>
    <w:rsid w:val="5CD08797"/>
    <w:rsid w:val="5D064FAB"/>
    <w:rsid w:val="5D276878"/>
    <w:rsid w:val="5D3073AD"/>
    <w:rsid w:val="5D3503D6"/>
    <w:rsid w:val="5D57C68F"/>
    <w:rsid w:val="5D89EA2D"/>
    <w:rsid w:val="5D8EF16A"/>
    <w:rsid w:val="5DA2E308"/>
    <w:rsid w:val="5DA3E84C"/>
    <w:rsid w:val="5DC25087"/>
    <w:rsid w:val="5DDC6F10"/>
    <w:rsid w:val="5EB7228E"/>
    <w:rsid w:val="5EB7DD86"/>
    <w:rsid w:val="5EB94515"/>
    <w:rsid w:val="5EC8FDE8"/>
    <w:rsid w:val="5EDBD09B"/>
    <w:rsid w:val="5EDD912E"/>
    <w:rsid w:val="5EF0FF0E"/>
    <w:rsid w:val="5F32C6E0"/>
    <w:rsid w:val="5F40E71F"/>
    <w:rsid w:val="5F43E6CB"/>
    <w:rsid w:val="5F44E509"/>
    <w:rsid w:val="5F543B97"/>
    <w:rsid w:val="5FAB42DB"/>
    <w:rsid w:val="5FB6DEAE"/>
    <w:rsid w:val="5FC28F3F"/>
    <w:rsid w:val="5FE3ACAA"/>
    <w:rsid w:val="5FFEA446"/>
    <w:rsid w:val="601DB909"/>
    <w:rsid w:val="6026F403"/>
    <w:rsid w:val="6030B3C8"/>
    <w:rsid w:val="6037D263"/>
    <w:rsid w:val="604452A3"/>
    <w:rsid w:val="6063A539"/>
    <w:rsid w:val="6068767B"/>
    <w:rsid w:val="6093C567"/>
    <w:rsid w:val="60A615A8"/>
    <w:rsid w:val="60CBDFA3"/>
    <w:rsid w:val="60EBC367"/>
    <w:rsid w:val="61276411"/>
    <w:rsid w:val="616DC411"/>
    <w:rsid w:val="617F1456"/>
    <w:rsid w:val="61D26ED9"/>
    <w:rsid w:val="61D9ABA6"/>
    <w:rsid w:val="621402F2"/>
    <w:rsid w:val="6260E4BB"/>
    <w:rsid w:val="626BC66F"/>
    <w:rsid w:val="626EA824"/>
    <w:rsid w:val="6278AEFA"/>
    <w:rsid w:val="627CE919"/>
    <w:rsid w:val="6295EAE9"/>
    <w:rsid w:val="62A5B070"/>
    <w:rsid w:val="62FF8B7D"/>
    <w:rsid w:val="63269D3F"/>
    <w:rsid w:val="63B4F374"/>
    <w:rsid w:val="63C8169C"/>
    <w:rsid w:val="63CE7C27"/>
    <w:rsid w:val="64014F8E"/>
    <w:rsid w:val="64264F17"/>
    <w:rsid w:val="644037DC"/>
    <w:rsid w:val="64884103"/>
    <w:rsid w:val="64C70180"/>
    <w:rsid w:val="64F45458"/>
    <w:rsid w:val="651A7AFB"/>
    <w:rsid w:val="65288E34"/>
    <w:rsid w:val="653B56E0"/>
    <w:rsid w:val="653D3C89"/>
    <w:rsid w:val="6557E2C0"/>
    <w:rsid w:val="6558E54C"/>
    <w:rsid w:val="658441C7"/>
    <w:rsid w:val="65ADD659"/>
    <w:rsid w:val="65CAD578"/>
    <w:rsid w:val="65D24A0E"/>
    <w:rsid w:val="65DD91F6"/>
    <w:rsid w:val="65E520A4"/>
    <w:rsid w:val="65FD739E"/>
    <w:rsid w:val="6611D88E"/>
    <w:rsid w:val="661A2612"/>
    <w:rsid w:val="6645544D"/>
    <w:rsid w:val="66551D97"/>
    <w:rsid w:val="668299AC"/>
    <w:rsid w:val="66940695"/>
    <w:rsid w:val="66E5D54B"/>
    <w:rsid w:val="66E749EB"/>
    <w:rsid w:val="66EEBB1E"/>
    <w:rsid w:val="66FA4434"/>
    <w:rsid w:val="670B6EB6"/>
    <w:rsid w:val="67138A99"/>
    <w:rsid w:val="6714C460"/>
    <w:rsid w:val="67162BCB"/>
    <w:rsid w:val="671F0436"/>
    <w:rsid w:val="6757A30B"/>
    <w:rsid w:val="675C229A"/>
    <w:rsid w:val="675DA475"/>
    <w:rsid w:val="679FF134"/>
    <w:rsid w:val="67B93323"/>
    <w:rsid w:val="67D707B0"/>
    <w:rsid w:val="6805C79C"/>
    <w:rsid w:val="681C8D7C"/>
    <w:rsid w:val="681E6DBB"/>
    <w:rsid w:val="681F3B17"/>
    <w:rsid w:val="6838422F"/>
    <w:rsid w:val="6874D1A6"/>
    <w:rsid w:val="6884CC0F"/>
    <w:rsid w:val="688E35BE"/>
    <w:rsid w:val="68E41BD6"/>
    <w:rsid w:val="69095912"/>
    <w:rsid w:val="6922403A"/>
    <w:rsid w:val="693A1E5B"/>
    <w:rsid w:val="693F52C4"/>
    <w:rsid w:val="695FC786"/>
    <w:rsid w:val="69684806"/>
    <w:rsid w:val="69801BEC"/>
    <w:rsid w:val="69ED10B5"/>
    <w:rsid w:val="6A17800D"/>
    <w:rsid w:val="6A264725"/>
    <w:rsid w:val="6A3A1707"/>
    <w:rsid w:val="6A8B5C36"/>
    <w:rsid w:val="6A8C0AFF"/>
    <w:rsid w:val="6A91FAE0"/>
    <w:rsid w:val="6ACAD2C9"/>
    <w:rsid w:val="6ACE3C75"/>
    <w:rsid w:val="6AF0551E"/>
    <w:rsid w:val="6B1892F7"/>
    <w:rsid w:val="6B21A056"/>
    <w:rsid w:val="6B2CB7FB"/>
    <w:rsid w:val="6B443257"/>
    <w:rsid w:val="6B6AE80E"/>
    <w:rsid w:val="6B7A1C47"/>
    <w:rsid w:val="6B840C1F"/>
    <w:rsid w:val="6B93CC04"/>
    <w:rsid w:val="6C0F9EE1"/>
    <w:rsid w:val="6C7E7A8D"/>
    <w:rsid w:val="6CF4CE5C"/>
    <w:rsid w:val="6D60E7C3"/>
    <w:rsid w:val="6D6CA2DD"/>
    <w:rsid w:val="6D85D917"/>
    <w:rsid w:val="6DDA50E9"/>
    <w:rsid w:val="6DE21072"/>
    <w:rsid w:val="6DF0E7B5"/>
    <w:rsid w:val="6DF93861"/>
    <w:rsid w:val="6DFB9C82"/>
    <w:rsid w:val="6E06E1F1"/>
    <w:rsid w:val="6E12F481"/>
    <w:rsid w:val="6E3B0F22"/>
    <w:rsid w:val="6E3CA697"/>
    <w:rsid w:val="6E6ED021"/>
    <w:rsid w:val="6ED907E4"/>
    <w:rsid w:val="6EE07E4F"/>
    <w:rsid w:val="6EE367CC"/>
    <w:rsid w:val="6F27A1F7"/>
    <w:rsid w:val="6F425A46"/>
    <w:rsid w:val="6F58D700"/>
    <w:rsid w:val="6F5F8E2C"/>
    <w:rsid w:val="6F8856F7"/>
    <w:rsid w:val="6FB8559C"/>
    <w:rsid w:val="6FC6807D"/>
    <w:rsid w:val="6FE5A60B"/>
    <w:rsid w:val="6FF0FBD0"/>
    <w:rsid w:val="6FF32911"/>
    <w:rsid w:val="7008FAA5"/>
    <w:rsid w:val="70703CD1"/>
    <w:rsid w:val="707DBF7B"/>
    <w:rsid w:val="70AD3B82"/>
    <w:rsid w:val="70B8FE3A"/>
    <w:rsid w:val="70D8821C"/>
    <w:rsid w:val="70DA075D"/>
    <w:rsid w:val="711BF836"/>
    <w:rsid w:val="71292435"/>
    <w:rsid w:val="717C4D48"/>
    <w:rsid w:val="71A081CA"/>
    <w:rsid w:val="71A8ABCA"/>
    <w:rsid w:val="71B018C8"/>
    <w:rsid w:val="71B87EAB"/>
    <w:rsid w:val="71CD4447"/>
    <w:rsid w:val="71D6C61B"/>
    <w:rsid w:val="71D91C1A"/>
    <w:rsid w:val="71ED9601"/>
    <w:rsid w:val="71FA4993"/>
    <w:rsid w:val="720BE7D3"/>
    <w:rsid w:val="7242C96A"/>
    <w:rsid w:val="72663B68"/>
    <w:rsid w:val="728D3E7E"/>
    <w:rsid w:val="72D1C6BB"/>
    <w:rsid w:val="72DC6AAA"/>
    <w:rsid w:val="7329DC72"/>
    <w:rsid w:val="736F453C"/>
    <w:rsid w:val="739FBC54"/>
    <w:rsid w:val="73C12558"/>
    <w:rsid w:val="73C7E29B"/>
    <w:rsid w:val="73F959EE"/>
    <w:rsid w:val="73FD7BF6"/>
    <w:rsid w:val="740C9658"/>
    <w:rsid w:val="741BE99E"/>
    <w:rsid w:val="743687F2"/>
    <w:rsid w:val="744DA0A5"/>
    <w:rsid w:val="7471FF37"/>
    <w:rsid w:val="74C10E06"/>
    <w:rsid w:val="74E5F888"/>
    <w:rsid w:val="75091030"/>
    <w:rsid w:val="751532BD"/>
    <w:rsid w:val="751C5F0C"/>
    <w:rsid w:val="7589925A"/>
    <w:rsid w:val="75E8F6BE"/>
    <w:rsid w:val="75F06B03"/>
    <w:rsid w:val="75FEEA5B"/>
    <w:rsid w:val="76324702"/>
    <w:rsid w:val="7664CFFD"/>
    <w:rsid w:val="7673CEE5"/>
    <w:rsid w:val="76DDF044"/>
    <w:rsid w:val="76ECCF5D"/>
    <w:rsid w:val="76FEE4BD"/>
    <w:rsid w:val="7701FA14"/>
    <w:rsid w:val="77590A7A"/>
    <w:rsid w:val="779421E5"/>
    <w:rsid w:val="77C304BD"/>
    <w:rsid w:val="77D40E1E"/>
    <w:rsid w:val="77F82302"/>
    <w:rsid w:val="7855EAF1"/>
    <w:rsid w:val="785791FE"/>
    <w:rsid w:val="785C0EBA"/>
    <w:rsid w:val="786E4695"/>
    <w:rsid w:val="78932CAC"/>
    <w:rsid w:val="78976142"/>
    <w:rsid w:val="78A6DDA8"/>
    <w:rsid w:val="78FEA92B"/>
    <w:rsid w:val="7906A082"/>
    <w:rsid w:val="791199B5"/>
    <w:rsid w:val="79200C63"/>
    <w:rsid w:val="795FB3AC"/>
    <w:rsid w:val="796C011F"/>
    <w:rsid w:val="797391B4"/>
    <w:rsid w:val="7993E946"/>
    <w:rsid w:val="79A0263D"/>
    <w:rsid w:val="79CB6F03"/>
    <w:rsid w:val="79D0E0FB"/>
    <w:rsid w:val="79F0E537"/>
    <w:rsid w:val="7A12C38D"/>
    <w:rsid w:val="7A4B5907"/>
    <w:rsid w:val="7A68B9FB"/>
    <w:rsid w:val="7AB8A149"/>
    <w:rsid w:val="7AB99A09"/>
    <w:rsid w:val="7AC93378"/>
    <w:rsid w:val="7B090D66"/>
    <w:rsid w:val="7B30C870"/>
    <w:rsid w:val="7B3E80F7"/>
    <w:rsid w:val="7BAFB1FA"/>
    <w:rsid w:val="7BB44DE7"/>
    <w:rsid w:val="7BEB5EF6"/>
    <w:rsid w:val="7BEEC250"/>
    <w:rsid w:val="7C221E24"/>
    <w:rsid w:val="7CF5AC13"/>
    <w:rsid w:val="7D16F05B"/>
    <w:rsid w:val="7D1BB5BA"/>
    <w:rsid w:val="7D21F226"/>
    <w:rsid w:val="7D2B1887"/>
    <w:rsid w:val="7D655CF3"/>
    <w:rsid w:val="7D7D1A64"/>
    <w:rsid w:val="7DE1B9D0"/>
    <w:rsid w:val="7DEF06A7"/>
    <w:rsid w:val="7DF26F69"/>
    <w:rsid w:val="7E3C3708"/>
    <w:rsid w:val="7E4110DF"/>
    <w:rsid w:val="7E9E9F5B"/>
    <w:rsid w:val="7EB035B1"/>
    <w:rsid w:val="7ECFE993"/>
    <w:rsid w:val="7F02A6F6"/>
    <w:rsid w:val="7F373EAA"/>
    <w:rsid w:val="7F672F8A"/>
    <w:rsid w:val="7F8D909B"/>
    <w:rsid w:val="7FB50CAC"/>
    <w:rsid w:val="7F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98C2"/>
  <w15:docId w15:val="{46AC2ACF-08F9-834E-993B-28727AF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E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5514"/>
  </w:style>
  <w:style w:type="paragraph" w:styleId="Rodap">
    <w:name w:val="footer"/>
    <w:basedOn w:val="Normal"/>
    <w:link w:val="RodapCarter"/>
    <w:uiPriority w:val="99"/>
    <w:unhideWhenUsed/>
    <w:rsid w:val="007E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5514"/>
  </w:style>
  <w:style w:type="character" w:styleId="Hiperligao">
    <w:name w:val="Hyperlink"/>
    <w:basedOn w:val="Tipodeletrapredefinidodopargrafo"/>
    <w:uiPriority w:val="99"/>
    <w:unhideWhenUsed/>
    <w:qFormat/>
    <w:rsid w:val="007E5514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37D9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3D842181"/>
    <w:pPr>
      <w:ind w:left="720"/>
      <w:contextualSpacing/>
    </w:pPr>
  </w:style>
  <w:style w:type="paragraph" w:styleId="Reviso">
    <w:name w:val="Revision"/>
    <w:hidden/>
    <w:uiPriority w:val="99"/>
    <w:semiHidden/>
    <w:rsid w:val="00CF0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miguel@lift.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/Discos%20partilhados/(15%20LSB)%202021/CLIENTES%20ATIVOS/XIAOMI/Trabalho%20Corrente/Atividades%20Desenvolvidas/Press%20Releases/01.%20Serie%2011T/v-salvadors@xiaom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.roquete@lift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2049</Words>
  <Characters>11070</Characters>
  <Application>Microsoft Office Word</Application>
  <DocSecurity>0</DocSecurity>
  <Lines>92</Lines>
  <Paragraphs>26</Paragraphs>
  <ScaleCrop>false</ScaleCrop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Ana Roquete</cp:lastModifiedBy>
  <cp:revision>17</cp:revision>
  <cp:lastPrinted>2025-06-06T14:13:00Z</cp:lastPrinted>
  <dcterms:created xsi:type="dcterms:W3CDTF">2025-08-25T08:17:00Z</dcterms:created>
  <dcterms:modified xsi:type="dcterms:W3CDTF">2025-08-25T18:13:00Z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b0c2fb05cf711f08000491b0000481b">
    <vt:lpwstr>CWM3wAaHihKI2+HNTMimpAiVyuvXcXqy+OaBnFyDpzzFhx8ZIl0Ai54IuAvFrASOsQilx4/ISdBMzewQl8e0kirAA==</vt:lpwstr>
  </property>
  <property fmtid="{D5CDD505-2E9C-101B-9397-08002B2CF9AE}" pid="3" name="MSIP_Label_1680d606-3385-4829-a27a-d391e7785643_Enabled">
    <vt:lpwstr>true</vt:lpwstr>
  </property>
  <property fmtid="{D5CDD505-2E9C-101B-9397-08002B2CF9AE}" pid="4" name="MSIP_Label_1680d606-3385-4829-a27a-d391e7785643_SetDate">
    <vt:lpwstr>2025-07-11T10:36:38Z</vt:lpwstr>
  </property>
  <property fmtid="{D5CDD505-2E9C-101B-9397-08002B2CF9AE}" pid="5" name="MSIP_Label_1680d606-3385-4829-a27a-d391e7785643_Method">
    <vt:lpwstr>Standard</vt:lpwstr>
  </property>
  <property fmtid="{D5CDD505-2E9C-101B-9397-08002B2CF9AE}" pid="6" name="MSIP_Label_1680d606-3385-4829-a27a-d391e7785643_Name">
    <vt:lpwstr>1680d606-3385-4829-a27a-d391e7785643</vt:lpwstr>
  </property>
  <property fmtid="{D5CDD505-2E9C-101B-9397-08002B2CF9AE}" pid="7" name="MSIP_Label_1680d606-3385-4829-a27a-d391e7785643_SiteId">
    <vt:lpwstr>b6f420c1-da14-4124-b666-fadafb6ebc04</vt:lpwstr>
  </property>
  <property fmtid="{D5CDD505-2E9C-101B-9397-08002B2CF9AE}" pid="8" name="MSIP_Label_1680d606-3385-4829-a27a-d391e7785643_ActionId">
    <vt:lpwstr>5f3194b5-4b08-4d7f-8834-f4092fa704cd</vt:lpwstr>
  </property>
  <property fmtid="{D5CDD505-2E9C-101B-9397-08002B2CF9AE}" pid="9" name="MSIP_Label_1680d606-3385-4829-a27a-d391e7785643_ContentBits">
    <vt:lpwstr>0</vt:lpwstr>
  </property>
</Properties>
</file>