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b w:val="1"/>
          <w:sz w:val="38"/>
          <w:szCs w:val="38"/>
        </w:rPr>
      </w:pPr>
      <w:r w:rsidDel="00000000" w:rsidR="00000000" w:rsidRPr="00000000">
        <w:rPr>
          <w:b w:val="1"/>
          <w:sz w:val="38"/>
          <w:szCs w:val="38"/>
          <w:rtl w:val="0"/>
        </w:rPr>
        <w:t xml:space="preserve">Wyniki za rok finansowy 2024/2025: </w:t>
      </w:r>
    </w:p>
    <w:p w:rsidR="00000000" w:rsidDel="00000000" w:rsidP="00000000" w:rsidRDefault="00000000" w:rsidRPr="00000000" w14:paraId="00000002">
      <w:pPr>
        <w:jc w:val="both"/>
        <w:rPr>
          <w:b w:val="1"/>
          <w:sz w:val="38"/>
          <w:szCs w:val="38"/>
        </w:rPr>
      </w:pPr>
      <w:r w:rsidDel="00000000" w:rsidR="00000000" w:rsidRPr="00000000">
        <w:rPr>
          <w:b w:val="1"/>
          <w:sz w:val="38"/>
          <w:szCs w:val="38"/>
          <w:rtl w:val="0"/>
        </w:rPr>
        <w:t xml:space="preserve">FM Logistic notuje wzrost przychodów na poziomie 8,2% i potwierdza skuteczność swojego modelu biznesowego</w:t>
      </w:r>
    </w:p>
    <w:p w:rsidR="00000000" w:rsidDel="00000000" w:rsidP="00000000" w:rsidRDefault="00000000" w:rsidRPr="00000000" w14:paraId="00000003">
      <w:pPr>
        <w:jc w:val="both"/>
        <w:rPr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50"/>
        <w:gridCol w:w="7459"/>
        <w:tblGridChange w:id="0">
          <w:tblGrid>
            <w:gridCol w:w="1550"/>
            <w:gridCol w:w="7459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ind w:right="0"/>
              <w:rPr>
                <w:rFonts w:ascii="Raleway ExtraBold" w:cs="Raleway ExtraBold" w:eastAsia="Raleway ExtraBold" w:hAnsi="Raleway ExtraBold"/>
                <w:sz w:val="16"/>
                <w:szCs w:val="16"/>
              </w:rPr>
            </w:pPr>
            <w:r w:rsidDel="00000000" w:rsidR="00000000" w:rsidRPr="00000000">
              <w:rPr>
                <w:rFonts w:ascii="Raleway ExtraBold" w:cs="Raleway ExtraBold" w:eastAsia="Raleway ExtraBold" w:hAnsi="Raleway ExtraBold"/>
                <w:sz w:val="16"/>
                <w:szCs w:val="16"/>
                <w:rtl w:val="0"/>
              </w:rPr>
              <w:t xml:space="preserve">Wyniki finansowe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ind w:right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Przychód: 1866 mln EUR (+8,2% przy założeniu stałych kursów wymiany i niezmienionej skali działalności)</w:t>
            </w:r>
          </w:p>
          <w:p w:rsidR="00000000" w:rsidDel="00000000" w:rsidP="00000000" w:rsidRDefault="00000000" w:rsidRPr="00000000" w14:paraId="00000007">
            <w:pPr>
              <w:ind w:right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EBIT: 74 mln EUR przy marży operacyjnej na poziomie 4%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ind w:right="0"/>
              <w:rPr>
                <w:rFonts w:ascii="Raleway ExtraBold" w:cs="Raleway ExtraBold" w:eastAsia="Raleway ExtraBold" w:hAnsi="Raleway ExtraBold"/>
                <w:sz w:val="16"/>
                <w:szCs w:val="16"/>
              </w:rPr>
            </w:pPr>
            <w:r w:rsidDel="00000000" w:rsidR="00000000" w:rsidRPr="00000000">
              <w:rPr>
                <w:rFonts w:ascii="Raleway ExtraBold" w:cs="Raleway ExtraBold" w:eastAsia="Raleway ExtraBold" w:hAnsi="Raleway ExtraBold"/>
                <w:sz w:val="16"/>
                <w:szCs w:val="16"/>
                <w:rtl w:val="0"/>
              </w:rPr>
              <w:t xml:space="preserve">Dynamika handlowa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ind w:right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Nowe kontrakty na kwotę 202 mln EUR</w:t>
            </w:r>
          </w:p>
          <w:p w:rsidR="00000000" w:rsidDel="00000000" w:rsidP="00000000" w:rsidRDefault="00000000" w:rsidRPr="00000000" w14:paraId="0000000A">
            <w:pPr>
              <w:ind w:right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Wskaźnik satysfakcji klientów (NPS) 2025: 56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ind w:right="0"/>
              <w:rPr>
                <w:rFonts w:ascii="Raleway ExtraBold" w:cs="Raleway ExtraBold" w:eastAsia="Raleway ExtraBold" w:hAnsi="Raleway ExtraBold"/>
                <w:sz w:val="16"/>
                <w:szCs w:val="16"/>
              </w:rPr>
            </w:pPr>
            <w:r w:rsidDel="00000000" w:rsidR="00000000" w:rsidRPr="00000000">
              <w:rPr>
                <w:rFonts w:ascii="Raleway ExtraBold" w:cs="Raleway ExtraBold" w:eastAsia="Raleway ExtraBold" w:hAnsi="Raleway ExtraBold"/>
                <w:sz w:val="16"/>
                <w:szCs w:val="16"/>
                <w:rtl w:val="0"/>
              </w:rPr>
              <w:t xml:space="preserve">Zrównoważona transformacja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ind w:right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 30% mniejsze emisje CO₂ w wartości bezwzględnej oraz o 48% niższy wskaźnik CO₂/EUR  w stosunku do roku obrotowego 2020/2021 (zakresy 1 i 2)</w:t>
            </w:r>
          </w:p>
          <w:p w:rsidR="00000000" w:rsidDel="00000000" w:rsidP="00000000" w:rsidRDefault="00000000" w:rsidRPr="00000000" w14:paraId="0000000D">
            <w:pPr>
              <w:ind w:right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93% floty ciężarówek Grupy zasilanych biopaliwem Oleo 100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ind w:right="0"/>
              <w:rPr>
                <w:rFonts w:ascii="Raleway ExtraBold" w:cs="Raleway ExtraBold" w:eastAsia="Raleway ExtraBold" w:hAnsi="Raleway ExtraBold"/>
                <w:sz w:val="16"/>
                <w:szCs w:val="16"/>
              </w:rPr>
            </w:pPr>
            <w:r w:rsidDel="00000000" w:rsidR="00000000" w:rsidRPr="00000000">
              <w:rPr>
                <w:rFonts w:ascii="Raleway ExtraBold" w:cs="Raleway ExtraBold" w:eastAsia="Raleway ExtraBold" w:hAnsi="Raleway ExtraBold"/>
                <w:sz w:val="16"/>
                <w:szCs w:val="16"/>
                <w:rtl w:val="0"/>
              </w:rPr>
              <w:t xml:space="preserve">Zaangażowanie pracowników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ind w:right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Poziom satysfakcji pracowników – 90% (badanie Pulse 2024)</w:t>
            </w:r>
          </w:p>
        </w:tc>
      </w:tr>
    </w:tbl>
    <w:p w:rsidR="00000000" w:rsidDel="00000000" w:rsidP="00000000" w:rsidRDefault="00000000" w:rsidRPr="00000000" w14:paraId="00000010">
      <w:pPr>
        <w:ind w:right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right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right="0"/>
        <w:jc w:val="both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Ścisła współpraca i strategiczne relacje partnerskie z klientami zapewniły FM Logistic solidne wyniki za rok obrotowy kończący się 31 marca 2025 roku. Wyniki te potwierdzają słuszność obranej strategii „Powering 2030” i odzwierciedlają skuteczność modelu biznesowego w obliczu wyzwań rynkowych. Grupa stale udowadnia, że odchudzony, bardziej wydajny i oparty na współpracy łańcuch dostaw może sprzyjać odpowiedzialnemu wzrostowi.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right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ind w:right="0"/>
        <w:rPr>
          <w:rFonts w:ascii="Times New Roman" w:cs="Times New Roman" w:eastAsia="Times New Roman" w:hAnsi="Times New Roman"/>
          <w:b w:val="1"/>
          <w:sz w:val="29"/>
          <w:szCs w:val="29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Wydajność oparta na zmobilizowanych zespołach zaangażowanych w doskonałość operacyjną i przyspieszenie transformacji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="276" w:lineRule="auto"/>
        <w:ind w:right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FM Logistic – rodzinna, niezależna i międzynarodowa firma – odnotowała przychody w wysokości 1866 mln EUR (wzrost o 8,2% przy założeniu stałych kursów wymiany i niezmienionej skali działalności), marżę operacyjną na poziomie 4% oraz zawarła nowe kontrakty o wartości 202 mln EUR. W kontekście reorganizacji łańcucha dostaw i presji związanej z wielkością sprzedaży Grupa utrzymała tempo rozwoju za sprawą konsekwencji działania , stabilnego zarządzania oraz oferty usług dostosowanej do oczekiwań klientów. Ukierunkowane inwestycje i koncentracja na regionach o wysokim potencjale dodatkowo wzmocniły możliwości Grupy do utrzymania obranego kursu.</w:t>
      </w:r>
    </w:p>
    <w:p w:rsidR="00000000" w:rsidDel="00000000" w:rsidP="00000000" w:rsidRDefault="00000000" w:rsidRPr="00000000" w14:paraId="00000016">
      <w:pPr>
        <w:spacing w:after="240" w:before="240" w:line="276" w:lineRule="auto"/>
        <w:ind w:right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„W każdym kraju, w każdym magazynie i każdym departamencie  nasze zespoły wykazują się wzorowym zaangażowaniem.</w:t>
      </w:r>
      <w:r w:rsidDel="00000000" w:rsidR="00000000" w:rsidRPr="00000000">
        <w:rPr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Właśnie ta umiejętność wspólnego dążenia do celu mimo niestabilnej sytuacji rynkowej jest fundamentem naszej skuteczności.</w:t>
      </w:r>
      <w:r w:rsidDel="00000000" w:rsidR="00000000" w:rsidRPr="00000000">
        <w:rPr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Jakość naszych relacji z klientami sprzyja tworzeniu zrównoważonych rozwiązań, które zapewniają długoterminową wartość i rozwój” – </w:t>
      </w:r>
      <w:r w:rsidDel="00000000" w:rsidR="00000000" w:rsidRPr="00000000">
        <w:rPr>
          <w:b w:val="1"/>
          <w:sz w:val="20"/>
          <w:szCs w:val="20"/>
          <w:rtl w:val="0"/>
        </w:rPr>
        <w:t xml:space="preserve">Jean-Christophe Machet, CEO FM Logistic</w:t>
      </w:r>
      <w:r w:rsidDel="00000000" w:rsidR="00000000" w:rsidRPr="00000000">
        <w:rPr>
          <w:sz w:val="20"/>
          <w:szCs w:val="20"/>
          <w:rtl w:val="0"/>
        </w:rPr>
        <w:t xml:space="preserve">.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="276" w:lineRule="auto"/>
        <w:ind w:right="0"/>
        <w:jc w:val="both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Wysoki poziom zadowolenia klientów (NPS 56) i pracowników (90%) odzwierciedla siłę modelu opartego na bliskości, zaufaniu i wydajności.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right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right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ind w:right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Rozwój</w:t>
      </w:r>
      <w:r w:rsidDel="00000000" w:rsidR="00000000" w:rsidRPr="00000000">
        <w:rPr>
          <w:b w:val="1"/>
          <w:sz w:val="20"/>
          <w:szCs w:val="20"/>
          <w:rtl w:val="0"/>
        </w:rPr>
        <w:t xml:space="preserve"> w Europie Centralnej</w:t>
      </w:r>
    </w:p>
    <w:p w:rsidR="00000000" w:rsidDel="00000000" w:rsidP="00000000" w:rsidRDefault="00000000" w:rsidRPr="00000000" w14:paraId="0000001B">
      <w:pPr>
        <w:spacing w:line="276" w:lineRule="auto"/>
        <w:ind w:right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ind w:right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FM Logistic w Europie Centralnej odegrało znaczącą rolę w poprawie wyniku finansowego całej Grupy. Był to efekt zarówno organicznego wzrostu przychodów w regionie na poziomie 12%, jak i poprawie efektywności zwiększającej marżę operacyjną. </w:t>
      </w:r>
    </w:p>
    <w:p w:rsidR="00000000" w:rsidDel="00000000" w:rsidP="00000000" w:rsidRDefault="00000000" w:rsidRPr="00000000" w14:paraId="0000001D">
      <w:pPr>
        <w:keepNext w:val="1"/>
        <w:keepLines w:val="1"/>
        <w:spacing w:line="276" w:lineRule="auto"/>
        <w:ind w:right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1"/>
        <w:keepLines w:val="1"/>
        <w:spacing w:line="276" w:lineRule="auto"/>
        <w:ind w:right="0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Supply Change: zrównoważona transformacja w logistyce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1"/>
        <w:keepLines w:val="1"/>
        <w:ind w:right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keepLines w:val="1"/>
        <w:spacing w:line="276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FM Logistic nieustannie się zmienia w ramach </w:t>
      </w:r>
      <w:r w:rsidDel="00000000" w:rsidR="00000000" w:rsidRPr="00000000">
        <w:rPr>
          <w:b w:val="1"/>
          <w:sz w:val="20"/>
          <w:szCs w:val="20"/>
          <w:rtl w:val="0"/>
        </w:rPr>
        <w:t xml:space="preserve">Supply Change</w:t>
      </w:r>
      <w:r w:rsidDel="00000000" w:rsidR="00000000" w:rsidRPr="00000000">
        <w:rPr>
          <w:sz w:val="20"/>
          <w:szCs w:val="20"/>
          <w:rtl w:val="0"/>
        </w:rPr>
        <w:t xml:space="preserve"> – długoterminowej strategii Grupy na rzecz bardziej zrównoważonego i opartego na współpracy łańcucha dostaw, który łączy wyniki finansowe z pozytywnym oddziaływaniem. Nasza wizja przekłada się na wymierne rezultaty: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before="240" w:line="276" w:lineRule="auto"/>
        <w:ind w:left="720" w:right="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sz w:val="20"/>
          <w:szCs w:val="20"/>
          <w:rtl w:val="0"/>
        </w:rPr>
        <w:t xml:space="preserve">Zmniejszenie emisji CO₂ o 30% w wartości bezwzględnej w </w:t>
      </w:r>
      <w:r w:rsidDel="00000000" w:rsidR="00000000" w:rsidRPr="00000000">
        <w:rPr>
          <w:sz w:val="20"/>
          <w:szCs w:val="20"/>
          <w:rtl w:val="0"/>
        </w:rPr>
        <w:t xml:space="preserve">stosunku</w:t>
      </w:r>
      <w:r w:rsidDel="00000000" w:rsidR="00000000" w:rsidRPr="00000000">
        <w:rPr>
          <w:sz w:val="20"/>
          <w:szCs w:val="20"/>
          <w:rtl w:val="0"/>
        </w:rPr>
        <w:t xml:space="preserve"> do  roku obrotowego 2020/2021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line="276" w:lineRule="auto"/>
        <w:ind w:left="720" w:right="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sz w:val="20"/>
          <w:szCs w:val="20"/>
          <w:rtl w:val="0"/>
        </w:rPr>
        <w:t xml:space="preserve">Zmniejszenie o 48% emisji CO₂ na 1 EUR przychodów (zakresy 1 i 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line="276" w:lineRule="auto"/>
        <w:ind w:left="720" w:right="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sz w:val="20"/>
          <w:szCs w:val="20"/>
          <w:rtl w:val="0"/>
        </w:rPr>
        <w:t xml:space="preserve">Wprowadzanie rozwiązań multimodalnych w Europie, w tym inicjatywy CITYlogin dla metra w Madrycie i transportu intermodalnego wzdłuż korytarza północ-południe we Francji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line="276" w:lineRule="auto"/>
        <w:ind w:right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Ukierunkowana cyfryzacja i automatyzacja, na przykład wdrożenie AutoStore czy coraz częstsze wykorzystywanie sztucznej inteligencji w transporcie, pomagają zwiększyć wydajność operacyjną przy jednoczesnej poprawie warunków pracy. FM Logistic stawia też na długofalową współpracę z klientami takimi jak BIC i Brother w zakresie opracowywania bardziej ekologicznych rozwiązań, np. wspólne huby i co-packing.</w:t>
      </w:r>
    </w:p>
    <w:p w:rsidR="00000000" w:rsidDel="00000000" w:rsidP="00000000" w:rsidRDefault="00000000" w:rsidRPr="00000000" w14:paraId="00000025">
      <w:pPr>
        <w:spacing w:after="240" w:before="240" w:line="276" w:lineRule="auto"/>
        <w:ind w:right="0"/>
        <w:jc w:val="both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„W ramach Supply Change łączymy wydajność z odpowiedzialnością.</w:t>
      </w:r>
      <w:r w:rsidDel="00000000" w:rsidR="00000000" w:rsidRPr="00000000">
        <w:rPr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Pociąga to za sobą wdrażanie innowacyjnych rozwiązań, dokonywanie świadomych wyborów oraz stały dialog z naszymi klientami, zespołami i partnerami” – </w:t>
      </w:r>
      <w:r w:rsidDel="00000000" w:rsidR="00000000" w:rsidRPr="00000000">
        <w:rPr>
          <w:b w:val="1"/>
          <w:sz w:val="20"/>
          <w:szCs w:val="20"/>
          <w:rtl w:val="0"/>
        </w:rPr>
        <w:t xml:space="preserve">Jean-Christophe Machet</w:t>
      </w:r>
      <w:r w:rsidDel="00000000" w:rsidR="00000000" w:rsidRPr="00000000">
        <w:rPr>
          <w:sz w:val="20"/>
          <w:szCs w:val="20"/>
          <w:rtl w:val="0"/>
        </w:rPr>
        <w:t xml:space="preserve">.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line="276" w:lineRule="auto"/>
        <w:ind w:right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FM Logistic realizuje także projekty solidarnościowe za pośrednictwem Fundacji FM, np.: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276" w:lineRule="auto"/>
        <w:ind w:left="720" w:right="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szkoła logistyki w São Paulo w Brazylii we współpracy z Fundacją Pescar;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276" w:lineRule="auto"/>
        <w:ind w:left="720" w:right="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wsparcie dla Emmaüs Défi we Francji w zakresie logistyki ponownego wykorzystania mebli w wiosce olimpijskiej.</w:t>
      </w:r>
    </w:p>
    <w:p w:rsidR="00000000" w:rsidDel="00000000" w:rsidP="00000000" w:rsidRDefault="00000000" w:rsidRPr="00000000" w14:paraId="00000029">
      <w:pPr>
        <w:spacing w:line="276" w:lineRule="auto"/>
        <w:ind w:right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FM Logistic rozpoczyna nowy rok obrotowy z pewnością siebie oraz determinacją, aby łańcuchy dostaw stanowiły pozytywną siłę napędową transformacji dla regionów, firm i społeczeństw.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ind w:right="0"/>
        <w:rPr>
          <w:b w:val="1"/>
          <w:sz w:val="20"/>
          <w:szCs w:val="20"/>
        </w:rPr>
        <w:sectPr>
          <w:headerReference r:id="rId7" w:type="default"/>
          <w:footerReference r:id="rId8" w:type="default"/>
          <w:footerReference r:id="rId9" w:type="first"/>
          <w:pgSz w:h="16834" w:w="11909" w:orient="portrait"/>
          <w:pgMar w:bottom="1440" w:top="1440" w:left="1440" w:right="1440" w:header="720" w:footer="566"/>
          <w:pgNumType w:start="1"/>
        </w:sectPr>
      </w:pPr>
      <w:r w:rsidDel="00000000" w:rsidR="00000000" w:rsidRPr="00000000">
        <w:rPr>
          <w:b w:val="1"/>
          <w:sz w:val="20"/>
          <w:szCs w:val="20"/>
          <w:rtl w:val="0"/>
        </w:rPr>
        <w:t xml:space="preserve">👉👉</w:t>
      </w:r>
      <w:hyperlink r:id="rId10">
        <w:r w:rsidDel="00000000" w:rsidR="00000000" w:rsidRPr="00000000">
          <w:rPr>
            <w:b w:val="1"/>
            <w:sz w:val="20"/>
            <w:szCs w:val="20"/>
            <w:u w:val="single"/>
            <w:rtl w:val="0"/>
          </w:rPr>
          <w:t xml:space="preserve">Roczne sprawozdanie FM Logistic 2024/2025 – wersja angielska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-283" w:right="-291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4092" w:top="3543" w:left="1440" w:right="1440" w:header="0" w:footer="566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rial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aleway ExtraBold">
    <w:embedBold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ind w:right="0"/>
      <w:jc w:val="both"/>
      <w:rPr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2038350</wp:posOffset>
          </wp:positionH>
          <wp:positionV relativeFrom="paragraph">
            <wp:posOffset>-95243</wp:posOffset>
          </wp:positionV>
          <wp:extent cx="1620000" cy="311850"/>
          <wp:effectExtent b="0" l="0" r="0" t="0"/>
          <wp:wrapNone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20000" cy="3118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2">
    <w:pPr>
      <w:ind w:right="0"/>
      <w:jc w:val="both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ind w:right="-1029"/>
      <w:jc w:val="right"/>
      <w:rPr>
        <w:color w:val="ffffff"/>
      </w:rPr>
    </w:pPr>
    <w:r w:rsidDel="00000000" w:rsidR="00000000" w:rsidRPr="00000000">
      <w:rPr>
        <w:color w:val="ffffff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pStyle w:val="Subtitle"/>
      <w:pBdr>
        <w:top w:color="ffffff" w:space="0" w:sz="0" w:val="none"/>
        <w:left w:color="ffffff" w:space="0" w:sz="0" w:val="none"/>
        <w:bottom w:color="ffffff" w:space="0" w:sz="0" w:val="none"/>
        <w:right w:color="ffffff" w:space="0" w:sz="0" w:val="none"/>
      </w:pBdr>
      <w:spacing w:line="240" w:lineRule="auto"/>
      <w:ind w:left="1559" w:firstLine="0"/>
      <w:rPr>
        <w:color w:val="ffffff"/>
        <w:shd w:fill="154191" w:val="clear"/>
      </w:rPr>
    </w:pPr>
    <w:bookmarkStart w:colFirst="0" w:colLast="0" w:name="_heading=h.qpvbj5laa7qr" w:id="0"/>
    <w:bookmarkEnd w:id="0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jc w:val="right"/>
      <w:rPr/>
    </w:pPr>
    <w:r w:rsidDel="00000000" w:rsidR="00000000" w:rsidRPr="00000000">
      <w:rPr/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6291265</wp:posOffset>
              </wp:positionH>
              <wp:positionV relativeFrom="page">
                <wp:posOffset>9537476</wp:posOffset>
              </wp:positionV>
              <wp:extent cx="1293225" cy="1200546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flipH="1" rot="-171">
                        <a:off x="2329200" y="1000050"/>
                        <a:ext cx="6033600" cy="5559900"/>
                      </a:xfrm>
                      <a:prstGeom prst="rtTriangle">
                        <a:avLst/>
                      </a:prstGeom>
                      <a:solidFill>
                        <a:srgbClr val="154194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6291265</wp:posOffset>
              </wp:positionH>
              <wp:positionV relativeFrom="page">
                <wp:posOffset>9537476</wp:posOffset>
              </wp:positionV>
              <wp:extent cx="1293225" cy="1200546"/>
              <wp:effectExtent b="0" l="0" r="0" t="0"/>
              <wp:wrapNone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93225" cy="120054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color w:val="0000ff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aleway" w:cs="Raleway" w:eastAsia="Raleway" w:hAnsi="Raleway"/>
        <w:sz w:val="18"/>
        <w:szCs w:val="18"/>
        <w:lang w:val="pl"/>
      </w:rPr>
    </w:rPrDefault>
    <w:pPrDefault>
      <w:pPr>
        <w:ind w:right="-4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>
        <w:top w:color="ffffff" w:space="2" w:sz="8" w:val="single"/>
        <w:left w:color="ffffff" w:space="2" w:sz="8" w:val="single"/>
        <w:bottom w:color="ffffff" w:space="2" w:sz="8" w:val="single"/>
        <w:right w:color="ffffff" w:space="2" w:sz="8" w:val="single"/>
      </w:pBdr>
      <w:ind w:left="1559"/>
    </w:pPr>
    <w:rPr>
      <w:b w:val="1"/>
      <w:color w:val="154194"/>
      <w:sz w:val="52"/>
      <w:szCs w:val="52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agwek">
    <w:name w:val="header"/>
    <w:basedOn w:val="Normalny"/>
    <w:link w:val="NagwekZnak"/>
    <w:uiPriority w:val="99"/>
    <w:unhideWhenUsed w:val="1"/>
    <w:rsid w:val="00122ACD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122ACD"/>
  </w:style>
  <w:style w:type="paragraph" w:styleId="Stopka">
    <w:name w:val="footer"/>
    <w:basedOn w:val="Normalny"/>
    <w:link w:val="StopkaZnak"/>
    <w:uiPriority w:val="99"/>
    <w:unhideWhenUsed w:val="1"/>
    <w:rsid w:val="00122ACD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122ACD"/>
  </w:style>
  <w:style w:type="paragraph" w:styleId="Subtitle">
    <w:name w:val="Subtitle"/>
    <w:basedOn w:val="Normal"/>
    <w:next w:val="Normal"/>
    <w:pPr>
      <w:keepNext w:val="1"/>
      <w:keepLines w:val="1"/>
      <w:spacing w:line="360" w:lineRule="auto"/>
    </w:pPr>
    <w:rPr>
      <w:b w:val="1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567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annual-report25.fmlogistic.com/fml-public-en" TargetMode="Externa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Relationship Id="rId5" Type="http://schemas.openxmlformats.org/officeDocument/2006/relationships/font" Target="fonts/RalewayExtraBold-bold.ttf"/><Relationship Id="rId6" Type="http://schemas.openxmlformats.org/officeDocument/2006/relationships/font" Target="fonts/RalewayExtraBold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unAeFh4KVFW66xijgGj1conbrQ==">CgMxLjAyDmgucXB2Ymo1bGFhN3FyOABqIwoUc3VnZ2VzdC5xYXgxMDlhZHRxa20SC01hcnRhIFpvbmlraiMKFHN1Z2dlc3QuMW9rZ3hxNnQ2NWE3EgtNYXJ0YSBab25pa2oiChNzdWdnZXN0LjV6MnJ1dWZ2eWFkEgtNYXJ0YSBab25pa2ojChRzdWdnZXN0LnB4dTBid3RsaHgxORILTWFydGEgWm9uaWtqIwoUc3VnZ2VzdC54dTNuaTJ2enRobm8SC01hcnRhIFpvbmlraiMKFHN1Z2dlc3QueG53MXEzMm9nZ3dyEgtNYXJ0YSBab25pa2ojChRzdWdnZXN0LnBzZmloMnh1d244axILTWFydGEgWm9uaWtqIgoTc3VnZ2VzdC43d3p1bzNodmk3MxILTWFydGEgWm9uaWtqIwoUc3VnZ2VzdC5wbTB0MjJicm9weTgSC01hcnRhIFpvbmlraiMKFHN1Z2dlc3QucW84MGd0NHEzZXlwEgtNYXJ0YSBab25pa2ojChRzdWdnZXN0LnFlam5udnM0aXlwehILTWFydGEgWm9uaWtqIwoUc3VnZ2VzdC52Y2RtaGs0NDhzMzcSC01hcnRhIFpvbmlraiMKFHN1Z2dlc3QudDI2YmlmdHdydDQ5EgtNYXJ0YSBab25pa3IhMTBQd1kwRzRyVjhWNktOc2RoMFZTWnljRWpUY2xjaDN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2025-07-22T07:33:00Z</dcterms:created>
</cp:coreProperties>
</file>