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754A" w14:textId="77777777" w:rsidR="00383B9F" w:rsidRDefault="00383B9F"/>
    <w:p w14:paraId="5B045730" w14:textId="77777777" w:rsidR="00817747" w:rsidRDefault="00817747"/>
    <w:p w14:paraId="1C9B9BAB" w14:textId="089BB197" w:rsidR="00817747" w:rsidRDefault="00817747">
      <w:r>
        <w:t>INFORMACJA PRASOWA</w:t>
      </w:r>
    </w:p>
    <w:p w14:paraId="4792F50F" w14:textId="3BC0D07E" w:rsidR="00817747" w:rsidRDefault="00817747" w:rsidP="0037346E">
      <w:pPr>
        <w:jc w:val="right"/>
      </w:pPr>
      <w:r>
        <w:t>Warszawa, 20 sierpnia 2025 r.</w:t>
      </w:r>
    </w:p>
    <w:p w14:paraId="56F2BC9E" w14:textId="53858B23" w:rsidR="00840121" w:rsidRPr="00AF4ED8" w:rsidRDefault="00510EBA" w:rsidP="00AF4ED8">
      <w:pPr>
        <w:jc w:val="center"/>
        <w:rPr>
          <w:b/>
          <w:bCs/>
          <w:sz w:val="4"/>
          <w:szCs w:val="4"/>
        </w:rPr>
      </w:pPr>
      <w:r w:rsidRPr="00510EBA">
        <w:rPr>
          <w:b/>
          <w:bCs/>
          <w:sz w:val="32"/>
          <w:szCs w:val="32"/>
        </w:rPr>
        <w:t xml:space="preserve">BLIK </w:t>
      </w:r>
      <w:r w:rsidR="00C2039C">
        <w:rPr>
          <w:b/>
          <w:bCs/>
          <w:sz w:val="32"/>
          <w:szCs w:val="32"/>
        </w:rPr>
        <w:t xml:space="preserve">coraz mocniejszy </w:t>
      </w:r>
      <w:r w:rsidRPr="00510EBA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B245FE" w:rsidRPr="00B245FE">
        <w:rPr>
          <w:b/>
          <w:bCs/>
          <w:sz w:val="32"/>
          <w:szCs w:val="32"/>
        </w:rPr>
        <w:t xml:space="preserve">wartość transakcji w </w:t>
      </w:r>
      <w:r w:rsidR="00B245FE">
        <w:rPr>
          <w:b/>
          <w:bCs/>
          <w:sz w:val="32"/>
          <w:szCs w:val="32"/>
        </w:rPr>
        <w:t>pierwszym półroczu 2025 r.</w:t>
      </w:r>
      <w:r w:rsidR="00B245FE" w:rsidRPr="00B245FE">
        <w:rPr>
          <w:b/>
          <w:bCs/>
          <w:sz w:val="32"/>
          <w:szCs w:val="32"/>
        </w:rPr>
        <w:t xml:space="preserve"> przekroczyła </w:t>
      </w:r>
      <w:r w:rsidR="00C2039C">
        <w:rPr>
          <w:b/>
          <w:bCs/>
          <w:sz w:val="32"/>
          <w:szCs w:val="32"/>
        </w:rPr>
        <w:t xml:space="preserve">już </w:t>
      </w:r>
      <w:r w:rsidR="00B245FE">
        <w:rPr>
          <w:b/>
          <w:bCs/>
          <w:sz w:val="32"/>
          <w:szCs w:val="32"/>
        </w:rPr>
        <w:t xml:space="preserve">200 </w:t>
      </w:r>
      <w:r w:rsidR="00B245FE" w:rsidRPr="00B245FE">
        <w:rPr>
          <w:b/>
          <w:bCs/>
          <w:sz w:val="32"/>
          <w:szCs w:val="32"/>
        </w:rPr>
        <w:t>mld zł</w:t>
      </w:r>
      <w:r w:rsidR="00B245FE">
        <w:rPr>
          <w:b/>
          <w:bCs/>
          <w:sz w:val="32"/>
          <w:szCs w:val="32"/>
        </w:rPr>
        <w:t xml:space="preserve"> </w:t>
      </w:r>
    </w:p>
    <w:p w14:paraId="23DA3966" w14:textId="213480B7" w:rsidR="00840121" w:rsidRDefault="00B245FE" w:rsidP="00BF504E">
      <w:pPr>
        <w:jc w:val="both"/>
        <w:rPr>
          <w:b/>
          <w:bCs/>
        </w:rPr>
      </w:pPr>
      <w:r>
        <w:rPr>
          <w:b/>
          <w:bCs/>
        </w:rPr>
        <w:t xml:space="preserve">Od stycznia do czerwca </w:t>
      </w:r>
      <w:r w:rsidR="00922A1E" w:rsidRPr="00922A1E">
        <w:rPr>
          <w:b/>
          <w:bCs/>
        </w:rPr>
        <w:t xml:space="preserve">2025 </w:t>
      </w:r>
      <w:r w:rsidR="00AF4ED8">
        <w:rPr>
          <w:b/>
          <w:bCs/>
        </w:rPr>
        <w:t>r.</w:t>
      </w:r>
      <w:r w:rsidR="00922A1E" w:rsidRPr="00922A1E">
        <w:rPr>
          <w:b/>
          <w:bCs/>
        </w:rPr>
        <w:t xml:space="preserve"> użytkownicy BLIKA zrealizowali łącznie </w:t>
      </w:r>
      <w:r w:rsidR="00922A1E">
        <w:rPr>
          <w:b/>
          <w:bCs/>
        </w:rPr>
        <w:t>blisko 1,4</w:t>
      </w:r>
      <w:r w:rsidR="00922A1E" w:rsidRPr="00922A1E">
        <w:rPr>
          <w:b/>
          <w:bCs/>
        </w:rPr>
        <w:t xml:space="preserve"> mld </w:t>
      </w:r>
      <w:r w:rsidR="00922A1E" w:rsidRPr="00A96E94">
        <w:rPr>
          <w:b/>
          <w:bCs/>
        </w:rPr>
        <w:t>transakcji. To wynik o 24 proc.</w:t>
      </w:r>
      <w:r w:rsidR="0050475E" w:rsidRPr="00A96E94">
        <w:rPr>
          <w:b/>
          <w:bCs/>
        </w:rPr>
        <w:t xml:space="preserve"> </w:t>
      </w:r>
      <w:r w:rsidR="00922A1E" w:rsidRPr="00A96E94">
        <w:rPr>
          <w:b/>
          <w:bCs/>
        </w:rPr>
        <w:t xml:space="preserve">wyższy niż w analogicznym okresie rok wcześniej. Rekordowy był sam drugi kwartał – po raz pierwszy w historii systemu liczba operacji przekroczyła 700 mln. </w:t>
      </w:r>
      <w:r w:rsidR="009D4B88" w:rsidRPr="00A96E94">
        <w:rPr>
          <w:b/>
          <w:bCs/>
        </w:rPr>
        <w:t>Obecnie</w:t>
      </w:r>
      <w:r w:rsidR="00EF4EA6" w:rsidRPr="00A96E94">
        <w:rPr>
          <w:b/>
          <w:bCs/>
        </w:rPr>
        <w:t xml:space="preserve"> najbardziej dynamicznie</w:t>
      </w:r>
      <w:r w:rsidR="009D4B88" w:rsidRPr="00A96E94">
        <w:rPr>
          <w:b/>
          <w:bCs/>
        </w:rPr>
        <w:t xml:space="preserve"> </w:t>
      </w:r>
      <w:r w:rsidR="0003572B" w:rsidRPr="00A96E94">
        <w:rPr>
          <w:b/>
          <w:bCs/>
        </w:rPr>
        <w:t>rosną płatności BLIKIEM w sklepach stacjonarnych</w:t>
      </w:r>
      <w:r w:rsidR="00EF4EA6" w:rsidRPr="00A96E94">
        <w:rPr>
          <w:b/>
          <w:bCs/>
        </w:rPr>
        <w:t xml:space="preserve">, w których płatności zbliżeniowe </w:t>
      </w:r>
      <w:r w:rsidR="0003572B" w:rsidRPr="00A96E94">
        <w:rPr>
          <w:b/>
          <w:bCs/>
        </w:rPr>
        <w:t xml:space="preserve">stanowią już niemal połowę wszystkich </w:t>
      </w:r>
      <w:r w:rsidR="005B2B54">
        <w:rPr>
          <w:b/>
          <w:bCs/>
        </w:rPr>
        <w:t>transakcji</w:t>
      </w:r>
      <w:r w:rsidR="00EF4EA6" w:rsidRPr="00A96E94">
        <w:rPr>
          <w:b/>
          <w:bCs/>
        </w:rPr>
        <w:t xml:space="preserve"> wykonanych</w:t>
      </w:r>
      <w:r w:rsidR="0003572B" w:rsidRPr="00A96E94">
        <w:rPr>
          <w:b/>
          <w:bCs/>
        </w:rPr>
        <w:t xml:space="preserve"> </w:t>
      </w:r>
      <w:r w:rsidR="00EF4EA6" w:rsidRPr="00A96E94">
        <w:rPr>
          <w:b/>
          <w:bCs/>
        </w:rPr>
        <w:t xml:space="preserve">BLIKIEM </w:t>
      </w:r>
      <w:r w:rsidR="0003572B" w:rsidRPr="00A96E94">
        <w:rPr>
          <w:b/>
          <w:bCs/>
        </w:rPr>
        <w:t>w tym kanale</w:t>
      </w:r>
      <w:r w:rsidR="00922A1E" w:rsidRPr="00A96E94">
        <w:rPr>
          <w:b/>
          <w:bCs/>
        </w:rPr>
        <w:t>. Dwucyfrowe wzrosty utrzymują się także w e-commerce oraz w przelewach na telefon</w:t>
      </w:r>
      <w:r w:rsidR="00A96E94" w:rsidRPr="00A96E94">
        <w:rPr>
          <w:b/>
          <w:bCs/>
        </w:rPr>
        <w:t xml:space="preserve"> BLIK</w:t>
      </w:r>
      <w:r w:rsidR="00922A1E" w:rsidRPr="00A96E94">
        <w:rPr>
          <w:b/>
          <w:bCs/>
        </w:rPr>
        <w:t xml:space="preserve">. </w:t>
      </w:r>
      <w:r w:rsidR="00AB5CF1" w:rsidRPr="00A96E94">
        <w:rPr>
          <w:b/>
          <w:bCs/>
        </w:rPr>
        <w:t>Na koniec</w:t>
      </w:r>
      <w:r w:rsidR="00AB5CF1">
        <w:rPr>
          <w:b/>
          <w:bCs/>
        </w:rPr>
        <w:t xml:space="preserve"> czerwca br.</w:t>
      </w:r>
      <w:r w:rsidR="00BF504E" w:rsidRPr="00BF504E">
        <w:rPr>
          <w:b/>
          <w:bCs/>
        </w:rPr>
        <w:t xml:space="preserve"> z BLIKA regularnie </w:t>
      </w:r>
      <w:r w:rsidR="00AB5CF1">
        <w:rPr>
          <w:b/>
          <w:bCs/>
        </w:rPr>
        <w:t xml:space="preserve">korzystało </w:t>
      </w:r>
      <w:r w:rsidR="00114777">
        <w:rPr>
          <w:b/>
          <w:bCs/>
        </w:rPr>
        <w:t>19,4</w:t>
      </w:r>
      <w:r w:rsidR="00BF504E" w:rsidRPr="00BF504E">
        <w:rPr>
          <w:b/>
          <w:bCs/>
        </w:rPr>
        <w:t xml:space="preserve"> mln </w:t>
      </w:r>
      <w:r w:rsidR="00AB5CF1">
        <w:rPr>
          <w:b/>
          <w:bCs/>
        </w:rPr>
        <w:t>użytkowników</w:t>
      </w:r>
      <w:r w:rsidR="00BF504E" w:rsidRPr="00BF504E">
        <w:rPr>
          <w:b/>
          <w:bCs/>
        </w:rPr>
        <w:t>.</w:t>
      </w:r>
    </w:p>
    <w:p w14:paraId="63ADD081" w14:textId="28C005BA" w:rsidR="006B1AF0" w:rsidRPr="0011640E" w:rsidRDefault="0011640E" w:rsidP="00907042">
      <w:pPr>
        <w:rPr>
          <w:b/>
          <w:bCs/>
        </w:rPr>
      </w:pPr>
      <w:r w:rsidRPr="0011640E">
        <w:rPr>
          <w:b/>
          <w:bCs/>
        </w:rPr>
        <w:t>BLIK utrzymuje wysokie tempo wzrostu</w:t>
      </w:r>
    </w:p>
    <w:p w14:paraId="6E60F441" w14:textId="63583DDD" w:rsidR="00907042" w:rsidRPr="00907042" w:rsidRDefault="00907042" w:rsidP="00244212">
      <w:pPr>
        <w:jc w:val="both"/>
      </w:pPr>
      <w:r w:rsidRPr="00907042">
        <w:t>W pierwszym półroczu</w:t>
      </w:r>
      <w:r w:rsidR="00C31648">
        <w:t xml:space="preserve"> br.</w:t>
      </w:r>
      <w:r w:rsidRPr="00907042">
        <w:t xml:space="preserve"> użytkownicy BLIKA wykonywali średnio 7,7 </w:t>
      </w:r>
      <w:r>
        <w:t>mln</w:t>
      </w:r>
      <w:r w:rsidRPr="00907042">
        <w:t xml:space="preserve"> transakcji dziennie – to ponad 5,3 </w:t>
      </w:r>
      <w:r w:rsidR="00A850E8">
        <w:t>tys.</w:t>
      </w:r>
      <w:r w:rsidRPr="00907042">
        <w:t xml:space="preserve"> płatności w każdej minucie. Przeciętna </w:t>
      </w:r>
      <w:r w:rsidR="00A850E8">
        <w:t>kwota</w:t>
      </w:r>
      <w:r w:rsidRPr="00907042">
        <w:t xml:space="preserve"> operacji </w:t>
      </w:r>
      <w:r w:rsidR="005614CA">
        <w:t xml:space="preserve">w analizowanym okresie </w:t>
      </w:r>
      <w:r w:rsidRPr="00907042">
        <w:t xml:space="preserve">wyniosła 149 zł, a łączna wartość </w:t>
      </w:r>
      <w:r w:rsidR="00F833D1">
        <w:t>207,3</w:t>
      </w:r>
      <w:r w:rsidR="00F833D1" w:rsidRPr="00907042">
        <w:t xml:space="preserve"> </w:t>
      </w:r>
      <w:r w:rsidR="00626862">
        <w:t xml:space="preserve">mld </w:t>
      </w:r>
      <w:r w:rsidRPr="00907042">
        <w:t>zł. Największy wolumen tradycyjnie generuje e-commerce, gdzie BLIK jest jedną z najczęściej wybieranych metod płatności.</w:t>
      </w:r>
    </w:p>
    <w:p w14:paraId="36D77895" w14:textId="1CB9E59A" w:rsidR="002B1402" w:rsidRDefault="001B3AA1" w:rsidP="00BF504E">
      <w:pPr>
        <w:jc w:val="both"/>
      </w:pPr>
      <w:r>
        <w:t>–</w:t>
      </w:r>
      <w:r w:rsidR="002B1402">
        <w:t xml:space="preserve"> </w:t>
      </w:r>
      <w:r w:rsidR="002B1402" w:rsidRPr="006B1AF0">
        <w:rPr>
          <w:i/>
          <w:iCs/>
        </w:rPr>
        <w:t xml:space="preserve">Od stycznia do czerwca br. użytkownicy BLIKA zrealizowali blisko </w:t>
      </w:r>
      <w:r w:rsidR="00314DEE" w:rsidRPr="006B1AF0">
        <w:rPr>
          <w:i/>
          <w:iCs/>
        </w:rPr>
        <w:t xml:space="preserve">662 mln transakcji </w:t>
      </w:r>
      <w:r w:rsidR="00443049">
        <w:rPr>
          <w:i/>
          <w:iCs/>
        </w:rPr>
        <w:t>online</w:t>
      </w:r>
      <w:r w:rsidR="002B1402" w:rsidRPr="006B1AF0">
        <w:rPr>
          <w:i/>
          <w:iCs/>
        </w:rPr>
        <w:t xml:space="preserve">, co </w:t>
      </w:r>
      <w:r w:rsidR="002B1402" w:rsidRPr="00C40658">
        <w:rPr>
          <w:i/>
          <w:iCs/>
        </w:rPr>
        <w:t xml:space="preserve">oznacza wzrost o ponad jedną piątą w porównaniu z analogicznym okresem ubiegłego roku. Wartość tych płatności </w:t>
      </w:r>
      <w:r w:rsidR="00BE67D5" w:rsidRPr="00C40658">
        <w:rPr>
          <w:i/>
          <w:iCs/>
        </w:rPr>
        <w:t>wyniosła 102,4 mld zł</w:t>
      </w:r>
      <w:r w:rsidR="002B1402" w:rsidRPr="00C40658">
        <w:rPr>
          <w:i/>
          <w:iCs/>
        </w:rPr>
        <w:t xml:space="preserve">. To efekt nie tylko rosnącej popularności BLIKA wśród kupujących </w:t>
      </w:r>
      <w:r w:rsidR="0057730A" w:rsidRPr="00C40658">
        <w:rPr>
          <w:i/>
          <w:iCs/>
        </w:rPr>
        <w:t>w sieci</w:t>
      </w:r>
      <w:r w:rsidR="002B1402" w:rsidRPr="00C40658">
        <w:rPr>
          <w:i/>
          <w:iCs/>
        </w:rPr>
        <w:t>, ale też konsekwentnego rozwijania</w:t>
      </w:r>
      <w:r w:rsidR="002B1402" w:rsidRPr="006B1AF0">
        <w:rPr>
          <w:i/>
          <w:iCs/>
        </w:rPr>
        <w:t xml:space="preserve"> usług wpisujących się w cały ekosystem płatności</w:t>
      </w:r>
      <w:r w:rsidR="008F0939">
        <w:rPr>
          <w:i/>
          <w:iCs/>
        </w:rPr>
        <w:t xml:space="preserve">, </w:t>
      </w:r>
      <w:r w:rsidR="002B1402" w:rsidRPr="006B1AF0">
        <w:rPr>
          <w:i/>
          <w:iCs/>
        </w:rPr>
        <w:t xml:space="preserve">takich jak </w:t>
      </w:r>
      <w:r w:rsidR="002B1402" w:rsidRPr="00A96E94">
        <w:rPr>
          <w:i/>
          <w:iCs/>
        </w:rPr>
        <w:t>płatności odroczone czy powtarzalne. Ich potencjał w zwiększaniu wygody i wartości koszyków widzimy już dziś</w:t>
      </w:r>
      <w:r w:rsidR="00EF4EA6" w:rsidRPr="00A96E94">
        <w:rPr>
          <w:i/>
          <w:iCs/>
        </w:rPr>
        <w:t>,</w:t>
      </w:r>
      <w:r w:rsidR="00C40658" w:rsidRPr="00A96E94">
        <w:rPr>
          <w:i/>
          <w:iCs/>
        </w:rPr>
        <w:t xml:space="preserve"> i spodziewamy się, że</w:t>
      </w:r>
      <w:r w:rsidR="002B1402" w:rsidRPr="00A96E94">
        <w:rPr>
          <w:i/>
          <w:iCs/>
        </w:rPr>
        <w:t xml:space="preserve"> kolejne kwartały pokażą pełną skalę ich wpływu</w:t>
      </w:r>
      <w:r w:rsidR="002B1402" w:rsidRPr="00A96E94">
        <w:t xml:space="preserve"> – podkreśla </w:t>
      </w:r>
      <w:r w:rsidR="001D4F64">
        <w:rPr>
          <w:b/>
          <w:bCs/>
        </w:rPr>
        <w:t>Monika Król</w:t>
      </w:r>
      <w:r w:rsidR="002B1402" w:rsidRPr="00A96E94">
        <w:t xml:space="preserve">, </w:t>
      </w:r>
      <w:r w:rsidR="001D4F64">
        <w:t xml:space="preserve">wiceprezeska zarządu </w:t>
      </w:r>
      <w:r w:rsidR="004A7952" w:rsidRPr="00A96E94">
        <w:t>w Polskim Standardzie Płatności, operatorze BLIKA.</w:t>
      </w:r>
      <w:r w:rsidR="004A7952">
        <w:t xml:space="preserve"> </w:t>
      </w:r>
    </w:p>
    <w:p w14:paraId="7366E9C5" w14:textId="54203EF8" w:rsidR="001B3AA1" w:rsidRDefault="00D97115" w:rsidP="00BF504E">
      <w:pPr>
        <w:jc w:val="both"/>
        <w:rPr>
          <w:b/>
          <w:bCs/>
        </w:rPr>
      </w:pPr>
      <w:r w:rsidRPr="00D97115">
        <w:rPr>
          <w:b/>
          <w:bCs/>
        </w:rPr>
        <w:t>Więcej transakcji offline</w:t>
      </w:r>
    </w:p>
    <w:p w14:paraId="1F2A885D" w14:textId="44054690" w:rsidR="000F7AFD" w:rsidRPr="000F7AFD" w:rsidRDefault="000F7AFD" w:rsidP="000F7AFD">
      <w:pPr>
        <w:jc w:val="both"/>
      </w:pPr>
      <w:r w:rsidRPr="000F7AFD">
        <w:t xml:space="preserve">BLIK rośnie także w punktach sprzedaży stacjonarnej. </w:t>
      </w:r>
      <w:r w:rsidR="00481716">
        <w:t>W pierwszym półroczu br.</w:t>
      </w:r>
      <w:r w:rsidRPr="000F7AFD">
        <w:t xml:space="preserve"> użytkownicy zrealizowali w terminalach płatniczych (POS) </w:t>
      </w:r>
      <w:r w:rsidR="00481716" w:rsidRPr="00481716">
        <w:t xml:space="preserve">338,1 </w:t>
      </w:r>
      <w:r w:rsidRPr="000F7AFD">
        <w:t xml:space="preserve">mln transakcji, co oznacza </w:t>
      </w:r>
      <w:r w:rsidRPr="00C2039C">
        <w:t xml:space="preserve">wzrost </w:t>
      </w:r>
      <w:r w:rsidR="00C40658" w:rsidRPr="00C2039C">
        <w:t>liczby płatności BLIKIEM w sklepach stacjonarnych</w:t>
      </w:r>
      <w:r w:rsidR="00C40658">
        <w:t xml:space="preserve"> </w:t>
      </w:r>
      <w:r w:rsidRPr="000F7AFD">
        <w:t xml:space="preserve">o 31 proc. r/r. </w:t>
      </w:r>
      <w:r w:rsidR="00A45104" w:rsidRPr="00A45104">
        <w:t xml:space="preserve">W samym drugim kwartale wykonano </w:t>
      </w:r>
      <w:r w:rsidR="00446E2C" w:rsidRPr="00446E2C">
        <w:t xml:space="preserve">183,6 </w:t>
      </w:r>
      <w:r w:rsidR="00A45104" w:rsidRPr="00A45104">
        <w:t xml:space="preserve">mln </w:t>
      </w:r>
      <w:r w:rsidR="001135F2">
        <w:t xml:space="preserve">takich </w:t>
      </w:r>
      <w:r w:rsidR="00A45104" w:rsidRPr="00A45104">
        <w:t xml:space="preserve">operacji. Niemal połowę półrocznego wolumenu (47 proc.) stanowiły płatności zbliżeniowe, których liczba zwiększyła się o 46 proc. r/r. </w:t>
      </w:r>
      <w:r w:rsidRPr="000F7AFD">
        <w:t xml:space="preserve">Wartość transakcji </w:t>
      </w:r>
      <w:proofErr w:type="spellStart"/>
      <w:r w:rsidRPr="00CA22F6">
        <w:rPr>
          <w:i/>
          <w:iCs/>
        </w:rPr>
        <w:t>contactless</w:t>
      </w:r>
      <w:proofErr w:type="spellEnd"/>
      <w:r w:rsidRPr="000F7AFD">
        <w:t xml:space="preserve"> w tym czasie wyniosła </w:t>
      </w:r>
      <w:r w:rsidR="006866EE">
        <w:t>7,3</w:t>
      </w:r>
      <w:r w:rsidRPr="000F7AFD">
        <w:t xml:space="preserve"> mld zł, przy średniej kwocie równej </w:t>
      </w:r>
      <w:r w:rsidR="006866EE">
        <w:t>46</w:t>
      </w:r>
      <w:r w:rsidRPr="000F7AFD">
        <w:t xml:space="preserve"> zł. Najwięcej płatności zbliżeniowych zrealizowano w woj. mazowieckim, dolnośląskim, małopolskim, wielkopolskim i łódzkim. Usługa zyskuje też popularność wśród podróżujących – </w:t>
      </w:r>
      <w:r w:rsidR="00F468E3">
        <w:t xml:space="preserve">od </w:t>
      </w:r>
      <w:r w:rsidR="005405B0">
        <w:t>momentu jej udostępnienia</w:t>
      </w:r>
      <w:r w:rsidRPr="000F7AFD">
        <w:t xml:space="preserve"> </w:t>
      </w:r>
      <w:r w:rsidR="005405B0">
        <w:t xml:space="preserve">skorzystano </w:t>
      </w:r>
      <w:r w:rsidRPr="000F7AFD">
        <w:t xml:space="preserve">z </w:t>
      </w:r>
      <w:r w:rsidR="00B12568">
        <w:t>niej</w:t>
      </w:r>
      <w:r w:rsidRPr="000F7AFD">
        <w:t xml:space="preserve"> </w:t>
      </w:r>
      <w:r w:rsidRPr="005B2B54">
        <w:t xml:space="preserve">w </w:t>
      </w:r>
      <w:r w:rsidR="005405B0" w:rsidRPr="005B2B54">
        <w:t xml:space="preserve">164 </w:t>
      </w:r>
      <w:r w:rsidRPr="005B2B54">
        <w:t>krajach</w:t>
      </w:r>
      <w:r w:rsidR="00C40658" w:rsidRPr="005B2B54">
        <w:t xml:space="preserve">, m.in. </w:t>
      </w:r>
      <w:r w:rsidR="005B2B54" w:rsidRPr="005B2B54">
        <w:t>w</w:t>
      </w:r>
      <w:r w:rsidR="005B2B54">
        <w:t xml:space="preserve"> Wybrzeżu Kości Słoniowej czy na Wyspach Cooka. </w:t>
      </w:r>
    </w:p>
    <w:p w14:paraId="3CDABE3B" w14:textId="77777777" w:rsidR="00F568AA" w:rsidRDefault="00F568AA" w:rsidP="008A2FBD">
      <w:pPr>
        <w:jc w:val="both"/>
        <w:rPr>
          <w:b/>
          <w:bCs/>
        </w:rPr>
      </w:pPr>
      <w:r w:rsidRPr="00F568AA">
        <w:rPr>
          <w:b/>
          <w:bCs/>
        </w:rPr>
        <w:t>BLIK ułatwia codzienne rozliczenia</w:t>
      </w:r>
    </w:p>
    <w:p w14:paraId="5EE7C036" w14:textId="52CF94D4" w:rsidR="008A2FBD" w:rsidRDefault="00A14187" w:rsidP="006252E1">
      <w:pPr>
        <w:jc w:val="both"/>
      </w:pPr>
      <w:r w:rsidRPr="00A14187">
        <w:lastRenderedPageBreak/>
        <w:t xml:space="preserve">Obok zakupów w </w:t>
      </w:r>
      <w:r>
        <w:t>kanale online i offline</w:t>
      </w:r>
      <w:r w:rsidRPr="00A14187">
        <w:t xml:space="preserve">, BLIK jest </w:t>
      </w:r>
      <w:r w:rsidR="00D935F2">
        <w:t>również</w:t>
      </w:r>
      <w:r w:rsidRPr="00A14187">
        <w:t xml:space="preserve"> jednym z najchętniej wybieranych sposobów na szybkie rozliczenia między znajomymi czy rodziną, co potwierdza rosnąca liczba przelewów na numer telefonu</w:t>
      </w:r>
      <w:r w:rsidR="005B2B54">
        <w:t xml:space="preserve"> BLIK</w:t>
      </w:r>
      <w:r w:rsidRPr="00A14187">
        <w:t>.</w:t>
      </w:r>
      <w:r>
        <w:t xml:space="preserve"> </w:t>
      </w:r>
      <w:r w:rsidR="000B25EB">
        <w:t>Od kwietnia do czerwca br.</w:t>
      </w:r>
      <w:r w:rsidR="006252E1" w:rsidRPr="006252E1">
        <w:t xml:space="preserve"> użytkownicy zrealizowali </w:t>
      </w:r>
      <w:r w:rsidR="000B25EB" w:rsidRPr="000B25EB">
        <w:t>187,6</w:t>
      </w:r>
      <w:r w:rsidR="000B25EB">
        <w:t xml:space="preserve"> </w:t>
      </w:r>
      <w:r w:rsidR="006252E1" w:rsidRPr="006252E1">
        <w:t>mln przelewów na numer telefonu</w:t>
      </w:r>
      <w:r w:rsidR="006252E1">
        <w:t>, natomiast w całym pierwszym półroczu</w:t>
      </w:r>
      <w:r w:rsidR="008A2FBD" w:rsidRPr="008A2FBD">
        <w:t xml:space="preserve"> </w:t>
      </w:r>
      <w:r w:rsidR="000B25EB">
        <w:t>było</w:t>
      </w:r>
      <w:r w:rsidR="005B11B4">
        <w:t xml:space="preserve"> ich</w:t>
      </w:r>
      <w:r w:rsidR="000B25EB">
        <w:t xml:space="preserve"> aż</w:t>
      </w:r>
      <w:r w:rsidR="008A2FBD" w:rsidRPr="008A2FBD">
        <w:t xml:space="preserve"> </w:t>
      </w:r>
      <w:r w:rsidR="00A921E7" w:rsidRPr="00A921E7">
        <w:t>354,6 mln</w:t>
      </w:r>
      <w:r w:rsidR="008A2FBD" w:rsidRPr="008A2FBD">
        <w:t xml:space="preserve">, </w:t>
      </w:r>
      <w:r w:rsidR="00500EBD">
        <w:t xml:space="preserve">czyli </w:t>
      </w:r>
      <w:r w:rsidR="008A2FBD" w:rsidRPr="008A2FBD">
        <w:t xml:space="preserve">o </w:t>
      </w:r>
      <w:r w:rsidR="00D51765">
        <w:t xml:space="preserve">25 </w:t>
      </w:r>
      <w:r w:rsidR="008A2FBD" w:rsidRPr="008A2FBD">
        <w:t xml:space="preserve">proc. więcej niż rok wcześniej. Średnio każdego dnia wykonywano </w:t>
      </w:r>
      <w:r w:rsidR="009E190C">
        <w:t>2</w:t>
      </w:r>
      <w:r w:rsidR="008A2FBD" w:rsidRPr="008A2FBD">
        <w:t xml:space="preserve"> mln </w:t>
      </w:r>
      <w:r w:rsidR="00D11A4B">
        <w:t>rozliczeń</w:t>
      </w:r>
      <w:r w:rsidR="008A2FBD" w:rsidRPr="008A2FBD">
        <w:t xml:space="preserve"> P2P, a </w:t>
      </w:r>
      <w:r w:rsidR="00ED11BE">
        <w:t xml:space="preserve">ich </w:t>
      </w:r>
      <w:r w:rsidR="008A2FBD" w:rsidRPr="008A2FBD">
        <w:t>przeciętna wartość wyniosła 164</w:t>
      </w:r>
      <w:r w:rsidR="009E190C">
        <w:t xml:space="preserve"> </w:t>
      </w:r>
      <w:r w:rsidR="008A2FBD" w:rsidRPr="008A2FBD">
        <w:t xml:space="preserve">zł. </w:t>
      </w:r>
    </w:p>
    <w:p w14:paraId="0A4BF57A" w14:textId="0EADADA4" w:rsidR="006525B1" w:rsidRDefault="001F7E58" w:rsidP="00060F4E">
      <w:pPr>
        <w:jc w:val="both"/>
      </w:pPr>
      <w:r>
        <w:t>–</w:t>
      </w:r>
      <w:r w:rsidR="00060F4E" w:rsidRPr="00060F4E">
        <w:t xml:space="preserve"> </w:t>
      </w:r>
      <w:r w:rsidR="00060F4E">
        <w:t xml:space="preserve"> </w:t>
      </w:r>
      <w:r w:rsidR="00060F4E" w:rsidRPr="00060F4E">
        <w:rPr>
          <w:i/>
          <w:iCs/>
        </w:rPr>
        <w:t xml:space="preserve">Przelewy na telefon w Polsce stały się standardem – prostym, szybkim i dostępnym dla milionów użytkowników. Naszą ambicją jest, aby ta wygoda nie kończyła się na granicach kraju. Pracujemy nad </w:t>
      </w:r>
      <w:r w:rsidR="003F571B">
        <w:rPr>
          <w:i/>
          <w:iCs/>
        </w:rPr>
        <w:t>rozwiązaniem</w:t>
      </w:r>
      <w:r w:rsidR="00060F4E" w:rsidRPr="00060F4E">
        <w:rPr>
          <w:i/>
          <w:iCs/>
        </w:rPr>
        <w:t xml:space="preserve">, które </w:t>
      </w:r>
      <w:r w:rsidR="00743A9C">
        <w:rPr>
          <w:i/>
          <w:iCs/>
        </w:rPr>
        <w:t xml:space="preserve">mamy nadzieję w nie tak dalekiej </w:t>
      </w:r>
      <w:r w:rsidR="00060F4E" w:rsidRPr="00060F4E">
        <w:rPr>
          <w:i/>
          <w:iCs/>
        </w:rPr>
        <w:t>przyszłości</w:t>
      </w:r>
      <w:r w:rsidR="009003E8">
        <w:rPr>
          <w:i/>
          <w:iCs/>
        </w:rPr>
        <w:t>,</w:t>
      </w:r>
      <w:r w:rsidR="00060F4E" w:rsidRPr="00060F4E">
        <w:rPr>
          <w:i/>
          <w:iCs/>
        </w:rPr>
        <w:t xml:space="preserve"> </w:t>
      </w:r>
      <w:r w:rsidR="008B4CAD" w:rsidRPr="00060F4E">
        <w:rPr>
          <w:i/>
          <w:iCs/>
        </w:rPr>
        <w:t>pozwol</w:t>
      </w:r>
      <w:r w:rsidR="008B4CAD">
        <w:rPr>
          <w:i/>
          <w:iCs/>
        </w:rPr>
        <w:t>i</w:t>
      </w:r>
      <w:r w:rsidR="008B4CAD" w:rsidRPr="00060F4E">
        <w:rPr>
          <w:i/>
          <w:iCs/>
        </w:rPr>
        <w:t xml:space="preserve"> </w:t>
      </w:r>
      <w:r w:rsidR="00060F4E" w:rsidRPr="00060F4E">
        <w:rPr>
          <w:i/>
          <w:iCs/>
        </w:rPr>
        <w:t xml:space="preserve">przesyłać </w:t>
      </w:r>
      <w:r w:rsidR="00306263">
        <w:rPr>
          <w:i/>
          <w:iCs/>
        </w:rPr>
        <w:t>pieniądze</w:t>
      </w:r>
      <w:r w:rsidR="00060F4E" w:rsidRPr="00060F4E">
        <w:rPr>
          <w:i/>
          <w:iCs/>
        </w:rPr>
        <w:t xml:space="preserve"> równie łatwo do znajomego w innym kraju Europy, jak dziś do przyjaciela w sąsiednim mieście. Wierzymy, że interoperacyjność w obszarze P2P może stać się jednym z filarów nowoczesnego systemu płatniczego w naszym regionie</w:t>
      </w:r>
      <w:r w:rsidR="00060F4E" w:rsidRPr="00060F4E">
        <w:t xml:space="preserve"> – </w:t>
      </w:r>
      <w:r w:rsidR="009C4302">
        <w:t>podkreśla</w:t>
      </w:r>
      <w:r w:rsidR="00060F4E" w:rsidRPr="00060F4E">
        <w:t xml:space="preserve"> </w:t>
      </w:r>
      <w:r w:rsidR="00C2039C">
        <w:t>Dariusz Mazurkiewicz, prezes Polskiego Standardu Płatności, operatora BLIKA.</w:t>
      </w:r>
    </w:p>
    <w:p w14:paraId="3C4E4F46" w14:textId="7C962EE7" w:rsidR="006525B1" w:rsidRPr="006525B1" w:rsidRDefault="006525B1" w:rsidP="001F7E58">
      <w:pPr>
        <w:jc w:val="both"/>
      </w:pPr>
      <w:r w:rsidRPr="006525B1">
        <w:t xml:space="preserve">Stabilny wzrost utrzymują </w:t>
      </w:r>
      <w:r w:rsidR="00D935F2">
        <w:t>też</w:t>
      </w:r>
      <w:r w:rsidRPr="006525B1">
        <w:t xml:space="preserve"> transakcje w bankomatach. W pierwszym półroczu br. zrealizowano </w:t>
      </w:r>
      <w:r w:rsidR="001F7E58" w:rsidRPr="001F7E58">
        <w:t xml:space="preserve">37,8 </w:t>
      </w:r>
      <w:r w:rsidRPr="006525B1">
        <w:t xml:space="preserve">mln </w:t>
      </w:r>
      <w:r w:rsidR="00D935F2">
        <w:t xml:space="preserve">takich </w:t>
      </w:r>
      <w:r w:rsidRPr="006525B1">
        <w:t xml:space="preserve">operacji (+11 proc. r/r), w tym </w:t>
      </w:r>
      <w:r w:rsidR="0058363F">
        <w:t>32,8</w:t>
      </w:r>
      <w:r w:rsidRPr="006525B1">
        <w:t xml:space="preserve"> mln wypłat i </w:t>
      </w:r>
      <w:r w:rsidR="0058363F">
        <w:t xml:space="preserve">5 </w:t>
      </w:r>
      <w:r w:rsidRPr="006525B1">
        <w:t xml:space="preserve">mln wpłat. Średnia wartość pojedynczej </w:t>
      </w:r>
      <w:r w:rsidR="0086709D">
        <w:t>aktywności</w:t>
      </w:r>
      <w:r w:rsidRPr="006525B1">
        <w:t xml:space="preserve"> w tym kanale była najwyższa spośród wszystkich</w:t>
      </w:r>
      <w:r w:rsidR="008853EE">
        <w:t xml:space="preserve"> płatności BLIKIEM</w:t>
      </w:r>
      <w:r w:rsidRPr="006525B1">
        <w:t xml:space="preserve"> i wyniosła 72</w:t>
      </w:r>
      <w:r w:rsidR="00F75D9E">
        <w:t>0</w:t>
      </w:r>
      <w:r w:rsidRPr="006525B1">
        <w:t xml:space="preserve"> zł.</w:t>
      </w:r>
    </w:p>
    <w:p w14:paraId="2AAB4181" w14:textId="302B7769" w:rsidR="002E1F92" w:rsidRPr="007245AB" w:rsidRDefault="007245AB" w:rsidP="000B23AC">
      <w:pPr>
        <w:jc w:val="both"/>
        <w:rPr>
          <w:b/>
          <w:bCs/>
        </w:rPr>
      </w:pPr>
      <w:r w:rsidRPr="007245AB">
        <w:rPr>
          <w:b/>
          <w:bCs/>
        </w:rPr>
        <w:t>Ponad 19 mln aktywnych użytkowników</w:t>
      </w:r>
    </w:p>
    <w:p w14:paraId="728746D0" w14:textId="4277FBEF" w:rsidR="00D97115" w:rsidRDefault="000B23AC" w:rsidP="00BF504E">
      <w:pPr>
        <w:jc w:val="both"/>
      </w:pPr>
      <w:r w:rsidRPr="000B23AC">
        <w:t xml:space="preserve">Na koniec czerwca br. liczba aktywnych użytkowników BLIKA wyniosła </w:t>
      </w:r>
      <w:r>
        <w:t>19,</w:t>
      </w:r>
      <w:r w:rsidR="0041719E">
        <w:t>4</w:t>
      </w:r>
      <w:r w:rsidRPr="000B23AC">
        <w:t xml:space="preserve"> mln</w:t>
      </w:r>
      <w:r w:rsidR="008F0F57">
        <w:t xml:space="preserve"> </w:t>
      </w:r>
      <w:r w:rsidRPr="000B23AC">
        <w:t xml:space="preserve">– to o </w:t>
      </w:r>
      <w:r w:rsidR="005B5727">
        <w:t>2,5</w:t>
      </w:r>
      <w:r w:rsidRPr="000B23AC">
        <w:t xml:space="preserve"> mln więcej niż rok wcześniej</w:t>
      </w:r>
      <w:r w:rsidR="008F0F57">
        <w:t xml:space="preserve"> (</w:t>
      </w:r>
      <w:r w:rsidR="008F0F57" w:rsidRPr="000B23AC">
        <w:t>wzrost o 15 proc. r/r</w:t>
      </w:r>
      <w:r w:rsidR="008F0F57">
        <w:t>)</w:t>
      </w:r>
      <w:r w:rsidR="00D5783D">
        <w:t xml:space="preserve">. </w:t>
      </w:r>
      <w:r w:rsidR="00362F6E">
        <w:t>A</w:t>
      </w:r>
      <w:r w:rsidR="007A5753" w:rsidRPr="007A5753">
        <w:t xml:space="preserve">ktywność </w:t>
      </w:r>
      <w:r w:rsidR="00362F6E">
        <w:t xml:space="preserve">klientów banków </w:t>
      </w:r>
      <w:r w:rsidR="001C5D95">
        <w:t xml:space="preserve">udostępniających BLIKA </w:t>
      </w:r>
      <w:r w:rsidR="007A5753" w:rsidRPr="007A5753">
        <w:t xml:space="preserve">utrzymywała się na wysokim poziomie przez całe </w:t>
      </w:r>
      <w:r w:rsidR="002E725A">
        <w:t xml:space="preserve">pierwsze </w:t>
      </w:r>
      <w:r w:rsidR="007A5753" w:rsidRPr="007A5753">
        <w:t>półrocze</w:t>
      </w:r>
      <w:r w:rsidR="001C5D95">
        <w:t>. W</w:t>
      </w:r>
      <w:r w:rsidR="007A5753" w:rsidRPr="007A5753">
        <w:t xml:space="preserve"> najlepszym dniu, </w:t>
      </w:r>
      <w:r w:rsidR="00245A5D">
        <w:t xml:space="preserve">który przypadł na </w:t>
      </w:r>
      <w:r w:rsidR="001F404D">
        <w:t>10 czerwca</w:t>
      </w:r>
      <w:r w:rsidR="00921ACA">
        <w:t xml:space="preserve"> </w:t>
      </w:r>
      <w:r w:rsidR="00245A5D">
        <w:t>br. –</w:t>
      </w:r>
      <w:r w:rsidR="004E7532">
        <w:t xml:space="preserve"> </w:t>
      </w:r>
      <w:r w:rsidR="007A5753" w:rsidRPr="007A5753">
        <w:t xml:space="preserve">zrealizowano ponad </w:t>
      </w:r>
      <w:r w:rsidR="00B602E1">
        <w:t>11,5</w:t>
      </w:r>
      <w:r w:rsidR="007A5753" w:rsidRPr="007A5753">
        <w:t xml:space="preserve"> mln transakcji</w:t>
      </w:r>
      <w:r w:rsidR="002E725A">
        <w:t>.</w:t>
      </w:r>
      <w:r w:rsidR="007A5753" w:rsidRPr="007A5753">
        <w:t xml:space="preserve"> </w:t>
      </w:r>
      <w:r w:rsidR="002E725A">
        <w:t>W analizowanym okresie p</w:t>
      </w:r>
      <w:r w:rsidR="007A5753" w:rsidRPr="007A5753">
        <w:t xml:space="preserve">rzeciętny użytkownik wykonywał </w:t>
      </w:r>
      <w:r w:rsidR="004E7532">
        <w:t xml:space="preserve">średnio </w:t>
      </w:r>
      <w:r w:rsidR="007A5753" w:rsidRPr="007A5753">
        <w:t>13 płatności miesięcznie.</w:t>
      </w:r>
    </w:p>
    <w:p w14:paraId="5652E1D5" w14:textId="77777777" w:rsidR="001D4F64" w:rsidRPr="001349F3" w:rsidRDefault="001D4F64" w:rsidP="001D4F64">
      <w:pPr>
        <w:jc w:val="both"/>
        <w:rPr>
          <w:b/>
          <w:bCs/>
        </w:rPr>
      </w:pPr>
      <w:r w:rsidRPr="001349F3">
        <w:rPr>
          <w:b/>
          <w:bCs/>
        </w:rPr>
        <w:t>Silne wyniki finansowe</w:t>
      </w:r>
    </w:p>
    <w:p w14:paraId="44AE818B" w14:textId="77777777" w:rsidR="001D4F64" w:rsidRPr="001349F3" w:rsidRDefault="001D4F64" w:rsidP="001D4F64">
      <w:pPr>
        <w:jc w:val="both"/>
      </w:pPr>
      <w:r w:rsidRPr="001349F3">
        <w:t>Rosnąca aktywność użytkowników i konsekwentny wzrost wolumenu transakcji przekładają się bezpośrednio na wyniki finansowe operatora systemu. Polski Standard Płatności zakończył 2024 rok z przychodami na poziomie 421 mln zł i zyskiem netto w wysokości 205,9 mln zł. To kolejny rok z rzędu, w którym spółka dynamicznie zwiększała skalę działalności, notując wzrost wszystkich kluczowych wskaźników finansowych. Solidne fundamenty finansowe umożliwiają dalsze inwestycje w rozwój funkcjonalności BLIKA oraz realizację planów ekspansji międzynarodowej.</w:t>
      </w:r>
    </w:p>
    <w:p w14:paraId="50F4971E" w14:textId="40E5B4CE" w:rsidR="001D4F64" w:rsidRPr="002A278C" w:rsidRDefault="001D4F64" w:rsidP="001D4F64">
      <w:pPr>
        <w:jc w:val="both"/>
      </w:pPr>
      <w:r w:rsidRPr="001349F3">
        <w:t xml:space="preserve">– </w:t>
      </w:r>
      <w:r w:rsidRPr="001349F3">
        <w:rPr>
          <w:i/>
          <w:iCs/>
        </w:rPr>
        <w:t xml:space="preserve">Wyniki finansowe za ubiegły rok potwierdzają, że dynamiczny rozwój BLIKA idzie w parze z trwałą rentownością biznesu. Stabilna struktura przychodów i </w:t>
      </w:r>
      <w:r w:rsidR="00FD3F0E" w:rsidRPr="001349F3">
        <w:rPr>
          <w:i/>
          <w:iCs/>
        </w:rPr>
        <w:t xml:space="preserve">osiąganych </w:t>
      </w:r>
      <w:r w:rsidR="001349F3" w:rsidRPr="001349F3">
        <w:rPr>
          <w:i/>
          <w:iCs/>
        </w:rPr>
        <w:t>wyników</w:t>
      </w:r>
      <w:r w:rsidRPr="001349F3">
        <w:rPr>
          <w:i/>
          <w:iCs/>
        </w:rPr>
        <w:t xml:space="preserve"> daje nam możliwość planowania inwestycji w dłuższym horyzoncie i realizowania strategii w sposób niezależny od czynników zewnętrznych. Dzięki temu możemy równolegle wzmacniać naszą pozycję w Polsce i stawiać kolejne kroki w ekspansji zagranicznej. Naszą ambicją jest, aby BLIK konsekwentnie rozwijał się jako najbardziej </w:t>
      </w:r>
      <w:r w:rsidR="001349F3" w:rsidRPr="001349F3">
        <w:rPr>
          <w:i/>
          <w:iCs/>
        </w:rPr>
        <w:t>uniwersalny</w:t>
      </w:r>
      <w:r w:rsidRPr="001349F3">
        <w:rPr>
          <w:i/>
          <w:iCs/>
        </w:rPr>
        <w:t xml:space="preserve"> system płatności mobilnych w regionie</w:t>
      </w:r>
      <w:r w:rsidRPr="001349F3">
        <w:t xml:space="preserve"> – podkreśla </w:t>
      </w:r>
      <w:r w:rsidRPr="00694C5D">
        <w:rPr>
          <w:b/>
          <w:bCs/>
        </w:rPr>
        <w:t>Katarzyna Matuszczyk</w:t>
      </w:r>
      <w:r w:rsidRPr="001349F3">
        <w:t xml:space="preserve">, </w:t>
      </w:r>
      <w:bookmarkStart w:id="0" w:name="_Hlk206506872"/>
      <w:r w:rsidRPr="001349F3">
        <w:t>członkini zarządu ds. finansowych w Polskim Standardzie Płatności, operatorze BLIKA.</w:t>
      </w:r>
    </w:p>
    <w:bookmarkEnd w:id="0"/>
    <w:p w14:paraId="725B7D05" w14:textId="77777777" w:rsidR="002A278C" w:rsidRDefault="002A278C" w:rsidP="002A278C">
      <w:pPr>
        <w:spacing w:line="276" w:lineRule="auto"/>
        <w:jc w:val="center"/>
      </w:pPr>
      <w:r>
        <w:t>***</w:t>
      </w:r>
    </w:p>
    <w:p w14:paraId="3AD83036" w14:textId="77777777" w:rsidR="002A278C" w:rsidRPr="00D7122D" w:rsidRDefault="002A278C" w:rsidP="002A278C">
      <w:pPr>
        <w:spacing w:line="276" w:lineRule="auto"/>
        <w:jc w:val="both"/>
        <w:rPr>
          <w:sz w:val="20"/>
          <w:szCs w:val="20"/>
        </w:rPr>
      </w:pPr>
      <w:r w:rsidRPr="00D7122D">
        <w:rPr>
          <w:b/>
          <w:bCs/>
          <w:sz w:val="20"/>
          <w:szCs w:val="20"/>
        </w:rPr>
        <w:t xml:space="preserve">BLIK </w:t>
      </w:r>
      <w:r w:rsidRPr="00D7122D">
        <w:rPr>
          <w:sz w:val="20"/>
          <w:szCs w:val="20"/>
        </w:rPr>
        <w:t xml:space="preserve">to powszechny standard płatności mobilnych. Możliwość skorzystania z BLIKA w aplikacjach bankowości mobilnej ma obecnie praktycznie każdy klientów krajowych instytucji płatniczych oferujących </w:t>
      </w:r>
      <w:r w:rsidRPr="00D7122D">
        <w:rPr>
          <w:sz w:val="20"/>
          <w:szCs w:val="20"/>
        </w:rPr>
        <w:lastRenderedPageBreak/>
        <w:t>aplikację mobilną. Za rozwój systemu odpowiada spółka Polski Standard Płatności (PSP). PSP stale rozwija możliwości BLIKA tak, aby system był jak najbardziej funkcjonalny dla jego użytkowników. Udziałowcami spółki PSP są: Alior Bank, Bank Millennium, Santander Bank Polska, ING Bank Śląski, mBank, PKO Bank Polski oraz Mastercard.</w:t>
      </w:r>
    </w:p>
    <w:p w14:paraId="12BE6A27" w14:textId="77777777" w:rsidR="002A278C" w:rsidRPr="00F9487D" w:rsidRDefault="002A278C" w:rsidP="002A278C">
      <w:pPr>
        <w:spacing w:line="276" w:lineRule="auto"/>
        <w:jc w:val="both"/>
        <w:rPr>
          <w:b/>
          <w:bCs/>
          <w:sz w:val="20"/>
          <w:szCs w:val="20"/>
        </w:rPr>
      </w:pPr>
      <w:r w:rsidRPr="00F9487D">
        <w:rPr>
          <w:b/>
          <w:bCs/>
          <w:sz w:val="20"/>
          <w:szCs w:val="20"/>
        </w:rPr>
        <w:t>Kontakt dla mediów:</w:t>
      </w:r>
    </w:p>
    <w:p w14:paraId="2DFB082D" w14:textId="77777777" w:rsidR="002A278C" w:rsidRPr="00F9487D" w:rsidRDefault="002A278C" w:rsidP="002A278C">
      <w:pPr>
        <w:spacing w:after="0" w:line="276" w:lineRule="auto"/>
        <w:jc w:val="both"/>
        <w:rPr>
          <w:sz w:val="20"/>
          <w:szCs w:val="20"/>
        </w:rPr>
      </w:pPr>
      <w:r w:rsidRPr="00F9487D">
        <w:rPr>
          <w:sz w:val="20"/>
          <w:szCs w:val="20"/>
        </w:rPr>
        <w:t>Klaudia Rombalska</w:t>
      </w:r>
    </w:p>
    <w:p w14:paraId="12756E0F" w14:textId="77777777" w:rsidR="002A278C" w:rsidRPr="00F9487D" w:rsidRDefault="002A278C" w:rsidP="002A278C">
      <w:pPr>
        <w:spacing w:after="0" w:line="276" w:lineRule="auto"/>
        <w:jc w:val="both"/>
        <w:rPr>
          <w:sz w:val="20"/>
          <w:szCs w:val="20"/>
        </w:rPr>
      </w:pPr>
      <w:r w:rsidRPr="00F9487D">
        <w:rPr>
          <w:sz w:val="20"/>
          <w:szCs w:val="20"/>
        </w:rPr>
        <w:t>Biuro prasowe BLIKA</w:t>
      </w:r>
    </w:p>
    <w:p w14:paraId="3E0BE268" w14:textId="77777777" w:rsidR="002A278C" w:rsidRDefault="002A278C" w:rsidP="002A278C">
      <w:pPr>
        <w:spacing w:after="0" w:line="276" w:lineRule="auto"/>
        <w:rPr>
          <w:sz w:val="20"/>
          <w:szCs w:val="20"/>
        </w:rPr>
      </w:pPr>
      <w:hyperlink w:history="1">
        <w:r w:rsidRPr="00F9487D">
          <w:rPr>
            <w:rStyle w:val="Hipercze"/>
            <w:sz w:val="20"/>
            <w:szCs w:val="20"/>
          </w:rPr>
          <w:t>klaudia.rombalska@clearcom.pl</w:t>
        </w:r>
      </w:hyperlink>
      <w:r w:rsidRPr="00F9487D">
        <w:rPr>
          <w:sz w:val="20"/>
          <w:szCs w:val="20"/>
        </w:rPr>
        <w:t xml:space="preserve"> </w:t>
      </w:r>
    </w:p>
    <w:p w14:paraId="68F98905" w14:textId="77777777" w:rsidR="002A278C" w:rsidRDefault="002A278C" w:rsidP="002A278C">
      <w:pPr>
        <w:jc w:val="both"/>
      </w:pPr>
    </w:p>
    <w:p w14:paraId="6327F501" w14:textId="77777777" w:rsidR="00896AAE" w:rsidRPr="00D97115" w:rsidRDefault="00896AAE" w:rsidP="00BF504E">
      <w:pPr>
        <w:jc w:val="both"/>
        <w:rPr>
          <w:b/>
          <w:bCs/>
        </w:rPr>
      </w:pPr>
    </w:p>
    <w:sectPr w:rsidR="00896AAE" w:rsidRPr="00D971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8739D" w14:textId="77777777" w:rsidR="00265A16" w:rsidRDefault="00265A16" w:rsidP="00817747">
      <w:pPr>
        <w:spacing w:after="0" w:line="240" w:lineRule="auto"/>
      </w:pPr>
      <w:r>
        <w:separator/>
      </w:r>
    </w:p>
  </w:endnote>
  <w:endnote w:type="continuationSeparator" w:id="0">
    <w:p w14:paraId="1D22E935" w14:textId="77777777" w:rsidR="00265A16" w:rsidRDefault="00265A16" w:rsidP="0081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A7153" w14:textId="77777777" w:rsidR="00265A16" w:rsidRDefault="00265A16" w:rsidP="00817747">
      <w:pPr>
        <w:spacing w:after="0" w:line="240" w:lineRule="auto"/>
      </w:pPr>
      <w:r>
        <w:separator/>
      </w:r>
    </w:p>
  </w:footnote>
  <w:footnote w:type="continuationSeparator" w:id="0">
    <w:p w14:paraId="285CE6EE" w14:textId="77777777" w:rsidR="00265A16" w:rsidRDefault="00265A16" w:rsidP="00817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2847" w14:textId="2D4F4D30" w:rsidR="00A14187" w:rsidRDefault="00A1418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03116C3" wp14:editId="5650F045">
          <wp:simplePos x="0" y="0"/>
          <wp:positionH relativeFrom="margin">
            <wp:align>left</wp:align>
          </wp:positionH>
          <wp:positionV relativeFrom="paragraph">
            <wp:posOffset>-312420</wp:posOffset>
          </wp:positionV>
          <wp:extent cx="1811655" cy="1095375"/>
          <wp:effectExtent l="0" t="0" r="0" b="0"/>
          <wp:wrapNone/>
          <wp:docPr id="9" name="Obraz 9" descr="Obraz zawierający symbol, zrzut ekranu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Obraz zawierający symbol, zrzut ekranu, Grafi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65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EDECF9A" w14:textId="77777777" w:rsidR="00A14187" w:rsidRDefault="00A14187">
    <w:pPr>
      <w:pStyle w:val="Nagwek"/>
    </w:pPr>
  </w:p>
  <w:p w14:paraId="39630E1B" w14:textId="77777777" w:rsidR="00A14187" w:rsidRDefault="00A14187">
    <w:pPr>
      <w:pStyle w:val="Nagwek"/>
    </w:pPr>
  </w:p>
  <w:p w14:paraId="13772B96" w14:textId="77777777" w:rsidR="00A14187" w:rsidRDefault="00A14187">
    <w:pPr>
      <w:pStyle w:val="Nagwek"/>
    </w:pPr>
  </w:p>
  <w:p w14:paraId="45D2F4F2" w14:textId="5F8285AE" w:rsidR="00817747" w:rsidRDefault="008177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1" behindDoc="0" locked="0" layoutInCell="1" allowOverlap="1" wp14:anchorId="014EE9A7" wp14:editId="684AB6C8">
          <wp:simplePos x="0" y="0"/>
          <wp:positionH relativeFrom="margin">
            <wp:posOffset>4512098</wp:posOffset>
          </wp:positionH>
          <wp:positionV relativeFrom="topMargin">
            <wp:posOffset>420582</wp:posOffset>
          </wp:positionV>
          <wp:extent cx="1037590" cy="559435"/>
          <wp:effectExtent l="0" t="0" r="0" b="0"/>
          <wp:wrapSquare wrapText="bothSides"/>
          <wp:docPr id="10" name="Obraz 10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Obraz zawierający logo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59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A2"/>
    <w:rsid w:val="0003572B"/>
    <w:rsid w:val="00060F4E"/>
    <w:rsid w:val="000A3510"/>
    <w:rsid w:val="000B23AC"/>
    <w:rsid w:val="000B25EB"/>
    <w:rsid w:val="000F7AFD"/>
    <w:rsid w:val="001135F2"/>
    <w:rsid w:val="00114777"/>
    <w:rsid w:val="0011640E"/>
    <w:rsid w:val="001349F3"/>
    <w:rsid w:val="001B3AA1"/>
    <w:rsid w:val="001C5D95"/>
    <w:rsid w:val="001D4F64"/>
    <w:rsid w:val="001F404D"/>
    <w:rsid w:val="001F7E58"/>
    <w:rsid w:val="002303A2"/>
    <w:rsid w:val="00244212"/>
    <w:rsid w:val="00245A5D"/>
    <w:rsid w:val="00265A16"/>
    <w:rsid w:val="002A278C"/>
    <w:rsid w:val="002B1402"/>
    <w:rsid w:val="002D34F4"/>
    <w:rsid w:val="002D4ED3"/>
    <w:rsid w:val="002E1F92"/>
    <w:rsid w:val="002E23C4"/>
    <w:rsid w:val="002E725A"/>
    <w:rsid w:val="00306263"/>
    <w:rsid w:val="00314DEE"/>
    <w:rsid w:val="00317444"/>
    <w:rsid w:val="00356874"/>
    <w:rsid w:val="00362F6E"/>
    <w:rsid w:val="0037346E"/>
    <w:rsid w:val="00383B62"/>
    <w:rsid w:val="00383B9F"/>
    <w:rsid w:val="0038617C"/>
    <w:rsid w:val="003F571B"/>
    <w:rsid w:val="0041719E"/>
    <w:rsid w:val="00424F96"/>
    <w:rsid w:val="00443049"/>
    <w:rsid w:val="00446E2C"/>
    <w:rsid w:val="00450F4A"/>
    <w:rsid w:val="00481716"/>
    <w:rsid w:val="004A7952"/>
    <w:rsid w:val="004E7532"/>
    <w:rsid w:val="00500EBD"/>
    <w:rsid w:val="00503908"/>
    <w:rsid w:val="0050475E"/>
    <w:rsid w:val="005069F0"/>
    <w:rsid w:val="00510EBA"/>
    <w:rsid w:val="005405B0"/>
    <w:rsid w:val="005614CA"/>
    <w:rsid w:val="005746EB"/>
    <w:rsid w:val="00576D08"/>
    <w:rsid w:val="0057730A"/>
    <w:rsid w:val="0058363F"/>
    <w:rsid w:val="005B11B4"/>
    <w:rsid w:val="005B2B54"/>
    <w:rsid w:val="005B5727"/>
    <w:rsid w:val="00603E3D"/>
    <w:rsid w:val="00604EDC"/>
    <w:rsid w:val="0060677E"/>
    <w:rsid w:val="00624CE1"/>
    <w:rsid w:val="006252E1"/>
    <w:rsid w:val="00626862"/>
    <w:rsid w:val="006525B1"/>
    <w:rsid w:val="00665827"/>
    <w:rsid w:val="006659A5"/>
    <w:rsid w:val="00670BC9"/>
    <w:rsid w:val="006866EE"/>
    <w:rsid w:val="00687B9C"/>
    <w:rsid w:val="00694C5D"/>
    <w:rsid w:val="006B1AF0"/>
    <w:rsid w:val="007245AB"/>
    <w:rsid w:val="00743A9C"/>
    <w:rsid w:val="007A5753"/>
    <w:rsid w:val="007B3939"/>
    <w:rsid w:val="007C49BF"/>
    <w:rsid w:val="00813E83"/>
    <w:rsid w:val="00817747"/>
    <w:rsid w:val="00840121"/>
    <w:rsid w:val="00840516"/>
    <w:rsid w:val="0086709D"/>
    <w:rsid w:val="008853EE"/>
    <w:rsid w:val="00896AAE"/>
    <w:rsid w:val="008A2FBD"/>
    <w:rsid w:val="008B4CAD"/>
    <w:rsid w:val="008F0939"/>
    <w:rsid w:val="008F0F57"/>
    <w:rsid w:val="009003E8"/>
    <w:rsid w:val="00907042"/>
    <w:rsid w:val="00921ACA"/>
    <w:rsid w:val="00922A1E"/>
    <w:rsid w:val="009317C3"/>
    <w:rsid w:val="00950129"/>
    <w:rsid w:val="00952607"/>
    <w:rsid w:val="009C2855"/>
    <w:rsid w:val="009C4302"/>
    <w:rsid w:val="009D4B88"/>
    <w:rsid w:val="009E190C"/>
    <w:rsid w:val="00A14187"/>
    <w:rsid w:val="00A45104"/>
    <w:rsid w:val="00A67A5A"/>
    <w:rsid w:val="00A850E8"/>
    <w:rsid w:val="00A921E7"/>
    <w:rsid w:val="00A96E94"/>
    <w:rsid w:val="00AB3524"/>
    <w:rsid w:val="00AB5CF1"/>
    <w:rsid w:val="00AD23D8"/>
    <w:rsid w:val="00AF4ED8"/>
    <w:rsid w:val="00B12568"/>
    <w:rsid w:val="00B245FE"/>
    <w:rsid w:val="00B602E1"/>
    <w:rsid w:val="00BE67D5"/>
    <w:rsid w:val="00BF504E"/>
    <w:rsid w:val="00C2039C"/>
    <w:rsid w:val="00C31648"/>
    <w:rsid w:val="00C40658"/>
    <w:rsid w:val="00C44F0B"/>
    <w:rsid w:val="00C52B51"/>
    <w:rsid w:val="00CA22F6"/>
    <w:rsid w:val="00CE7135"/>
    <w:rsid w:val="00CF16D9"/>
    <w:rsid w:val="00D11A4B"/>
    <w:rsid w:val="00D35800"/>
    <w:rsid w:val="00D41540"/>
    <w:rsid w:val="00D51765"/>
    <w:rsid w:val="00D5783D"/>
    <w:rsid w:val="00D63BDD"/>
    <w:rsid w:val="00D935F2"/>
    <w:rsid w:val="00D97115"/>
    <w:rsid w:val="00DB7A7C"/>
    <w:rsid w:val="00DD0FE8"/>
    <w:rsid w:val="00E1560D"/>
    <w:rsid w:val="00E71F90"/>
    <w:rsid w:val="00EA1F5A"/>
    <w:rsid w:val="00EB31A7"/>
    <w:rsid w:val="00ED11BE"/>
    <w:rsid w:val="00EF4EA6"/>
    <w:rsid w:val="00EF57F9"/>
    <w:rsid w:val="00F43FF4"/>
    <w:rsid w:val="00F468E3"/>
    <w:rsid w:val="00F568AA"/>
    <w:rsid w:val="00F75D9E"/>
    <w:rsid w:val="00F833D1"/>
    <w:rsid w:val="00FD3F0E"/>
    <w:rsid w:val="00FE4EEE"/>
    <w:rsid w:val="00F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B7D4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0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0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03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0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03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0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0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0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0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03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3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3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03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03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3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0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0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0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0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0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03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03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03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0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03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03A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17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747"/>
  </w:style>
  <w:style w:type="paragraph" w:styleId="Stopka">
    <w:name w:val="footer"/>
    <w:basedOn w:val="Normalny"/>
    <w:link w:val="StopkaZnak"/>
    <w:uiPriority w:val="99"/>
    <w:unhideWhenUsed/>
    <w:rsid w:val="00817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747"/>
  </w:style>
  <w:style w:type="character" w:styleId="Hipercze">
    <w:name w:val="Hyperlink"/>
    <w:basedOn w:val="Domylnaczcionkaakapitu"/>
    <w:uiPriority w:val="99"/>
    <w:unhideWhenUsed/>
    <w:rsid w:val="002A278C"/>
    <w:rPr>
      <w:color w:val="467886" w:themeColor="hyperlink"/>
      <w:u w:val="single"/>
    </w:rPr>
  </w:style>
  <w:style w:type="paragraph" w:styleId="Poprawka">
    <w:name w:val="Revision"/>
    <w:hidden/>
    <w:uiPriority w:val="99"/>
    <w:semiHidden/>
    <w:rsid w:val="00670BC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26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6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6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6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6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32A36832A0A41A9315B265E6415BB" ma:contentTypeVersion="17" ma:contentTypeDescription="Create a new document." ma:contentTypeScope="" ma:versionID="d7fb0a80519e721caf341e6b83fe7501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431ef14a00d8bc85e3cebc466e27ebea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9CEBD7-E80D-4B28-9DBE-77D2C18FB0FE}"/>
</file>

<file path=customXml/itemProps2.xml><?xml version="1.0" encoding="utf-8"?>
<ds:datastoreItem xmlns:ds="http://schemas.openxmlformats.org/officeDocument/2006/customXml" ds:itemID="{7E0EEEAE-6AF3-4E79-BE72-6AB12E171439}"/>
</file>

<file path=customXml/itemProps3.xml><?xml version="1.0" encoding="utf-8"?>
<ds:datastoreItem xmlns:ds="http://schemas.openxmlformats.org/officeDocument/2006/customXml" ds:itemID="{BCA42354-C5D8-4AAF-89F4-BFF031F85D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2025-08-20T08:26:00Z</dcterms:created>
  <dcterms:modified xsi:type="dcterms:W3CDTF">2025-08-20T08:26:00Z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0x01010026332A36832A0A41A9315B265E6415BB</vt:lpwstr>
  </property>
  <property fmtid="{D5CDD505-2E9C-101B-9397-08002B2CF9AE}" pid="4" name="GrammarlyDocumentId">
    <vt:lpwstr>cc742871-a173-4c2c-b373-8471076286b4</vt:lpwstr>
  </property>
</Properties>
</file>