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5F4C" w14:textId="77777777" w:rsidR="00821F9C" w:rsidRPr="00FF2909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b/>
          <w:bCs/>
          <w:sz w:val="28"/>
          <w:szCs w:val="28"/>
          <w:lang w:val="es-ES"/>
        </w:rPr>
      </w:pPr>
      <w:r w:rsidRPr="00FF2909">
        <w:rPr>
          <w:rFonts w:ascii="Noto Sans" w:hAnsi="Noto Sans" w:cs="Noto Sans"/>
          <w:b/>
          <w:bCs/>
          <w:sz w:val="28"/>
          <w:szCs w:val="28"/>
          <w:lang w:val="es-ES"/>
        </w:rPr>
        <w:t>Construindo o Futuro da Construção com Códigos 2D</w:t>
      </w:r>
    </w:p>
    <w:p w14:paraId="77F4CA7C" w14:textId="1BF0A897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i/>
          <w:iCs/>
          <w:sz w:val="20"/>
          <w:szCs w:val="20"/>
          <w:lang w:val="pt-PT"/>
        </w:rPr>
      </w:pPr>
      <w:r w:rsidRPr="00821F9C">
        <w:rPr>
          <w:rFonts w:ascii="Noto Sans" w:hAnsi="Noto Sans" w:cs="Noto Sans"/>
          <w:i/>
          <w:iCs/>
          <w:sz w:val="20"/>
          <w:szCs w:val="20"/>
          <w:lang w:val="pt-PT"/>
        </w:rPr>
        <w:t xml:space="preserve">A indústria da construção enfrenta uma crescente pressão para melhorar a eficiência, adotar práticas mais sustentáveis e reduzir o desperdício. Atualmente, estima-se que produza </w:t>
      </w:r>
      <w:hyperlink r:id="rId7" w:history="1">
        <w:r w:rsidRPr="00743948">
          <w:rPr>
            <w:rStyle w:val="Hyperlink"/>
            <w:rFonts w:ascii="Noto Sans" w:hAnsi="Noto Sans" w:cs="Noto Sans"/>
            <w:i/>
            <w:iCs/>
            <w:sz w:val="20"/>
            <w:szCs w:val="20"/>
            <w:lang w:val="pt-PT"/>
          </w:rPr>
          <w:t>cerca de um terço do total de resíduos mundiais</w:t>
        </w:r>
      </w:hyperlink>
      <w:r w:rsidRPr="00821F9C">
        <w:rPr>
          <w:rFonts w:ascii="Noto Sans" w:hAnsi="Noto Sans" w:cs="Noto Sans"/>
          <w:i/>
          <w:iCs/>
          <w:sz w:val="20"/>
          <w:szCs w:val="20"/>
          <w:lang w:val="pt-PT"/>
        </w:rPr>
        <w:t xml:space="preserve"> e permanece, segundo a McKinsey &amp; Company</w:t>
      </w:r>
      <w:hyperlink r:id="rId8" w:history="1">
        <w:r w:rsidRPr="00743948">
          <w:rPr>
            <w:rStyle w:val="Hyperlink"/>
            <w:rFonts w:ascii="Noto Sans" w:hAnsi="Noto Sans" w:cs="Noto Sans"/>
            <w:i/>
            <w:iCs/>
            <w:sz w:val="20"/>
            <w:szCs w:val="20"/>
            <w:lang w:val="pt-PT"/>
          </w:rPr>
          <w:t>, como uma das indústrias menos digitalizadas</w:t>
        </w:r>
      </w:hyperlink>
      <w:r w:rsidRPr="00821F9C">
        <w:rPr>
          <w:rFonts w:ascii="Noto Sans" w:hAnsi="Noto Sans" w:cs="Noto Sans"/>
          <w:i/>
          <w:iCs/>
          <w:sz w:val="20"/>
          <w:szCs w:val="20"/>
          <w:lang w:val="pt-PT"/>
        </w:rPr>
        <w:t>, resultando em crescimento mais lento da produtividade, custos mais elevados e ineficiências. Embora haja reconhecimento da necessidade de transformação digital, a adoção efetiva</w:t>
      </w:r>
      <w:r>
        <w:rPr>
          <w:rFonts w:ascii="Noto Sans" w:hAnsi="Noto Sans" w:cs="Noto Sans"/>
          <w:i/>
          <w:iCs/>
          <w:sz w:val="20"/>
          <w:szCs w:val="20"/>
          <w:lang w:val="pt-PT"/>
        </w:rPr>
        <w:t xml:space="preserve"> de tecnologia permanece</w:t>
      </w:r>
      <w:r w:rsidRPr="00821F9C">
        <w:rPr>
          <w:rFonts w:ascii="Noto Sans" w:hAnsi="Noto Sans" w:cs="Noto Sans"/>
          <w:i/>
          <w:iCs/>
          <w:sz w:val="20"/>
          <w:szCs w:val="20"/>
          <w:lang w:val="pt-PT"/>
        </w:rPr>
        <w:t xml:space="preserve"> lenta </w:t>
      </w:r>
      <w:r>
        <w:rPr>
          <w:rFonts w:ascii="Noto Sans" w:hAnsi="Noto Sans" w:cs="Noto Sans"/>
          <w:i/>
          <w:iCs/>
          <w:sz w:val="20"/>
          <w:szCs w:val="20"/>
          <w:lang w:val="pt-PT"/>
        </w:rPr>
        <w:t>-</w:t>
      </w:r>
      <w:r w:rsidRPr="00821F9C">
        <w:rPr>
          <w:rFonts w:ascii="Noto Sans" w:hAnsi="Noto Sans" w:cs="Noto Sans"/>
          <w:i/>
          <w:iCs/>
          <w:sz w:val="20"/>
          <w:szCs w:val="20"/>
          <w:lang w:val="pt-PT"/>
        </w:rPr>
        <w:t xml:space="preserve"> em grande parte devido ao ecossistema complexo do setor e à abordagem cautelosa em relação à mudança.</w:t>
      </w:r>
    </w:p>
    <w:p w14:paraId="0508FC20" w14:textId="77777777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i/>
          <w:iCs/>
          <w:sz w:val="20"/>
          <w:szCs w:val="20"/>
          <w:lang w:val="pt-PT"/>
        </w:rPr>
      </w:pPr>
      <w:r w:rsidRPr="00821F9C">
        <w:rPr>
          <w:rFonts w:ascii="Noto Sans" w:hAnsi="Noto Sans" w:cs="Noto Sans"/>
          <w:i/>
          <w:iCs/>
          <w:sz w:val="20"/>
          <w:szCs w:val="20"/>
          <w:lang w:val="pt-PT"/>
        </w:rPr>
        <w:t>No entanto, esses desafios não são exclusivos do setor da construção. Nos últimos anos, indústrias como as ciências da vida e a de alimentos e bebidas superaram barreiras semelhantes e avançaram significativamente na melhoria da rastreabilidade, redução de resíduos e progressão em direção a uma economia circular. A chave para desbloquear essas eficiências? Códigos de barras 2D.</w:t>
      </w:r>
    </w:p>
    <w:p w14:paraId="44BCFB84" w14:textId="3E127F6F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i/>
          <w:iCs/>
          <w:sz w:val="20"/>
          <w:szCs w:val="20"/>
          <w:lang w:val="pt-PT"/>
        </w:rPr>
      </w:pPr>
      <w:r w:rsidRPr="00821F9C">
        <w:rPr>
          <w:rFonts w:ascii="Noto Sans" w:hAnsi="Noto Sans" w:cs="Noto Sans"/>
          <w:i/>
          <w:iCs/>
          <w:sz w:val="20"/>
          <w:szCs w:val="20"/>
          <w:lang w:val="pt-PT"/>
        </w:rPr>
        <w:t xml:space="preserve">Rob Ellinor, Programme Manager (Strategic Business) da Domino Printing Sciences, explora como a indústria da construção pode aprender com as experiências de organizações em outros setores e </w:t>
      </w:r>
      <w:r>
        <w:rPr>
          <w:rFonts w:ascii="Noto Sans" w:hAnsi="Noto Sans" w:cs="Noto Sans"/>
          <w:i/>
          <w:iCs/>
          <w:sz w:val="20"/>
          <w:szCs w:val="20"/>
          <w:lang w:val="pt-PT"/>
        </w:rPr>
        <w:t>reforça</w:t>
      </w:r>
      <w:r w:rsidRPr="00821F9C">
        <w:rPr>
          <w:rFonts w:ascii="Noto Sans" w:hAnsi="Noto Sans" w:cs="Noto Sans"/>
          <w:i/>
          <w:iCs/>
          <w:sz w:val="20"/>
          <w:szCs w:val="20"/>
          <w:lang w:val="pt-PT"/>
        </w:rPr>
        <w:t xml:space="preserve"> como os códigos 2D impulsionados pela GS1 podem ajudar a reduzir o desperdício, melhorar a sustentabilidade e a circularidade </w:t>
      </w:r>
      <w:r>
        <w:rPr>
          <w:rFonts w:ascii="Noto Sans" w:hAnsi="Noto Sans" w:cs="Noto Sans"/>
          <w:i/>
          <w:iCs/>
          <w:sz w:val="20"/>
          <w:szCs w:val="20"/>
          <w:lang w:val="pt-PT"/>
        </w:rPr>
        <w:t>-</w:t>
      </w:r>
      <w:r w:rsidRPr="00821F9C">
        <w:rPr>
          <w:rFonts w:ascii="Noto Sans" w:hAnsi="Noto Sans" w:cs="Noto Sans"/>
          <w:i/>
          <w:iCs/>
          <w:sz w:val="20"/>
          <w:szCs w:val="20"/>
          <w:lang w:val="pt-PT"/>
        </w:rPr>
        <w:t xml:space="preserve"> e estabelecer as bases para um futuro digitalizado.</w:t>
      </w:r>
    </w:p>
    <w:p w14:paraId="2109D105" w14:textId="77777777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>Pequenos Ganhos, Grande Impacto</w:t>
      </w:r>
    </w:p>
    <w:p w14:paraId="10A46D08" w14:textId="6D11FC88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>A indústria global da construção é um dos maiores setores do mundo, estimando-se que valha cerca de 13 tril</w:t>
      </w:r>
      <w:r>
        <w:rPr>
          <w:rFonts w:ascii="Noto Sans" w:hAnsi="Noto Sans" w:cs="Noto Sans"/>
          <w:sz w:val="20"/>
          <w:szCs w:val="20"/>
          <w:lang w:val="pt-PT"/>
        </w:rPr>
        <w:t>i</w:t>
      </w:r>
      <w:r w:rsidRPr="00821F9C">
        <w:rPr>
          <w:rFonts w:ascii="Noto Sans" w:hAnsi="Noto Sans" w:cs="Noto Sans"/>
          <w:sz w:val="20"/>
          <w:szCs w:val="20"/>
          <w:lang w:val="pt-PT"/>
        </w:rPr>
        <w:t>ões de dólares anualmente. Contribui significativamente para a economia global, representando uma p</w:t>
      </w:r>
      <w:r>
        <w:rPr>
          <w:rFonts w:ascii="Noto Sans" w:hAnsi="Noto Sans" w:cs="Noto Sans"/>
          <w:sz w:val="20"/>
          <w:szCs w:val="20"/>
          <w:lang w:val="pt-PT"/>
        </w:rPr>
        <w:t>e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rcentagem notável do PIB mundial, variando de </w:t>
      </w:r>
      <w:hyperlink r:id="rId9" w:anchor=":~:text=It%20employs%20more%20than%20100,depends%20on%20the%20built%20environment." w:history="1">
        <w:r w:rsidRPr="00743948">
          <w:rPr>
            <w:rStyle w:val="Hyperlink"/>
            <w:rFonts w:ascii="Noto Sans" w:hAnsi="Noto Sans" w:cs="Noto Sans"/>
            <w:sz w:val="20"/>
            <w:szCs w:val="20"/>
            <w:lang w:val="pt-PT"/>
          </w:rPr>
          <w:t>10% a 13%.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 No entanto, também é </w:t>
      </w:r>
      <w:hyperlink r:id="rId10" w:history="1">
        <w:r w:rsidRPr="00743948">
          <w:rPr>
            <w:rStyle w:val="Hyperlink"/>
            <w:rFonts w:ascii="Noto Sans" w:hAnsi="Noto Sans" w:cs="Noto Sans"/>
            <w:sz w:val="20"/>
            <w:szCs w:val="20"/>
            <w:lang w:val="pt-PT"/>
          </w:rPr>
          <w:t>uma das maiores contribuidoras de resíduos do mundo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, gerando cerca de um terço do total de resíduos e aproximadamente </w:t>
      </w:r>
      <w:hyperlink r:id="rId11" w:history="1">
        <w:r w:rsidRPr="00743948">
          <w:rPr>
            <w:rStyle w:val="Hyperlink"/>
            <w:rFonts w:ascii="Noto Sans" w:hAnsi="Noto Sans" w:cs="Noto Sans"/>
            <w:sz w:val="20"/>
            <w:szCs w:val="20"/>
            <w:lang w:val="pt-PT"/>
          </w:rPr>
          <w:t>40% das emissões globais de dióxido de carbono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 </w:t>
      </w:r>
      <w:r>
        <w:rPr>
          <w:rFonts w:ascii="Noto Sans" w:hAnsi="Noto Sans" w:cs="Noto Sans"/>
          <w:sz w:val="20"/>
          <w:szCs w:val="20"/>
          <w:lang w:val="pt-PT"/>
        </w:rPr>
        <w:t>-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em comparação com os </w:t>
      </w:r>
      <w:hyperlink r:id="rId12" w:history="1">
        <w:r w:rsidRPr="00743948">
          <w:rPr>
            <w:rStyle w:val="Hyperlink"/>
            <w:rFonts w:ascii="Noto Sans" w:hAnsi="Noto Sans" w:cs="Noto Sans"/>
            <w:sz w:val="20"/>
            <w:szCs w:val="20"/>
            <w:lang w:val="pt-PT"/>
          </w:rPr>
          <w:t>2-3% causados pela aviação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>.</w:t>
      </w:r>
    </w:p>
    <w:p w14:paraId="0EF798F0" w14:textId="033A9A5F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 xml:space="preserve">Portanto, não é surpreendente que o setor esteja sob crescente pressão para reduzir o desperdício. A </w:t>
      </w:r>
      <w:hyperlink r:id="rId13" w:history="1">
        <w:r w:rsidRPr="00743948">
          <w:rPr>
            <w:rStyle w:val="Hyperlink"/>
            <w:rFonts w:ascii="Noto Sans" w:hAnsi="Noto Sans" w:cs="Noto Sans"/>
            <w:sz w:val="20"/>
            <w:szCs w:val="20"/>
            <w:lang w:val="pt-PT"/>
          </w:rPr>
          <w:t>Diretiva de Resíduos da UE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 exige o estabelecimento de uma rede integrada de instalações de eliminação e recuperação de resíduos, permitindo que os Estados-Membros regulem os envios de resíduos para proteger suas redes e o meio ambiente. Nos EUA</w:t>
      </w:r>
      <w:hyperlink r:id="rId14" w:history="1">
        <w:r w:rsidRPr="009B78DB">
          <w:rPr>
            <w:rStyle w:val="Hyperlink"/>
            <w:rFonts w:ascii="Noto Sans" w:hAnsi="Noto Sans" w:cs="Noto Sans"/>
            <w:sz w:val="20"/>
            <w:szCs w:val="20"/>
            <w:lang w:val="pt-PT"/>
          </w:rPr>
          <w:t>, a Lei de Conservação e Recuperação de Recursos (RCRA)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 estabelece regras para a gestão de resíduos, incluindo detritos de construção e demolição, com a Agência de Proteção Ambiental dos Estados Unidos envolvida para materiais perigosos </w:t>
      </w:r>
      <w:r>
        <w:rPr>
          <w:rFonts w:ascii="Noto Sans" w:hAnsi="Noto Sans" w:cs="Noto Sans"/>
          <w:sz w:val="20"/>
          <w:szCs w:val="20"/>
          <w:lang w:val="pt-PT"/>
        </w:rPr>
        <w:t>-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enquanto a Nova Zelândia introduziu recentemente obrigações reforçadas sob a </w:t>
      </w:r>
      <w:hyperlink r:id="rId15" w:history="1">
        <w:r w:rsidRPr="009B78DB">
          <w:rPr>
            <w:rStyle w:val="Hyperlink"/>
            <w:rFonts w:ascii="Noto Sans" w:hAnsi="Noto Sans" w:cs="Noto Sans"/>
            <w:sz w:val="20"/>
            <w:szCs w:val="20"/>
            <w:lang w:val="pt-PT"/>
          </w:rPr>
          <w:t>Lei de Emenda de Produtos e Métodos de Construção, Componentes Modulares e Outros Assuntos de 2021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. </w:t>
      </w:r>
      <w:r>
        <w:rPr>
          <w:rFonts w:ascii="Noto Sans" w:hAnsi="Noto Sans" w:cs="Noto Sans"/>
          <w:sz w:val="20"/>
          <w:szCs w:val="20"/>
          <w:lang w:val="pt-PT"/>
        </w:rPr>
        <w:t xml:space="preserve">A </w:t>
      </w:r>
      <w:r w:rsidRPr="00821F9C">
        <w:rPr>
          <w:rFonts w:ascii="Noto Sans" w:hAnsi="Noto Sans" w:cs="Noto Sans"/>
          <w:sz w:val="20"/>
          <w:szCs w:val="20"/>
          <w:lang w:val="pt-PT"/>
        </w:rPr>
        <w:t>um nível mais global, os Objetivos de Desenvolvimento Sustentável da ONU incluem metas relacionadas ao consumo e produção sustentáveis, que podem influenciar as regulamentações nacionais sobre gestão de resíduos.</w:t>
      </w:r>
    </w:p>
    <w:p w14:paraId="4BB2D82C" w14:textId="2A940168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lastRenderedPageBreak/>
        <w:t>A escala dos esforços de redução de resíduos foi recentemente expressa por Dan O'Gorman, Engagement Consultant – Construction,</w:t>
      </w:r>
      <w:r>
        <w:rPr>
          <w:rFonts w:ascii="Noto Sans" w:hAnsi="Noto Sans" w:cs="Noto Sans"/>
          <w:sz w:val="20"/>
          <w:szCs w:val="20"/>
          <w:lang w:val="pt-PT"/>
        </w:rPr>
        <w:t xml:space="preserve"> da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GS1 Irlanda, no Fórum Global da GS1 em fevereiro de 2025, onde destacou o impacto significativo que mesmo uma pequena mudança percentual poderia ter: “Em uma indústria atualmente avaliada em €12 tril</w:t>
      </w:r>
      <w:r>
        <w:rPr>
          <w:rFonts w:ascii="Noto Sans" w:hAnsi="Noto Sans" w:cs="Noto Sans"/>
          <w:sz w:val="20"/>
          <w:szCs w:val="20"/>
          <w:lang w:val="pt-PT"/>
        </w:rPr>
        <w:t>i</w:t>
      </w:r>
      <w:r w:rsidRPr="00821F9C">
        <w:rPr>
          <w:rFonts w:ascii="Noto Sans" w:hAnsi="Noto Sans" w:cs="Noto Sans"/>
          <w:sz w:val="20"/>
          <w:szCs w:val="20"/>
          <w:lang w:val="pt-PT"/>
        </w:rPr>
        <w:t>ões, mesmo uma melhoria de 1% na produtividade poderia gerar aproximadamente €120 bilhões em economias, equivalente a 480.000 novas casas.”</w:t>
      </w:r>
    </w:p>
    <w:p w14:paraId="271BF78A" w14:textId="77777777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>Em outros termos, tal economia poderia financiar 6.000-8.000 escolas em países em desenvolvimento; fornecer abrigo básico para mais de 100 milhões de pessoas para enfrentar crises habitacionais urgentes; ou compensar o custo de transição para materiais sustentáveis para atender às metas de construção do Acordo Verde da UE.</w:t>
      </w:r>
    </w:p>
    <w:p w14:paraId="76F41DA8" w14:textId="752FE3D4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>No entanto, permanecem barreiras. Além da conscien</w:t>
      </w:r>
      <w:r>
        <w:rPr>
          <w:rFonts w:ascii="Noto Sans" w:hAnsi="Noto Sans" w:cs="Noto Sans"/>
          <w:sz w:val="20"/>
          <w:szCs w:val="20"/>
          <w:lang w:val="pt-PT"/>
        </w:rPr>
        <w:t>ciali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zação e barreiras culturais organizacionais, os desafios </w:t>
      </w:r>
      <w:r>
        <w:rPr>
          <w:rFonts w:ascii="Noto Sans" w:hAnsi="Noto Sans" w:cs="Noto Sans"/>
          <w:sz w:val="20"/>
          <w:szCs w:val="20"/>
          <w:lang w:val="pt-PT"/>
        </w:rPr>
        <w:t>habitualmente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citados incluem infraestrutura inadequada, falta de padronização (tanto de dados quanto de processos) e a complexidade e fragmentação dentro da indústria.</w:t>
      </w:r>
    </w:p>
    <w:p w14:paraId="0E229C89" w14:textId="48D66F86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 xml:space="preserve">É aqui que os códigos 2D impulsionados pela GS1 podem ser </w:t>
      </w:r>
      <w:r>
        <w:rPr>
          <w:rFonts w:ascii="Noto Sans" w:hAnsi="Noto Sans" w:cs="Noto Sans"/>
          <w:sz w:val="20"/>
          <w:szCs w:val="20"/>
          <w:lang w:val="pt-PT"/>
        </w:rPr>
        <w:t>-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e já provaram ser em outros lugares </w:t>
      </w:r>
      <w:r>
        <w:rPr>
          <w:rFonts w:ascii="Noto Sans" w:hAnsi="Noto Sans" w:cs="Noto Sans"/>
          <w:sz w:val="20"/>
          <w:szCs w:val="20"/>
          <w:lang w:val="pt-PT"/>
        </w:rPr>
        <w:t>-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transformadores. As indústrias globais de ciências da vida e de alimentos e bebidas, nos últimos anos, colheram os benefícios da adoção de códigos 2D, incluindo melhor rastreabilidade ao longo de cadeias de </w:t>
      </w:r>
      <w:r>
        <w:rPr>
          <w:rFonts w:ascii="Noto Sans" w:hAnsi="Noto Sans" w:cs="Noto Sans"/>
          <w:sz w:val="20"/>
          <w:szCs w:val="20"/>
          <w:lang w:val="pt-PT"/>
        </w:rPr>
        <w:t>abastecimento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complexas, melhor gestão de dados e inventário, conformidade regulatória aprimorada, recalls mais rápidos e precisos e redução de resíduos.</w:t>
      </w:r>
    </w:p>
    <w:p w14:paraId="60DBF9D3" w14:textId="655407C5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 xml:space="preserve">Então, como </w:t>
      </w:r>
      <w:r>
        <w:rPr>
          <w:rFonts w:ascii="Noto Sans" w:hAnsi="Noto Sans" w:cs="Noto Sans"/>
          <w:b/>
          <w:bCs/>
          <w:sz w:val="20"/>
          <w:szCs w:val="20"/>
          <w:lang w:val="pt-PT"/>
        </w:rPr>
        <w:t xml:space="preserve">pode a </w:t>
      </w: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 xml:space="preserve">indústria global da construção beneficiar </w:t>
      </w:r>
      <w:r>
        <w:rPr>
          <w:rFonts w:ascii="Noto Sans" w:hAnsi="Noto Sans" w:cs="Noto Sans"/>
          <w:b/>
          <w:bCs/>
          <w:sz w:val="20"/>
          <w:szCs w:val="20"/>
          <w:lang w:val="pt-PT"/>
        </w:rPr>
        <w:t>se i</w:t>
      </w: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>mplementa</w:t>
      </w:r>
      <w:r>
        <w:rPr>
          <w:rFonts w:ascii="Noto Sans" w:hAnsi="Noto Sans" w:cs="Noto Sans"/>
          <w:b/>
          <w:bCs/>
          <w:sz w:val="20"/>
          <w:szCs w:val="20"/>
          <w:lang w:val="pt-PT"/>
        </w:rPr>
        <w:t>r</w:t>
      </w: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 xml:space="preserve"> códigos 2D em materiais de construção?</w:t>
      </w:r>
    </w:p>
    <w:p w14:paraId="720C0D7C" w14:textId="77777777" w:rsidR="00821F9C" w:rsidRPr="00821F9C" w:rsidRDefault="00821F9C" w:rsidP="00821F9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>Gestão de resíduos através da rastreabilidade</w:t>
      </w:r>
    </w:p>
    <w:p w14:paraId="536E3539" w14:textId="0A9009DE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>D</w:t>
      </w:r>
      <w:r>
        <w:rPr>
          <w:rFonts w:ascii="Noto Sans" w:hAnsi="Noto Sans" w:cs="Noto Sans"/>
          <w:sz w:val="20"/>
          <w:szCs w:val="20"/>
          <w:lang w:val="pt-PT"/>
        </w:rPr>
        <w:t>evid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o </w:t>
      </w:r>
      <w:r>
        <w:rPr>
          <w:rFonts w:ascii="Noto Sans" w:hAnsi="Noto Sans" w:cs="Noto Sans"/>
          <w:sz w:val="20"/>
          <w:szCs w:val="20"/>
          <w:lang w:val="pt-PT"/>
        </w:rPr>
        <w:t xml:space="preserve">aos </w:t>
      </w:r>
      <w:r w:rsidRPr="00821F9C">
        <w:rPr>
          <w:rFonts w:ascii="Noto Sans" w:hAnsi="Noto Sans" w:cs="Noto Sans"/>
          <w:sz w:val="20"/>
          <w:szCs w:val="20"/>
          <w:lang w:val="pt-PT"/>
        </w:rPr>
        <w:t>seus processos manuais atuais, a indústria carece de uma visão clara das causas raízes do desperdício, com uma estimativa de 61-62% dos materiais não rastreados, segundo o Departamento de Meio Ambiente, Alimentação e Assuntos Rurais (</w:t>
      </w:r>
      <w:hyperlink r:id="rId16" w:anchor="total-waste-generation-and-final-treatment-of-all-waste" w:history="1">
        <w:r w:rsidRPr="009B78DB">
          <w:rPr>
            <w:rStyle w:val="Hyperlink"/>
            <w:rFonts w:ascii="Noto Sans" w:hAnsi="Noto Sans" w:cs="Noto Sans"/>
            <w:sz w:val="20"/>
            <w:szCs w:val="20"/>
            <w:lang w:val="pt-PT"/>
          </w:rPr>
          <w:t>Defra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). O Conselho Mundial de Construção Verde também destaca que uma significativa “13% dos materiais entregues a um </w:t>
      </w:r>
      <w:r>
        <w:rPr>
          <w:rFonts w:ascii="Noto Sans" w:hAnsi="Noto Sans" w:cs="Noto Sans"/>
          <w:sz w:val="20"/>
          <w:szCs w:val="20"/>
          <w:lang w:val="pt-PT"/>
        </w:rPr>
        <w:t xml:space="preserve">local 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de obra acabam enviados </w:t>
      </w:r>
      <w:hyperlink r:id="rId17" w:history="1">
        <w:r w:rsidRPr="009B78DB">
          <w:rPr>
            <w:rStyle w:val="Hyperlink"/>
            <w:rFonts w:ascii="Noto Sans" w:hAnsi="Noto Sans" w:cs="Noto Sans"/>
            <w:sz w:val="20"/>
            <w:szCs w:val="20"/>
            <w:lang w:val="pt-PT"/>
          </w:rPr>
          <w:t>diretamente para aterros sanitários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 sem terem sido usados”.</w:t>
      </w:r>
    </w:p>
    <w:p w14:paraId="45FCAA31" w14:textId="7605E99D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 xml:space="preserve">A introdução de códigos 2D em materiais e produtos de construção facilita a substituição desses processos manuais, proporcionando maior visibilidade dos produtos à medida que se movem pelas cadeias de </w:t>
      </w:r>
      <w:r>
        <w:rPr>
          <w:rFonts w:ascii="Noto Sans" w:hAnsi="Noto Sans" w:cs="Noto Sans"/>
          <w:sz w:val="20"/>
          <w:szCs w:val="20"/>
          <w:lang w:val="pt-PT"/>
        </w:rPr>
        <w:t>abastecimento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e permitindo que organizações distribuídas identifiquem ineficiências, reduzam o uso excessivo de materiais e pedidos excessivos ou repetidos, além de permitir devoluções eficientes. Reduzir o desperdício de materiais dessa forma também diminui a extração de recursos e o consumo de energia, apoiando diretamente as metas de sustentabilidade enquanto impulsiona ganhos de produtividade.</w:t>
      </w:r>
    </w:p>
    <w:p w14:paraId="0919F584" w14:textId="0DA37793" w:rsidR="00821F9C" w:rsidRPr="00821F9C" w:rsidRDefault="00821F9C" w:rsidP="00821F9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>
        <w:rPr>
          <w:rFonts w:ascii="Noto Sans" w:hAnsi="Noto Sans" w:cs="Noto Sans"/>
          <w:b/>
          <w:bCs/>
          <w:sz w:val="20"/>
          <w:szCs w:val="20"/>
          <w:lang w:val="pt-PT"/>
        </w:rPr>
        <w:lastRenderedPageBreak/>
        <w:t>Possibilitar</w:t>
      </w: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 xml:space="preserve"> uma economia circular</w:t>
      </w:r>
    </w:p>
    <w:p w14:paraId="43EC8904" w14:textId="3235285A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 xml:space="preserve">Um panorama de dados fragmentado aumenta os custos e limita a eficácia dos esforços de reciclagem. </w:t>
      </w:r>
      <w:hyperlink r:id="rId18" w:anchor=":~:text=A%20GS1%20Digital%20Link%20enabled,the%20way%20to%20the%20consumer." w:history="1">
        <w:r w:rsidRPr="009B78DB">
          <w:rPr>
            <w:rStyle w:val="Hyperlink"/>
            <w:rFonts w:ascii="Noto Sans" w:hAnsi="Noto Sans" w:cs="Noto Sans"/>
            <w:sz w:val="20"/>
            <w:szCs w:val="20"/>
            <w:lang w:val="pt-PT"/>
          </w:rPr>
          <w:t>Os códigos 2D impulsionados pela GS1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 podem ajudar a garantir que os materiais sejam devidamente identificados e rastreados ao longo de seu ciclo de vida, apoiando a conformidade com regulamentações de sustentabilidade e os princípios da economia circular.</w:t>
      </w:r>
    </w:p>
    <w:p w14:paraId="645143E7" w14:textId="563492D0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 xml:space="preserve">A visibilidade aprimorada no uso de materiais também permite uma melhor recuperação de recursos, reduzindo o impacto ambiental de uma organização enquanto melhora a eficiência operacional. Além disso, a digitalização alinha-se com iniciativas regulatórias como o </w:t>
      </w:r>
      <w:hyperlink r:id="rId19" w:history="1">
        <w:r w:rsidRPr="009B78DB">
          <w:rPr>
            <w:rStyle w:val="Hyperlink"/>
            <w:rFonts w:ascii="Noto Sans" w:hAnsi="Noto Sans" w:cs="Noto Sans"/>
            <w:sz w:val="20"/>
            <w:szCs w:val="20"/>
            <w:lang w:val="pt-PT"/>
          </w:rPr>
          <w:t>Passaporte Digital de Produto (DPP)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 e o </w:t>
      </w:r>
      <w:hyperlink r:id="rId20" w:anchor=":~:text=Overview,can%20significantly%20impact%20the%20environment." w:history="1">
        <w:r w:rsidRPr="009B78DB">
          <w:rPr>
            <w:rStyle w:val="Hyperlink"/>
            <w:rFonts w:ascii="Noto Sans" w:hAnsi="Noto Sans" w:cs="Noto Sans"/>
            <w:sz w:val="20"/>
            <w:szCs w:val="20"/>
            <w:lang w:val="pt-PT"/>
          </w:rPr>
          <w:t>Regulamento de Ecodesign para Produtos Sustentáveis da UE (EUSPR)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>, permitindo que as empresas atendam aos requisitos de conformidade por meio de reciclagem eficaz e avancem em suas próprias metas de sustentabilidade.</w:t>
      </w:r>
    </w:p>
    <w:p w14:paraId="1CA6F2E0" w14:textId="589B2659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>Pesquisas acad</w:t>
      </w:r>
      <w:r>
        <w:rPr>
          <w:rFonts w:ascii="Noto Sans" w:hAnsi="Noto Sans" w:cs="Noto Sans"/>
          <w:sz w:val="20"/>
          <w:szCs w:val="20"/>
          <w:lang w:val="pt-PT"/>
        </w:rPr>
        <w:t>é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micas independentes validaram a eficiência e usabilidade dos </w:t>
      </w:r>
      <w:hyperlink r:id="rId21" w:history="1">
        <w:r w:rsidRPr="009B78DB">
          <w:rPr>
            <w:rStyle w:val="Hyperlink"/>
            <w:rFonts w:ascii="Noto Sans" w:hAnsi="Noto Sans" w:cs="Noto Sans"/>
            <w:sz w:val="20"/>
            <w:szCs w:val="20"/>
            <w:lang w:val="pt-PT"/>
          </w:rPr>
          <w:t>códigos QR como um meio de transporte de dados para as cadeias de abastecimento de construção</w:t>
        </w:r>
      </w:hyperlink>
      <w:r w:rsidRPr="00821F9C">
        <w:rPr>
          <w:rFonts w:ascii="Noto Sans" w:hAnsi="Noto Sans" w:cs="Noto Sans"/>
          <w:sz w:val="20"/>
          <w:szCs w:val="20"/>
          <w:lang w:val="pt-PT"/>
        </w:rPr>
        <w:t xml:space="preserve"> circular em comparação com outras soluções de marketing direto de produtos, como códigos numéricos estáticos, reforçando ainda mais a aplicabilidade dessa tecnologia para mudanças sustentáveis de longo prazo.</w:t>
      </w:r>
    </w:p>
    <w:p w14:paraId="4BC03BD0" w14:textId="328D2079" w:rsidR="00821F9C" w:rsidRPr="00821F9C" w:rsidRDefault="00821F9C" w:rsidP="00821F9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 xml:space="preserve">“Comece com o </w:t>
      </w:r>
      <w:r>
        <w:rPr>
          <w:rFonts w:ascii="Noto Sans" w:hAnsi="Noto Sans" w:cs="Noto Sans"/>
          <w:b/>
          <w:bCs/>
          <w:sz w:val="20"/>
          <w:szCs w:val="20"/>
          <w:lang w:val="pt-PT"/>
        </w:rPr>
        <w:t>‘</w:t>
      </w: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>fim</w:t>
      </w:r>
      <w:r>
        <w:rPr>
          <w:rFonts w:ascii="Noto Sans" w:hAnsi="Noto Sans" w:cs="Noto Sans"/>
          <w:b/>
          <w:bCs/>
          <w:sz w:val="20"/>
          <w:szCs w:val="20"/>
          <w:lang w:val="pt-PT"/>
        </w:rPr>
        <w:t>’</w:t>
      </w: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 xml:space="preserve"> em mente”</w:t>
      </w:r>
    </w:p>
    <w:p w14:paraId="28C37C7F" w14:textId="13B3876F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 xml:space="preserve">No Fórum Global da GS1 no início deste ano, Dan O'Gorman enfatizou os benefícios que a digitalização agora poderia trazer anos depois, onde os padrões da GS1 podem facilitar a consistência e acessibilidade dos dados de materiais em toda a cadeia de </w:t>
      </w:r>
      <w:r>
        <w:rPr>
          <w:rFonts w:ascii="Noto Sans" w:hAnsi="Noto Sans" w:cs="Noto Sans"/>
          <w:sz w:val="20"/>
          <w:szCs w:val="20"/>
          <w:lang w:val="pt-PT"/>
        </w:rPr>
        <w:t>abastecimento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, muito além da rastreabilidade e </w:t>
      </w:r>
      <w:r>
        <w:rPr>
          <w:rFonts w:ascii="Noto Sans" w:hAnsi="Noto Sans" w:cs="Noto Sans"/>
          <w:sz w:val="20"/>
          <w:szCs w:val="20"/>
          <w:lang w:val="pt-PT"/>
        </w:rPr>
        <w:t>partilha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de informações durante a fase de construção.</w:t>
      </w:r>
    </w:p>
    <w:p w14:paraId="6E8BD71F" w14:textId="046071BD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>
        <w:rPr>
          <w:rFonts w:ascii="Noto Sans" w:hAnsi="Noto Sans" w:cs="Noto Sans"/>
          <w:sz w:val="20"/>
          <w:szCs w:val="20"/>
          <w:lang w:val="pt-PT"/>
        </w:rPr>
        <w:t>Os c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ódigos 2D habilitados para </w:t>
      </w:r>
      <w:r w:rsidR="007C3499">
        <w:rPr>
          <w:rFonts w:ascii="Noto Sans" w:hAnsi="Noto Sans" w:cs="Noto Sans"/>
          <w:sz w:val="20"/>
          <w:szCs w:val="20"/>
          <w:lang w:val="pt-PT"/>
        </w:rPr>
        <w:t xml:space="preserve">os </w:t>
      </w:r>
      <w:r w:rsidRPr="00821F9C">
        <w:rPr>
          <w:rFonts w:ascii="Noto Sans" w:hAnsi="Noto Sans" w:cs="Noto Sans"/>
          <w:sz w:val="20"/>
          <w:szCs w:val="20"/>
          <w:lang w:val="pt-PT"/>
        </w:rPr>
        <w:t>padrões GS1 oferecem um potencial significativo para incorporar modelos inteiros de informações, com g</w:t>
      </w:r>
      <w:r w:rsidR="007C3499">
        <w:rPr>
          <w:rFonts w:ascii="Noto Sans" w:hAnsi="Noto Sans" w:cs="Noto Sans"/>
          <w:sz w:val="20"/>
          <w:szCs w:val="20"/>
          <w:lang w:val="pt-PT"/>
        </w:rPr>
        <w:t>é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meos digitais vivos de projetos de construção que podem atuar como plantas de desconstrução, apoiando a meta da indústria de um ciclo de vida totalmente sustentável </w:t>
      </w:r>
      <w:r w:rsidR="007C3499">
        <w:rPr>
          <w:rFonts w:ascii="Noto Sans" w:hAnsi="Noto Sans" w:cs="Noto Sans"/>
          <w:sz w:val="20"/>
          <w:szCs w:val="20"/>
          <w:lang w:val="pt-PT"/>
        </w:rPr>
        <w:t>-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da construção à demolição </w:t>
      </w:r>
      <w:r w:rsidR="007C3499">
        <w:rPr>
          <w:rFonts w:ascii="Noto Sans" w:hAnsi="Noto Sans" w:cs="Noto Sans"/>
          <w:sz w:val="20"/>
          <w:szCs w:val="20"/>
          <w:lang w:val="pt-PT"/>
        </w:rPr>
        <w:t>-</w:t>
      </w:r>
      <w:r w:rsidRPr="00821F9C">
        <w:rPr>
          <w:rFonts w:ascii="Noto Sans" w:hAnsi="Noto Sans" w:cs="Noto Sans"/>
          <w:sz w:val="20"/>
          <w:szCs w:val="20"/>
          <w:lang w:val="pt-PT"/>
        </w:rPr>
        <w:t xml:space="preserve"> permitindo a reutilização eficiente de materiais e estabelecendo as bases para uma indústria da construção projetada em torno da circularidade e eficiência de recursos a longo prazo.</w:t>
      </w:r>
    </w:p>
    <w:p w14:paraId="05C8A8F1" w14:textId="77777777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b/>
          <w:bCs/>
          <w:sz w:val="20"/>
          <w:szCs w:val="20"/>
          <w:lang w:val="pt-PT"/>
        </w:rPr>
        <w:t>Conclusão</w:t>
      </w:r>
    </w:p>
    <w:p w14:paraId="7E05CF95" w14:textId="77777777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>À medida que a indústria global da construção enfrenta uma pressão regulatória crescente para reduzir o desperdício e melhorar a eficiência e a sustentabilidade, os códigos 2D impulsionados pela GS1 oferecem um mecanismo poderoso para superar a fragmentação de dados e processos dentro de um ecossistema grande e altamente complexo.</w:t>
      </w:r>
    </w:p>
    <w:p w14:paraId="3FF98383" w14:textId="78F6F864" w:rsidR="00821F9C" w:rsidRP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 xml:space="preserve">Além disso, as organizações que operam neste setor podem aproveitar as lições aprendidas de outras indústrias e os parceiros tecnológicos que apoiaram seus processos de adoção e integração: aquelas empresas que investiram em códigos 2D colheram benefícios que se </w:t>
      </w:r>
      <w:r w:rsidRPr="00821F9C">
        <w:rPr>
          <w:rFonts w:ascii="Noto Sans" w:hAnsi="Noto Sans" w:cs="Noto Sans"/>
          <w:sz w:val="20"/>
          <w:szCs w:val="20"/>
          <w:lang w:val="pt-PT"/>
        </w:rPr>
        <w:lastRenderedPageBreak/>
        <w:t xml:space="preserve">estenderam além da redução de resíduos e rastreabilidade, incluindo aumento da eficiência operacional, melhoria da rentabilidade e melhor perceção das </w:t>
      </w:r>
      <w:r w:rsidR="007C3499">
        <w:rPr>
          <w:rFonts w:ascii="Noto Sans" w:hAnsi="Noto Sans" w:cs="Noto Sans"/>
          <w:sz w:val="20"/>
          <w:szCs w:val="20"/>
          <w:lang w:val="pt-PT"/>
        </w:rPr>
        <w:t xml:space="preserve">várias </w:t>
      </w:r>
      <w:r w:rsidRPr="00821F9C">
        <w:rPr>
          <w:rFonts w:ascii="Noto Sans" w:hAnsi="Noto Sans" w:cs="Noto Sans"/>
          <w:sz w:val="20"/>
          <w:szCs w:val="20"/>
          <w:lang w:val="pt-PT"/>
        </w:rPr>
        <w:t>partes interessadas.</w:t>
      </w:r>
    </w:p>
    <w:p w14:paraId="62370025" w14:textId="77777777" w:rsidR="00821F9C" w:rsidRDefault="00821F9C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 w:rsidRPr="00821F9C">
        <w:rPr>
          <w:rFonts w:ascii="Noto Sans" w:hAnsi="Noto Sans" w:cs="Noto Sans"/>
          <w:sz w:val="20"/>
          <w:szCs w:val="20"/>
          <w:lang w:val="pt-PT"/>
        </w:rPr>
        <w:t>Com a tecnologia comprovada na prática e os benefícios que mesmo uma melhoria percentual incremental pode trazer, agora é o momento de começar a construir a indústria da construção do futuro.</w:t>
      </w:r>
    </w:p>
    <w:p w14:paraId="5528248F" w14:textId="42C15064" w:rsidR="00FF2909" w:rsidRPr="00821F9C" w:rsidRDefault="00FF2909" w:rsidP="00821F9C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  <w:r>
        <w:rPr>
          <w:rFonts w:ascii="Noto Sans" w:hAnsi="Noto Sans" w:cs="Noto Sans"/>
          <w:sz w:val="20"/>
          <w:szCs w:val="20"/>
          <w:lang w:val="pt-PT"/>
        </w:rPr>
        <w:t>&lt;</w:t>
      </w:r>
      <w:r w:rsidRPr="00FF2909">
        <w:rPr>
          <w:rFonts w:ascii="Noto Sans" w:hAnsi="Noto Sans" w:cs="Noto Sans"/>
          <w:b/>
          <w:bCs/>
          <w:sz w:val="20"/>
          <w:szCs w:val="20"/>
          <w:lang w:val="pt-PT"/>
        </w:rPr>
        <w:t>FIM</w:t>
      </w:r>
      <w:r>
        <w:rPr>
          <w:rFonts w:ascii="Noto Sans" w:hAnsi="Noto Sans" w:cs="Noto Sans"/>
          <w:sz w:val="20"/>
          <w:szCs w:val="20"/>
          <w:lang w:val="pt-PT"/>
        </w:rPr>
        <w:t>&gt;</w:t>
      </w:r>
    </w:p>
    <w:p w14:paraId="7A8C8A24" w14:textId="77777777" w:rsidR="00335F47" w:rsidRPr="00335F47" w:rsidRDefault="00335F47" w:rsidP="00335F47">
      <w:pPr>
        <w:spacing w:after="0" w:line="240" w:lineRule="auto"/>
        <w:rPr>
          <w:rFonts w:ascii="Noto Sans" w:eastAsia="Calibri" w:hAnsi="Noto Sans" w:cs="Noto Sans"/>
          <w:sz w:val="20"/>
          <w:szCs w:val="20"/>
          <w:lang w:val="es-ES"/>
        </w:rPr>
      </w:pPr>
      <w:bookmarkStart w:id="0" w:name="_Hlk531088985"/>
      <w:bookmarkStart w:id="1" w:name="_Hlk61949672"/>
      <w:r w:rsidRPr="00335F47">
        <w:rPr>
          <w:rFonts w:ascii="Noto Sans" w:eastAsia="Calibri" w:hAnsi="Noto Sans" w:cs="Noto Sans"/>
          <w:b/>
          <w:bCs/>
          <w:sz w:val="20"/>
          <w:szCs w:val="20"/>
          <w:lang w:val="pt"/>
        </w:rPr>
        <w:t>Isenção de responsabilidade</w:t>
      </w:r>
      <w:bookmarkEnd w:id="0"/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b/>
          <w:bCs/>
          <w:sz w:val="20"/>
          <w:szCs w:val="20"/>
          <w:lang w:val="pt"/>
        </w:rPr>
        <w:t>Tintas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 xml:space="preserve">As informações que se encontram no presente documento não devem substituir a realização dos testes adequados às suas circunstâncias e usos específicos. A Domino Portugal – Tecnologias de Codificação, S.A. e as empresas do grupo Domino não serão, de forma alguma, responsáveis por qualquer tipo de confiança depositada neste documento em relação à adequação de qualquer uma das nossas tintas à sua aplicação em particular. O presente documento não faz parte de quaisquer termos e condições celebrados entre si e a Domino Portugal. Exclusões de responsabilidade v.1.0 Fevereiro 2018. Os Termos e Condições de venda da Domino, em particular as garantias e responsabilidades presentes nos mesmos, dever-se-ão aplicar a qualquer uma das suas compras de produtos. 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b/>
          <w:bCs/>
          <w:sz w:val="20"/>
          <w:szCs w:val="20"/>
          <w:lang w:val="pt"/>
        </w:rPr>
        <w:t>Geral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 xml:space="preserve">As informações constantes no presente comunicado de imprensa são consideradas verdadeiras e corretas à data da publicação pela Domino. Qualquer alteração verificada após a data da publicação pode afetar a exatidão destas informações. Todos os valores em termos de desempenho e alegações citados no presente documento foram obtidos sob condições específicas e apenas poderão ser repetidos sob condições semelhantes. Para obter detalhes específicos do produto, deve entrar em contacto com o seu Account Manager da Domino Portugal. O presente documento não faz parte de quaisquer termos e condições celebrados entre si e a Domino Portugal. 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b/>
          <w:bCs/>
          <w:sz w:val="20"/>
          <w:szCs w:val="20"/>
          <w:lang w:val="pt"/>
        </w:rPr>
        <w:t>Imagens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 xml:space="preserve">As imagens podem incluir melhorias ou extras opcionais. A qualidade de impressão pode variar de acordo com os consumíveis, o equipamento, a superfície e outros fatores. As imagens e fotografias não fazem parte de quaisquer termos e condições celebrados entre si e a Domino Portugal. 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b/>
          <w:bCs/>
          <w:sz w:val="20"/>
          <w:szCs w:val="20"/>
          <w:lang w:val="pt"/>
        </w:rPr>
        <w:t>Vídeos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>Este vídeo é apenas ilustrativo e pode incluir extras opcionais. Os valores relativos ao desempenho foram obtidos sob condições específicas; o desempenho individual pode variar. Os erros e as paragens das linhas de produção podem ser inevitáveis. Nada do que se encontra neste vídeo faz parte de qualquer contrato celebrado entre si e a Domino Portugal.</w:t>
      </w:r>
      <w:r w:rsidRPr="00335F47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335F47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335F47">
        <w:rPr>
          <w:rFonts w:ascii="Noto Sans" w:eastAsia="Gill Sans" w:hAnsi="Noto Sans" w:cs="Noto Sans"/>
          <w:b/>
          <w:bCs/>
          <w:sz w:val="20"/>
          <w:szCs w:val="20"/>
          <w:lang w:val="pt-PT"/>
        </w:rPr>
        <w:t>Notas para os editores:</w:t>
      </w:r>
      <w:r w:rsidRPr="00335F47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335F47">
        <w:rPr>
          <w:rFonts w:ascii="Noto Sans" w:eastAsia="Gill Sans" w:hAnsi="Noto Sans" w:cs="Noto Sans"/>
          <w:sz w:val="20"/>
          <w:szCs w:val="20"/>
          <w:lang w:val="es-ES"/>
        </w:rPr>
        <w:lastRenderedPageBreak/>
        <w:br/>
      </w:r>
      <w:r w:rsidRPr="00335F47">
        <w:rPr>
          <w:rFonts w:ascii="Noto Sans" w:eastAsia="Calibri" w:hAnsi="Noto Sans" w:cs="Noto Sans"/>
          <w:b/>
          <w:bCs/>
          <w:color w:val="000000" w:themeColor="text1"/>
          <w:sz w:val="20"/>
          <w:szCs w:val="20"/>
          <w:lang w:val="pt"/>
        </w:rPr>
        <w:t>Acerca da Domino</w:t>
      </w:r>
    </w:p>
    <w:p w14:paraId="7C9C8D32" w14:textId="77777777" w:rsidR="00335F47" w:rsidRPr="00335F47" w:rsidRDefault="00335F47" w:rsidP="00335F47">
      <w:pPr>
        <w:spacing w:line="240" w:lineRule="auto"/>
        <w:rPr>
          <w:rFonts w:ascii="Noto Sans" w:eastAsia="Calibri" w:hAnsi="Noto Sans" w:cs="Noto Sans"/>
          <w:color w:val="0D0D0D" w:themeColor="text1" w:themeTint="F2"/>
          <w:sz w:val="20"/>
          <w:szCs w:val="20"/>
          <w:lang w:val="pt-PT"/>
        </w:rPr>
      </w:pPr>
      <w:r w:rsidRPr="00335F47">
        <w:rPr>
          <w:rFonts w:ascii="Noto Sans" w:eastAsia="Calibri" w:hAnsi="Noto Sans" w:cs="Noto Sans"/>
          <w:sz w:val="20"/>
          <w:szCs w:val="20"/>
          <w:lang w:val="pt"/>
        </w:rPr>
        <w:t xml:space="preserve">Desde 1978, a Domino Printing Sciences (Domino) estabeleceu uma reputação global relativamente ao desenvolvimento e fabrico de tecnologias de codificação, marcação e impressão, revelando um idêntico prestígio nos seus produtos de pós-venda e de apoio ao cliente a nível mundial. Atualmente, a Domino oferece uma das mais abrangentes gamas de soluções de codificação, desenvolvidas com o objetivo de satisfazer os requisitos de conformidade e produtividade dos fabricantes em inúmeros setores, incluindo bebidas, produtos alimentares, farmacêuticos e industriais. As principais tecnologias da empresa incluem sistemas inovadores de impressão a jato de tinta, impressão a laser, impressão e aplicação, e impressão por transferência térmica desenvolvidos para a aplicação de dados variáveis, códigos de barras e códigos de rastreabilidade exclusivos em produtos e embalagens. 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>A Domino emprega mais de 3 000 pessoas em todo o mundo e comercializa para mais de 120 países através de uma rede global de 29 filiais e mais de 200 distribuidores. As instalações de fabrico da Domino localizam-se na Alemanha, China, EUA, Índia, Reino Unido, Suécia e Suíça.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 xml:space="preserve">A Domino tornou-se uma divisão independente da Brother Industries Ltd. a 11 de junho de 2015. 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>Para obter mais informações sobre a Domino,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 xml:space="preserve">visite </w:t>
      </w:r>
      <w:hyperlink r:id="rId22" w:history="1">
        <w:r w:rsidRPr="00335F47">
          <w:rPr>
            <w:rFonts w:ascii="Noto Sans" w:eastAsia="Calibri" w:hAnsi="Noto Sans" w:cs="Noto Sans"/>
            <w:color w:val="0000FF"/>
            <w:sz w:val="20"/>
            <w:szCs w:val="20"/>
            <w:u w:val="single"/>
            <w:lang w:val="pt"/>
          </w:rPr>
          <w:t>www.domino-printing.com</w:t>
        </w:r>
      </w:hyperlink>
      <w:r w:rsidRPr="00335F47">
        <w:rPr>
          <w:rFonts w:ascii="Noto Sans" w:eastAsia="Calibri" w:hAnsi="Noto Sans" w:cs="Noto Sans"/>
          <w:sz w:val="20"/>
          <w:szCs w:val="20"/>
          <w:lang w:val="pt"/>
        </w:rPr>
        <w:t xml:space="preserve"> 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b/>
          <w:bCs/>
          <w:sz w:val="20"/>
          <w:szCs w:val="20"/>
          <w:lang w:val="pt"/>
        </w:rPr>
        <w:t>Deverá contactar: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 xml:space="preserve">Alex Challinor 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 xml:space="preserve">PR and Content Manager 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 xml:space="preserve">Domino Printing Sciences 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  <w:t>Tel.: +44 (0) 1954 778 780</w:t>
      </w:r>
      <w:r w:rsidRPr="00335F47">
        <w:rPr>
          <w:rFonts w:ascii="Noto Sans" w:eastAsia="Calibri" w:hAnsi="Noto Sans" w:cs="Noto Sans"/>
          <w:sz w:val="20"/>
          <w:szCs w:val="20"/>
          <w:lang w:val="pt"/>
        </w:rPr>
        <w:br/>
      </w:r>
      <w:hyperlink r:id="rId23" w:history="1">
        <w:r w:rsidRPr="00335F47">
          <w:rPr>
            <w:rFonts w:ascii="Noto Sans" w:eastAsia="Calibri" w:hAnsi="Noto Sans" w:cs="Noto Sans"/>
            <w:color w:val="0000FF"/>
            <w:sz w:val="20"/>
            <w:szCs w:val="20"/>
            <w:u w:val="single"/>
            <w:lang w:val="pt"/>
          </w:rPr>
          <w:t>Alex.Challinor@domino-uk.com</w:t>
        </w:r>
      </w:hyperlink>
    </w:p>
    <w:p w14:paraId="1CE1BCC4" w14:textId="77777777" w:rsidR="00335F47" w:rsidRPr="00335F47" w:rsidRDefault="00335F47" w:rsidP="00335F47">
      <w:pPr>
        <w:spacing w:line="240" w:lineRule="auto"/>
        <w:rPr>
          <w:rFonts w:ascii="Noto Sans" w:hAnsi="Noto Sans" w:cs="Noto Sans"/>
          <w:color w:val="0D0D0D" w:themeColor="text1" w:themeTint="F2"/>
          <w:sz w:val="20"/>
          <w:szCs w:val="20"/>
          <w:lang w:val="pt"/>
        </w:rPr>
      </w:pPr>
    </w:p>
    <w:bookmarkEnd w:id="1"/>
    <w:p w14:paraId="7BDD813C" w14:textId="77777777" w:rsidR="00821F9C" w:rsidRPr="00335F47" w:rsidRDefault="00821F9C" w:rsidP="00852F03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"/>
        </w:rPr>
      </w:pPr>
    </w:p>
    <w:p w14:paraId="6BF91A0C" w14:textId="77777777" w:rsidR="00821F9C" w:rsidRPr="00821F9C" w:rsidRDefault="00821F9C" w:rsidP="00852F03">
      <w:pPr>
        <w:autoSpaceDE w:val="0"/>
        <w:autoSpaceDN w:val="0"/>
        <w:adjustRightInd w:val="0"/>
        <w:spacing w:line="276" w:lineRule="auto"/>
        <w:rPr>
          <w:rFonts w:ascii="Noto Sans" w:hAnsi="Noto Sans" w:cs="Noto Sans"/>
          <w:sz w:val="20"/>
          <w:szCs w:val="20"/>
          <w:lang w:val="pt-PT"/>
        </w:rPr>
      </w:pPr>
    </w:p>
    <w:sectPr w:rsidR="00821F9C" w:rsidRPr="00821F9C" w:rsidSect="000F6D0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153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304FE" w14:textId="77777777" w:rsidR="000E3E43" w:rsidRDefault="000E3E43" w:rsidP="00785717">
      <w:pPr>
        <w:spacing w:line="240" w:lineRule="auto"/>
      </w:pPr>
      <w:r>
        <w:separator/>
      </w:r>
    </w:p>
  </w:endnote>
  <w:endnote w:type="continuationSeparator" w:id="0">
    <w:p w14:paraId="1E292C0E" w14:textId="77777777" w:rsidR="000E3E43" w:rsidRDefault="000E3E43" w:rsidP="0078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ill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3AAE" w14:textId="77777777" w:rsidR="00EC1C5A" w:rsidRDefault="00EC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462D" w14:textId="77777777" w:rsidR="00785717" w:rsidRDefault="000F6D00" w:rsidP="007857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1C7EB6" wp14:editId="4635D4B9">
          <wp:simplePos x="0" y="0"/>
          <wp:positionH relativeFrom="column">
            <wp:posOffset>4953000</wp:posOffset>
          </wp:positionH>
          <wp:positionV relativeFrom="paragraph">
            <wp:posOffset>1231440</wp:posOffset>
          </wp:positionV>
          <wp:extent cx="1466850" cy="139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C15">
      <w:rPr>
        <w:noProof/>
      </w:rPr>
      <w:drawing>
        <wp:anchor distT="0" distB="0" distL="114300" distR="114300" simplePos="0" relativeHeight="251658240" behindDoc="1" locked="0" layoutInCell="1" allowOverlap="1" wp14:anchorId="1A2E976C" wp14:editId="0873D863">
          <wp:simplePos x="0" y="0"/>
          <wp:positionH relativeFrom="page">
            <wp:posOffset>47625</wp:posOffset>
          </wp:positionH>
          <wp:positionV relativeFrom="page">
            <wp:posOffset>9247505</wp:posOffset>
          </wp:positionV>
          <wp:extent cx="7448550" cy="1259840"/>
          <wp:effectExtent l="0" t="0" r="0" b="0"/>
          <wp:wrapNone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knif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6C4E" w14:textId="77777777" w:rsidR="00EC1C5A" w:rsidRDefault="00EC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83C43" w14:textId="77777777" w:rsidR="000E3E43" w:rsidRDefault="000E3E43" w:rsidP="00785717">
      <w:pPr>
        <w:spacing w:line="240" w:lineRule="auto"/>
      </w:pPr>
      <w:r>
        <w:separator/>
      </w:r>
    </w:p>
  </w:footnote>
  <w:footnote w:type="continuationSeparator" w:id="0">
    <w:p w14:paraId="17954B2C" w14:textId="77777777" w:rsidR="000E3E43" w:rsidRDefault="000E3E43" w:rsidP="00785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BE24" w14:textId="77777777" w:rsidR="00EC1C5A" w:rsidRDefault="00EC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3109" w14:textId="77777777" w:rsidR="000F6D00" w:rsidRDefault="002766D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217FB9" wp14:editId="5A2D7CE0">
          <wp:simplePos x="0" y="0"/>
          <wp:positionH relativeFrom="page">
            <wp:posOffset>228600</wp:posOffset>
          </wp:positionH>
          <wp:positionV relativeFrom="paragraph">
            <wp:posOffset>-972185</wp:posOffset>
          </wp:positionV>
          <wp:extent cx="2781300" cy="109664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20"/>
                  <a:stretch/>
                </pic:blipFill>
                <pic:spPr bwMode="auto">
                  <a:xfrm>
                    <a:off x="0" y="0"/>
                    <a:ext cx="278130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CE99" w14:textId="77777777" w:rsidR="00EC1C5A" w:rsidRDefault="00EC1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21B8"/>
    <w:multiLevelType w:val="multilevel"/>
    <w:tmpl w:val="95CE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35622"/>
    <w:multiLevelType w:val="hybridMultilevel"/>
    <w:tmpl w:val="3B4C4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81A"/>
    <w:multiLevelType w:val="multilevel"/>
    <w:tmpl w:val="46B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44993"/>
    <w:multiLevelType w:val="multilevel"/>
    <w:tmpl w:val="901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E49"/>
    <w:multiLevelType w:val="hybridMultilevel"/>
    <w:tmpl w:val="2A125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C5BFF"/>
    <w:multiLevelType w:val="hybridMultilevel"/>
    <w:tmpl w:val="3FBA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792D"/>
    <w:multiLevelType w:val="hybridMultilevel"/>
    <w:tmpl w:val="11D8E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2488"/>
    <w:multiLevelType w:val="multilevel"/>
    <w:tmpl w:val="46B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85B58"/>
    <w:multiLevelType w:val="multilevel"/>
    <w:tmpl w:val="46B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26052"/>
    <w:multiLevelType w:val="multilevel"/>
    <w:tmpl w:val="C882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1526D"/>
    <w:multiLevelType w:val="hybridMultilevel"/>
    <w:tmpl w:val="D152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1827"/>
    <w:multiLevelType w:val="multilevel"/>
    <w:tmpl w:val="814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B39F9"/>
    <w:multiLevelType w:val="multilevel"/>
    <w:tmpl w:val="7D1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026437">
    <w:abstractNumId w:val="3"/>
  </w:num>
  <w:num w:numId="2" w16cid:durableId="2083528452">
    <w:abstractNumId w:val="11"/>
  </w:num>
  <w:num w:numId="3" w16cid:durableId="449864889">
    <w:abstractNumId w:val="5"/>
  </w:num>
  <w:num w:numId="4" w16cid:durableId="856889283">
    <w:abstractNumId w:val="2"/>
  </w:num>
  <w:num w:numId="5" w16cid:durableId="2046059120">
    <w:abstractNumId w:val="8"/>
  </w:num>
  <w:num w:numId="6" w16cid:durableId="997152578">
    <w:abstractNumId w:val="7"/>
  </w:num>
  <w:num w:numId="7" w16cid:durableId="453064739">
    <w:abstractNumId w:val="10"/>
  </w:num>
  <w:num w:numId="8" w16cid:durableId="565186331">
    <w:abstractNumId w:val="4"/>
  </w:num>
  <w:num w:numId="9" w16cid:durableId="353969350">
    <w:abstractNumId w:val="12"/>
  </w:num>
  <w:num w:numId="10" w16cid:durableId="658850857">
    <w:abstractNumId w:val="1"/>
  </w:num>
  <w:num w:numId="11" w16cid:durableId="270210227">
    <w:abstractNumId w:val="0"/>
  </w:num>
  <w:num w:numId="12" w16cid:durableId="924850287">
    <w:abstractNumId w:val="6"/>
  </w:num>
  <w:num w:numId="13" w16cid:durableId="1699428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E5"/>
    <w:rsid w:val="0000167A"/>
    <w:rsid w:val="000033B7"/>
    <w:rsid w:val="00003E93"/>
    <w:rsid w:val="0002201E"/>
    <w:rsid w:val="00056494"/>
    <w:rsid w:val="00082D13"/>
    <w:rsid w:val="000B39E5"/>
    <w:rsid w:val="000B481E"/>
    <w:rsid w:val="000C4258"/>
    <w:rsid w:val="000E3E43"/>
    <w:rsid w:val="000F6D00"/>
    <w:rsid w:val="000F6DD8"/>
    <w:rsid w:val="00101F24"/>
    <w:rsid w:val="001076D9"/>
    <w:rsid w:val="00134A01"/>
    <w:rsid w:val="00135C57"/>
    <w:rsid w:val="001644D5"/>
    <w:rsid w:val="0019183C"/>
    <w:rsid w:val="001C778F"/>
    <w:rsid w:val="001D743C"/>
    <w:rsid w:val="001E0029"/>
    <w:rsid w:val="001E0DA6"/>
    <w:rsid w:val="001E3BAC"/>
    <w:rsid w:val="001F4374"/>
    <w:rsid w:val="001F4379"/>
    <w:rsid w:val="00221B94"/>
    <w:rsid w:val="00226215"/>
    <w:rsid w:val="00235286"/>
    <w:rsid w:val="00260EFE"/>
    <w:rsid w:val="0026345C"/>
    <w:rsid w:val="00264DFD"/>
    <w:rsid w:val="0027306E"/>
    <w:rsid w:val="00273501"/>
    <w:rsid w:val="002766D9"/>
    <w:rsid w:val="0027725A"/>
    <w:rsid w:val="0028470C"/>
    <w:rsid w:val="00292B54"/>
    <w:rsid w:val="00293D6C"/>
    <w:rsid w:val="002A12AD"/>
    <w:rsid w:val="002A6461"/>
    <w:rsid w:val="002B0427"/>
    <w:rsid w:val="002B2048"/>
    <w:rsid w:val="002C5571"/>
    <w:rsid w:val="002D4F2F"/>
    <w:rsid w:val="0031544C"/>
    <w:rsid w:val="00321B1A"/>
    <w:rsid w:val="003309DA"/>
    <w:rsid w:val="00332928"/>
    <w:rsid w:val="00335F47"/>
    <w:rsid w:val="00364CEA"/>
    <w:rsid w:val="00372E92"/>
    <w:rsid w:val="00373A23"/>
    <w:rsid w:val="00380C66"/>
    <w:rsid w:val="00384BF7"/>
    <w:rsid w:val="00384E7B"/>
    <w:rsid w:val="00397263"/>
    <w:rsid w:val="003A1E91"/>
    <w:rsid w:val="003A206B"/>
    <w:rsid w:val="003A383C"/>
    <w:rsid w:val="003D7EF9"/>
    <w:rsid w:val="003E54B5"/>
    <w:rsid w:val="003E5626"/>
    <w:rsid w:val="00402154"/>
    <w:rsid w:val="00403C95"/>
    <w:rsid w:val="00406FB0"/>
    <w:rsid w:val="00414D25"/>
    <w:rsid w:val="00443DB6"/>
    <w:rsid w:val="00457AC9"/>
    <w:rsid w:val="004719FD"/>
    <w:rsid w:val="004728D9"/>
    <w:rsid w:val="004950A6"/>
    <w:rsid w:val="004A0C1F"/>
    <w:rsid w:val="004B07D2"/>
    <w:rsid w:val="004B090D"/>
    <w:rsid w:val="004E324E"/>
    <w:rsid w:val="005272B1"/>
    <w:rsid w:val="0053091A"/>
    <w:rsid w:val="0055082A"/>
    <w:rsid w:val="005524DB"/>
    <w:rsid w:val="00565CD4"/>
    <w:rsid w:val="005741C7"/>
    <w:rsid w:val="005952CA"/>
    <w:rsid w:val="005A1124"/>
    <w:rsid w:val="005C5261"/>
    <w:rsid w:val="005C59E7"/>
    <w:rsid w:val="005F2A2F"/>
    <w:rsid w:val="005F55B1"/>
    <w:rsid w:val="00617293"/>
    <w:rsid w:val="0062403F"/>
    <w:rsid w:val="00647055"/>
    <w:rsid w:val="006511CB"/>
    <w:rsid w:val="00653FAE"/>
    <w:rsid w:val="00660F46"/>
    <w:rsid w:val="00671759"/>
    <w:rsid w:val="00672DE9"/>
    <w:rsid w:val="00675C72"/>
    <w:rsid w:val="006D32C5"/>
    <w:rsid w:val="006D3F32"/>
    <w:rsid w:val="006D5F42"/>
    <w:rsid w:val="00701A49"/>
    <w:rsid w:val="00715103"/>
    <w:rsid w:val="00715F20"/>
    <w:rsid w:val="00717FEA"/>
    <w:rsid w:val="00741118"/>
    <w:rsid w:val="00743948"/>
    <w:rsid w:val="00762825"/>
    <w:rsid w:val="00771E8C"/>
    <w:rsid w:val="00785717"/>
    <w:rsid w:val="00785DC0"/>
    <w:rsid w:val="007C11A7"/>
    <w:rsid w:val="007C184C"/>
    <w:rsid w:val="007C3499"/>
    <w:rsid w:val="007D0A6E"/>
    <w:rsid w:val="007D2746"/>
    <w:rsid w:val="007E0E7A"/>
    <w:rsid w:val="007E1390"/>
    <w:rsid w:val="00821F9C"/>
    <w:rsid w:val="008220B7"/>
    <w:rsid w:val="00823B77"/>
    <w:rsid w:val="008304A6"/>
    <w:rsid w:val="00831B3D"/>
    <w:rsid w:val="00852F03"/>
    <w:rsid w:val="00855275"/>
    <w:rsid w:val="0086011A"/>
    <w:rsid w:val="00875FC3"/>
    <w:rsid w:val="008916A8"/>
    <w:rsid w:val="008956FC"/>
    <w:rsid w:val="00897F38"/>
    <w:rsid w:val="008B01D5"/>
    <w:rsid w:val="008B3D8B"/>
    <w:rsid w:val="008B6461"/>
    <w:rsid w:val="008E115B"/>
    <w:rsid w:val="008F3E38"/>
    <w:rsid w:val="008F62DD"/>
    <w:rsid w:val="00911F98"/>
    <w:rsid w:val="00931996"/>
    <w:rsid w:val="00933F96"/>
    <w:rsid w:val="009453DB"/>
    <w:rsid w:val="009701C8"/>
    <w:rsid w:val="009769E0"/>
    <w:rsid w:val="009904F5"/>
    <w:rsid w:val="009A036F"/>
    <w:rsid w:val="009A1716"/>
    <w:rsid w:val="009A1DEC"/>
    <w:rsid w:val="009B78DB"/>
    <w:rsid w:val="009D424A"/>
    <w:rsid w:val="009D42E0"/>
    <w:rsid w:val="009D6280"/>
    <w:rsid w:val="009D6D3D"/>
    <w:rsid w:val="00A105F7"/>
    <w:rsid w:val="00A13047"/>
    <w:rsid w:val="00A1420E"/>
    <w:rsid w:val="00A1700A"/>
    <w:rsid w:val="00A23637"/>
    <w:rsid w:val="00A34918"/>
    <w:rsid w:val="00A363B2"/>
    <w:rsid w:val="00A55CB6"/>
    <w:rsid w:val="00A60723"/>
    <w:rsid w:val="00A772F3"/>
    <w:rsid w:val="00A83424"/>
    <w:rsid w:val="00AA45B1"/>
    <w:rsid w:val="00AA640F"/>
    <w:rsid w:val="00AB11DA"/>
    <w:rsid w:val="00AB5A91"/>
    <w:rsid w:val="00AB5CB4"/>
    <w:rsid w:val="00AC4AEF"/>
    <w:rsid w:val="00AD475F"/>
    <w:rsid w:val="00AE0E15"/>
    <w:rsid w:val="00B005E6"/>
    <w:rsid w:val="00B068D3"/>
    <w:rsid w:val="00B14152"/>
    <w:rsid w:val="00B23C3C"/>
    <w:rsid w:val="00B329BA"/>
    <w:rsid w:val="00B36F52"/>
    <w:rsid w:val="00B45EFF"/>
    <w:rsid w:val="00B546C5"/>
    <w:rsid w:val="00B56ECD"/>
    <w:rsid w:val="00B74768"/>
    <w:rsid w:val="00B80B51"/>
    <w:rsid w:val="00B85FCD"/>
    <w:rsid w:val="00BB1758"/>
    <w:rsid w:val="00BB2E16"/>
    <w:rsid w:val="00BC2291"/>
    <w:rsid w:val="00BC7C15"/>
    <w:rsid w:val="00BD7631"/>
    <w:rsid w:val="00C04E79"/>
    <w:rsid w:val="00C063FE"/>
    <w:rsid w:val="00C1750A"/>
    <w:rsid w:val="00C3170B"/>
    <w:rsid w:val="00C3525E"/>
    <w:rsid w:val="00C44603"/>
    <w:rsid w:val="00C541FE"/>
    <w:rsid w:val="00C54CD8"/>
    <w:rsid w:val="00C80019"/>
    <w:rsid w:val="00C9344B"/>
    <w:rsid w:val="00CD32B3"/>
    <w:rsid w:val="00CE1929"/>
    <w:rsid w:val="00CE4602"/>
    <w:rsid w:val="00CE5A23"/>
    <w:rsid w:val="00CE6805"/>
    <w:rsid w:val="00CF1AD5"/>
    <w:rsid w:val="00D1684E"/>
    <w:rsid w:val="00D77346"/>
    <w:rsid w:val="00D97525"/>
    <w:rsid w:val="00DA3324"/>
    <w:rsid w:val="00DA6968"/>
    <w:rsid w:val="00DA6CEE"/>
    <w:rsid w:val="00DC4434"/>
    <w:rsid w:val="00DD4395"/>
    <w:rsid w:val="00DE2592"/>
    <w:rsid w:val="00DE6338"/>
    <w:rsid w:val="00DF5E67"/>
    <w:rsid w:val="00DF6932"/>
    <w:rsid w:val="00E03029"/>
    <w:rsid w:val="00E13711"/>
    <w:rsid w:val="00E16B35"/>
    <w:rsid w:val="00E20DC7"/>
    <w:rsid w:val="00E3364D"/>
    <w:rsid w:val="00E51E34"/>
    <w:rsid w:val="00E55369"/>
    <w:rsid w:val="00E60BB7"/>
    <w:rsid w:val="00E65C44"/>
    <w:rsid w:val="00EB2AC7"/>
    <w:rsid w:val="00EC1C5A"/>
    <w:rsid w:val="00ED37E3"/>
    <w:rsid w:val="00ED6B1A"/>
    <w:rsid w:val="00EE7F50"/>
    <w:rsid w:val="00EF5B0B"/>
    <w:rsid w:val="00F1217D"/>
    <w:rsid w:val="00F21A42"/>
    <w:rsid w:val="00F22B33"/>
    <w:rsid w:val="00F27E40"/>
    <w:rsid w:val="00F345CB"/>
    <w:rsid w:val="00F44B47"/>
    <w:rsid w:val="00F57BAD"/>
    <w:rsid w:val="00F60521"/>
    <w:rsid w:val="00F73047"/>
    <w:rsid w:val="00F82F7D"/>
    <w:rsid w:val="00F904E3"/>
    <w:rsid w:val="00F91FBF"/>
    <w:rsid w:val="00FA166B"/>
    <w:rsid w:val="00FA3687"/>
    <w:rsid w:val="00FB3ADF"/>
    <w:rsid w:val="00FB521B"/>
    <w:rsid w:val="00FC75D3"/>
    <w:rsid w:val="00FD121A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1FD9"/>
  <w15:chartTrackingRefBased/>
  <w15:docId w15:val="{471625E0-0F97-4C97-B86E-20C9593E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9E5"/>
  </w:style>
  <w:style w:type="paragraph" w:styleId="Heading1">
    <w:name w:val="heading 1"/>
    <w:basedOn w:val="Normal"/>
    <w:next w:val="Normal"/>
    <w:link w:val="Heading1Char"/>
    <w:uiPriority w:val="9"/>
    <w:qFormat/>
    <w:rsid w:val="00C1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717"/>
  </w:style>
  <w:style w:type="paragraph" w:styleId="Footer">
    <w:name w:val="footer"/>
    <w:basedOn w:val="Normal"/>
    <w:link w:val="FooterChar"/>
    <w:uiPriority w:val="99"/>
    <w:unhideWhenUsed/>
    <w:rsid w:val="0078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717"/>
  </w:style>
  <w:style w:type="character" w:styleId="Hyperlink">
    <w:name w:val="Hyperlink"/>
    <w:basedOn w:val="DefaultParagraphFont"/>
    <w:uiPriority w:val="99"/>
    <w:rsid w:val="001D743C"/>
    <w:rPr>
      <w:color w:val="0000FF"/>
      <w:u w:val="single"/>
    </w:rPr>
  </w:style>
  <w:style w:type="paragraph" w:styleId="NoSpacing">
    <w:name w:val="No Spacing"/>
    <w:uiPriority w:val="1"/>
    <w:qFormat/>
    <w:rsid w:val="001D743C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9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453D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C1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D4F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4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F2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4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35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200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767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66460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09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80531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6929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67523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industries/private-capital/our-insights/from-start-up-to-scale-up-accelerating-growth-in-construction-technolog" TargetMode="External"/><Relationship Id="rId13" Type="http://schemas.openxmlformats.org/officeDocument/2006/relationships/hyperlink" Target="https://environment.ec.europa.eu/topics/waste-and-recycling/waste-framework-directive_en" TargetMode="External"/><Relationship Id="rId18" Type="http://schemas.openxmlformats.org/officeDocument/2006/relationships/hyperlink" Target="https://www.gs1us.org/upcs-barcodes-prefixes/2d-barcode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article/pii/S0959652625004032" TargetMode="External"/><Relationship Id="rId7" Type="http://schemas.openxmlformats.org/officeDocument/2006/relationships/hyperlink" Target="https://www.bbc.co.uk/future/article/20211215-the-buildings-made-from-rubbish" TargetMode="External"/><Relationship Id="rId12" Type="http://schemas.openxmlformats.org/officeDocument/2006/relationships/hyperlink" Target="https://www.bbc.co.uk/future/article/20211215-the-buildings-made-from-rubbish" TargetMode="External"/><Relationship Id="rId17" Type="http://schemas.openxmlformats.org/officeDocument/2006/relationships/hyperlink" Target="https://worldgbc.org/article/an-integrated-approach-to-a-sustainable-built-environment-the-co-benefits-of-resources-circularity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statistics/uk-waste-data/uk-statistics-on-waste" TargetMode="External"/><Relationship Id="rId20" Type="http://schemas.openxmlformats.org/officeDocument/2006/relationships/hyperlink" Target="https://commission.europa.eu/energy-climate-change-environment/standards-tools-and-labels/products-labelling-rules-and-requirements/ecodesign-sustainable-products-regulation_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vironment.ec.europa.eu/topics/waste-and-recycling/construction-and-demolition-waste_e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t.nz/act/public/2021/0021/latest/LMS264715.html" TargetMode="External"/><Relationship Id="rId23" Type="http://schemas.openxmlformats.org/officeDocument/2006/relationships/hyperlink" Target="mailto:Alex.Challinor@domino-uk.com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environment.ec.europa.eu/topics/waste-and-recycling/construction-and-demolition-waste_en" TargetMode="External"/><Relationship Id="rId19" Type="http://schemas.openxmlformats.org/officeDocument/2006/relationships/hyperlink" Target="https://data.europa.eu/en/news-events/news/eus-digital-product-passport-advancing-transparency-and-sustainabilit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eforum.org/communities/engineering-and-construction/" TargetMode="External"/><Relationship Id="rId14" Type="http://schemas.openxmlformats.org/officeDocument/2006/relationships/hyperlink" Target="https://www.epa.gov/rcra" TargetMode="External"/><Relationship Id="rId22" Type="http://schemas.openxmlformats.org/officeDocument/2006/relationships/hyperlink" Target="http://www.domino-printing.p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_Taylor-Salazar\AppData\Roaming\Microsoft\Templates\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 and footer</Template>
  <TotalTime>34</TotalTime>
  <Pages>5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Taylor-Salazar</dc:creator>
  <cp:keywords/>
  <dc:description/>
  <cp:lastModifiedBy>Rachael Cooper</cp:lastModifiedBy>
  <cp:revision>4</cp:revision>
  <dcterms:created xsi:type="dcterms:W3CDTF">2025-06-12T14:27:00Z</dcterms:created>
  <dcterms:modified xsi:type="dcterms:W3CDTF">2025-06-12T15:08:00Z</dcterms:modified>
</cp:coreProperties>
</file>