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D8D4" w14:textId="36B400FB" w:rsidR="009C506A" w:rsidRPr="001F3020" w:rsidRDefault="001F3020" w:rsidP="00A42F27">
      <w:pPr>
        <w:pStyle w:val="Nagwek1"/>
        <w:spacing w:before="120" w:after="120" w:line="276" w:lineRule="auto"/>
        <w:rPr>
          <w:rFonts w:ascii="Calibri" w:hAnsi="Calibri" w:cs="Calibri"/>
          <w:b/>
          <w:bCs/>
          <w:color w:val="auto"/>
          <w:sz w:val="32"/>
          <w:szCs w:val="32"/>
        </w:rPr>
      </w:pPr>
      <w:r w:rsidRPr="001F3020">
        <w:rPr>
          <w:rFonts w:ascii="Calibri" w:hAnsi="Calibri" w:cs="Calibri"/>
          <w:b/>
          <w:bCs/>
          <w:color w:val="auto"/>
          <w:sz w:val="32"/>
          <w:szCs w:val="32"/>
        </w:rPr>
        <w:t xml:space="preserve">Biznes w praktyce – </w:t>
      </w:r>
      <w:r w:rsidR="00B9042A">
        <w:rPr>
          <w:rFonts w:ascii="Calibri" w:hAnsi="Calibri" w:cs="Calibri"/>
          <w:b/>
          <w:bCs/>
          <w:color w:val="auto"/>
          <w:sz w:val="32"/>
          <w:szCs w:val="32"/>
        </w:rPr>
        <w:t>sprawdź aktualną ofertę Funduszy Europejskich</w:t>
      </w:r>
      <w:r w:rsidRPr="001F3020">
        <w:rPr>
          <w:rFonts w:ascii="Calibri" w:hAnsi="Calibri" w:cs="Calibri"/>
          <w:b/>
          <w:bCs/>
          <w:color w:val="auto"/>
          <w:sz w:val="32"/>
          <w:szCs w:val="32"/>
        </w:rPr>
        <w:t>!</w:t>
      </w:r>
    </w:p>
    <w:p w14:paraId="5378D19E" w14:textId="222B05A7" w:rsidR="005434F2" w:rsidRDefault="001F3020" w:rsidP="00A42F27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403A2F">
        <w:rPr>
          <w:rFonts w:ascii="Calibri" w:hAnsi="Calibri" w:cs="Calibri"/>
          <w:b/>
          <w:bCs/>
          <w:sz w:val="24"/>
          <w:szCs w:val="24"/>
        </w:rPr>
        <w:t xml:space="preserve">Jesteśmy </w:t>
      </w:r>
      <w:r w:rsidR="00A42F27">
        <w:rPr>
          <w:rFonts w:ascii="Calibri" w:hAnsi="Calibri" w:cs="Calibri"/>
          <w:b/>
          <w:bCs/>
          <w:sz w:val="24"/>
          <w:szCs w:val="24"/>
        </w:rPr>
        <w:t xml:space="preserve">za </w:t>
      </w:r>
      <w:r w:rsidRPr="00403A2F">
        <w:rPr>
          <w:rFonts w:ascii="Calibri" w:hAnsi="Calibri" w:cs="Calibri"/>
          <w:b/>
          <w:bCs/>
          <w:sz w:val="24"/>
          <w:szCs w:val="24"/>
        </w:rPr>
        <w:t>półmetk</w:t>
      </w:r>
      <w:r w:rsidR="00A42F27">
        <w:rPr>
          <w:rFonts w:ascii="Calibri" w:hAnsi="Calibri" w:cs="Calibri"/>
          <w:b/>
          <w:bCs/>
          <w:sz w:val="24"/>
          <w:szCs w:val="24"/>
        </w:rPr>
        <w:t>iem</w:t>
      </w:r>
      <w:r w:rsidRPr="00403A2F">
        <w:rPr>
          <w:rFonts w:ascii="Calibri" w:hAnsi="Calibri" w:cs="Calibri"/>
          <w:b/>
          <w:bCs/>
          <w:sz w:val="24"/>
          <w:szCs w:val="24"/>
        </w:rPr>
        <w:t xml:space="preserve"> 2025 roku – to dobry moment, by podsumować dotychczasowe działania i spojrzeć na to, co jeszcze przed nami.</w:t>
      </w:r>
      <w:r w:rsidRPr="00403A2F">
        <w:rPr>
          <w:b/>
          <w:bCs/>
        </w:rPr>
        <w:t xml:space="preserve"> </w:t>
      </w:r>
      <w:r w:rsidRPr="00403A2F">
        <w:rPr>
          <w:rFonts w:ascii="Calibri" w:hAnsi="Calibri" w:cs="Calibri"/>
          <w:b/>
          <w:bCs/>
          <w:sz w:val="24"/>
          <w:szCs w:val="24"/>
        </w:rPr>
        <w:t>W ostatni</w:t>
      </w:r>
      <w:r w:rsidR="00403A2F" w:rsidRPr="00403A2F">
        <w:rPr>
          <w:rFonts w:ascii="Calibri" w:hAnsi="Calibri" w:cs="Calibri"/>
          <w:b/>
          <w:bCs/>
          <w:sz w:val="24"/>
          <w:szCs w:val="24"/>
        </w:rPr>
        <w:t>m czasie</w:t>
      </w:r>
      <w:r w:rsidRPr="00403A2F">
        <w:rPr>
          <w:rFonts w:ascii="Calibri" w:hAnsi="Calibri" w:cs="Calibri"/>
          <w:b/>
          <w:bCs/>
          <w:sz w:val="24"/>
          <w:szCs w:val="24"/>
        </w:rPr>
        <w:t xml:space="preserve"> Polska Agencja Rozwoju Przedsiębiorczości (PARP) </w:t>
      </w:r>
      <w:r w:rsidR="00403A2F" w:rsidRPr="00403A2F">
        <w:rPr>
          <w:rFonts w:ascii="Calibri" w:hAnsi="Calibri" w:cs="Calibri"/>
          <w:b/>
          <w:bCs/>
          <w:sz w:val="24"/>
          <w:szCs w:val="24"/>
        </w:rPr>
        <w:t>realizuje kluczowe programy wspierające rozwój technologii krytycznych, innowacyjności czy dostępności. Jednak kalendarz naborów na kolejne miesiące pokazuje, że to nie koniec możliwości. Sprawdź aktualną ofertę, przygotuj wniosek i aplikuj!</w:t>
      </w:r>
    </w:p>
    <w:p w14:paraId="7D306184" w14:textId="676117FB" w:rsidR="001840E8" w:rsidRPr="00F36AFA" w:rsidRDefault="00333C0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5A4CA8">
        <w:rPr>
          <w:rFonts w:ascii="Calibri" w:hAnsi="Calibri" w:cs="Calibri"/>
          <w:sz w:val="24"/>
          <w:szCs w:val="24"/>
        </w:rPr>
        <w:t xml:space="preserve">Polska gospodarka potrzebuje firm, które </w:t>
      </w:r>
      <w:r>
        <w:rPr>
          <w:rFonts w:ascii="Calibri" w:hAnsi="Calibri" w:cs="Calibri"/>
          <w:sz w:val="24"/>
          <w:szCs w:val="24"/>
        </w:rPr>
        <w:t>stawiają na</w:t>
      </w:r>
      <w:r w:rsidRPr="005A4CA8">
        <w:rPr>
          <w:rFonts w:ascii="Calibri" w:hAnsi="Calibri" w:cs="Calibri"/>
          <w:sz w:val="24"/>
          <w:szCs w:val="24"/>
        </w:rPr>
        <w:t xml:space="preserve"> innowacje, cyfryzację i rozwój kompetencji. Dlatego PARP koncentruje się na instrumentach, które pozwalają przedsiębiorcom szybko reagować na zmiany rynkowe i zwiększać swoją efektywność.</w:t>
      </w:r>
      <w:r>
        <w:rPr>
          <w:rFonts w:ascii="Calibri" w:hAnsi="Calibri" w:cs="Calibri"/>
          <w:sz w:val="24"/>
          <w:szCs w:val="24"/>
        </w:rPr>
        <w:t xml:space="preserve"> </w:t>
      </w:r>
      <w:r w:rsidRPr="00400C0D">
        <w:rPr>
          <w:rFonts w:ascii="Calibri" w:hAnsi="Calibri" w:cs="Calibri"/>
          <w:sz w:val="24"/>
          <w:szCs w:val="24"/>
        </w:rPr>
        <w:t xml:space="preserve">Zainteresowanie </w:t>
      </w:r>
      <w:r>
        <w:rPr>
          <w:rFonts w:ascii="Calibri" w:hAnsi="Calibri" w:cs="Calibri"/>
          <w:sz w:val="24"/>
          <w:szCs w:val="24"/>
        </w:rPr>
        <w:t>programami realizowanymi przez Agencję</w:t>
      </w:r>
      <w:r w:rsidRPr="00400C0D">
        <w:rPr>
          <w:rFonts w:ascii="Calibri" w:hAnsi="Calibri" w:cs="Calibri"/>
          <w:sz w:val="24"/>
          <w:szCs w:val="24"/>
        </w:rPr>
        <w:t xml:space="preserve"> pokazuje, jak silna jest potrzeba inwestycji w transformację i rozwój</w:t>
      </w:r>
      <w:r w:rsidR="00C40D51">
        <w:rPr>
          <w:rFonts w:ascii="Calibri" w:hAnsi="Calibri" w:cs="Calibri"/>
          <w:sz w:val="24"/>
          <w:szCs w:val="24"/>
        </w:rPr>
        <w:t>.</w:t>
      </w:r>
      <w:r w:rsidR="00A42F27">
        <w:rPr>
          <w:rFonts w:ascii="Calibri" w:hAnsi="Calibri" w:cs="Calibri"/>
          <w:sz w:val="24"/>
          <w:szCs w:val="24"/>
        </w:rPr>
        <w:t xml:space="preserve"> </w:t>
      </w:r>
      <w:r w:rsidR="00A42F27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291A65" w:rsidRPr="0066164F">
        <w:rPr>
          <w:rFonts w:ascii="Calibri" w:eastAsia="Times New Roman" w:hAnsi="Calibri" w:cs="Calibri"/>
          <w:sz w:val="24"/>
          <w:szCs w:val="24"/>
          <w:lang w:eastAsia="pl-PL"/>
        </w:rPr>
        <w:t xml:space="preserve">ealizacja </w:t>
      </w:r>
      <w:r w:rsidR="001E3195">
        <w:rPr>
          <w:rFonts w:ascii="Calibri" w:eastAsia="Times New Roman" w:hAnsi="Calibri" w:cs="Calibri"/>
          <w:sz w:val="24"/>
          <w:szCs w:val="24"/>
          <w:lang w:eastAsia="pl-PL"/>
        </w:rPr>
        <w:t xml:space="preserve">tych działań </w:t>
      </w:r>
      <w:r w:rsidR="00291A65" w:rsidRPr="0066164F">
        <w:rPr>
          <w:rFonts w:ascii="Calibri" w:eastAsia="Times New Roman" w:hAnsi="Calibri" w:cs="Calibri"/>
          <w:sz w:val="24"/>
          <w:szCs w:val="24"/>
          <w:lang w:eastAsia="pl-PL"/>
        </w:rPr>
        <w:t>będzie możliwa za sprawą trzech programów unijnych: Funduszy Europejskich dla Nowoczesnej Gospodarki (FENG), Funduszy Europejskich dla Polski Wschodniej (FEPW) oraz Funduszy Europejskich dla Rozwoju Społecznego (FERS).</w:t>
      </w:r>
      <w:r w:rsidR="00291A6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1C447EC" w14:textId="3AEDD534" w:rsidR="00365CA5" w:rsidRPr="00365CA5" w:rsidRDefault="00365CA5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proofErr w:type="spellStart"/>
      <w:r w:rsidRPr="00365CA5">
        <w:rPr>
          <w:rFonts w:cs="Calibri"/>
          <w:bCs/>
          <w:szCs w:val="28"/>
        </w:rPr>
        <w:t>MedTech</w:t>
      </w:r>
      <w:proofErr w:type="spellEnd"/>
      <w:r w:rsidRPr="00365CA5">
        <w:rPr>
          <w:rFonts w:cs="Calibri"/>
          <w:bCs/>
          <w:szCs w:val="28"/>
        </w:rPr>
        <w:t xml:space="preserve"> i </w:t>
      </w:r>
      <w:proofErr w:type="spellStart"/>
      <w:r w:rsidRPr="00365CA5">
        <w:rPr>
          <w:rFonts w:cs="Calibri"/>
          <w:bCs/>
          <w:szCs w:val="28"/>
        </w:rPr>
        <w:t>FinTech</w:t>
      </w:r>
      <w:proofErr w:type="spellEnd"/>
      <w:r w:rsidRPr="00365CA5">
        <w:rPr>
          <w:rFonts w:cs="Calibri"/>
          <w:bCs/>
          <w:szCs w:val="28"/>
        </w:rPr>
        <w:t xml:space="preserve"> – branże przyszłości?</w:t>
      </w:r>
    </w:p>
    <w:p w14:paraId="0986A47F" w14:textId="345B7B54" w:rsidR="00BD4F6F" w:rsidRPr="00F36AFA" w:rsidRDefault="00BD4F6F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36AFA">
        <w:rPr>
          <w:rFonts w:ascii="Calibri" w:hAnsi="Calibri" w:cs="Calibri"/>
          <w:sz w:val="24"/>
          <w:szCs w:val="24"/>
        </w:rPr>
        <w:t xml:space="preserve">Branże </w:t>
      </w:r>
      <w:proofErr w:type="spellStart"/>
      <w:r w:rsidRPr="00F36AFA">
        <w:rPr>
          <w:rFonts w:ascii="Calibri" w:hAnsi="Calibri" w:cs="Calibri"/>
          <w:sz w:val="24"/>
          <w:szCs w:val="24"/>
        </w:rPr>
        <w:t>MedTech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F36AFA">
        <w:rPr>
          <w:rFonts w:ascii="Calibri" w:hAnsi="Calibri" w:cs="Calibri"/>
          <w:sz w:val="24"/>
          <w:szCs w:val="24"/>
        </w:rPr>
        <w:t>FinTech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stają się wizytówką polskiej innowacyjności. Z każdym rokiem przybywa startupów, które z powodzeniem łączą technologię z opieką zdrowotną i finansami. Dzięki inicjatywom takim jak program „</w:t>
      </w:r>
      <w:proofErr w:type="spellStart"/>
      <w:r w:rsidRPr="00F36AFA">
        <w:rPr>
          <w:rFonts w:ascii="Calibri" w:hAnsi="Calibri" w:cs="Calibri"/>
          <w:sz w:val="24"/>
          <w:szCs w:val="24"/>
        </w:rPr>
        <w:t>Startups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6AFA">
        <w:rPr>
          <w:rFonts w:ascii="Calibri" w:hAnsi="Calibri" w:cs="Calibri"/>
          <w:sz w:val="24"/>
          <w:szCs w:val="24"/>
        </w:rPr>
        <w:t>Are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6AFA">
        <w:rPr>
          <w:rFonts w:ascii="Calibri" w:hAnsi="Calibri" w:cs="Calibri"/>
          <w:sz w:val="24"/>
          <w:szCs w:val="24"/>
        </w:rPr>
        <w:t>Us</w:t>
      </w:r>
      <w:proofErr w:type="spellEnd"/>
      <w:r w:rsidRPr="00F36AFA">
        <w:rPr>
          <w:rFonts w:ascii="Calibri" w:hAnsi="Calibri" w:cs="Calibri"/>
          <w:sz w:val="24"/>
          <w:szCs w:val="24"/>
        </w:rPr>
        <w:t>” przed twórcami otwierają się nowe perspektywy.</w:t>
      </w:r>
    </w:p>
    <w:p w14:paraId="0BB9A508" w14:textId="77777777" w:rsidR="00F36AFA" w:rsidRDefault="007F09C8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36AFA">
        <w:rPr>
          <w:rFonts w:ascii="Calibri" w:hAnsi="Calibri" w:cs="Calibri"/>
          <w:sz w:val="24"/>
          <w:szCs w:val="24"/>
        </w:rPr>
        <w:t>Sektor medyczny w Polsce bardzo szybko się rozwija, o czym świadczy m.in. wzrost liczby firm produkujących wyroby medyczne i farmaceutyczne. Nasz kraj znajduje się w pierwszej dziesiątce światowych eksporterów sprzętu medycznego, a prognozy na najbliższe pięć lat przewidują stabilny wzrost – czytamy w publikacji PARP pn. „</w:t>
      </w:r>
      <w:hyperlink r:id="rId7" w:history="1"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The </w:t>
        </w:r>
        <w:proofErr w:type="spellStart"/>
        <w:r w:rsidRPr="00F36AFA">
          <w:rPr>
            <w:rStyle w:val="Hipercze"/>
            <w:rFonts w:ascii="Calibri" w:hAnsi="Calibri" w:cs="Calibri"/>
            <w:sz w:val="24"/>
            <w:szCs w:val="24"/>
          </w:rPr>
          <w:t>medical</w:t>
        </w:r>
        <w:proofErr w:type="spellEnd"/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 devices and </w:t>
        </w:r>
        <w:proofErr w:type="spellStart"/>
        <w:r w:rsidRPr="00F36AFA">
          <w:rPr>
            <w:rStyle w:val="Hipercze"/>
            <w:rFonts w:ascii="Calibri" w:hAnsi="Calibri" w:cs="Calibri"/>
            <w:sz w:val="24"/>
            <w:szCs w:val="24"/>
          </w:rPr>
          <w:t>pharma</w:t>
        </w:r>
        <w:proofErr w:type="spellEnd"/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Pr="00F36AFA">
          <w:rPr>
            <w:rStyle w:val="Hipercze"/>
            <w:rFonts w:ascii="Calibri" w:hAnsi="Calibri" w:cs="Calibri"/>
            <w:sz w:val="24"/>
            <w:szCs w:val="24"/>
          </w:rPr>
          <w:t>sector</w:t>
        </w:r>
        <w:proofErr w:type="spellEnd"/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 in Poland</w:t>
        </w:r>
      </w:hyperlink>
      <w:r w:rsidRPr="00F36AFA">
        <w:rPr>
          <w:rFonts w:ascii="Calibri" w:hAnsi="Calibri" w:cs="Calibri"/>
          <w:sz w:val="24"/>
          <w:szCs w:val="24"/>
        </w:rPr>
        <w:t xml:space="preserve">”. </w:t>
      </w:r>
      <w:r w:rsidR="00FE015E" w:rsidRPr="00F36AFA">
        <w:rPr>
          <w:rFonts w:ascii="Calibri" w:hAnsi="Calibri" w:cs="Calibri"/>
          <w:sz w:val="24"/>
          <w:szCs w:val="24"/>
        </w:rPr>
        <w:t xml:space="preserve"> </w:t>
      </w:r>
    </w:p>
    <w:p w14:paraId="2C68A87A" w14:textId="0867A88C" w:rsidR="008832C9" w:rsidRPr="00F36AFA" w:rsidRDefault="00C01BB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36AFA">
        <w:rPr>
          <w:rFonts w:ascii="Calibri" w:hAnsi="Calibri" w:cs="Calibri"/>
          <w:sz w:val="24"/>
          <w:szCs w:val="24"/>
        </w:rPr>
        <w:t>Z</w:t>
      </w:r>
      <w:r w:rsidR="00BD4F6F" w:rsidRPr="00F36AFA">
        <w:rPr>
          <w:rFonts w:ascii="Calibri" w:hAnsi="Calibri" w:cs="Calibri"/>
          <w:sz w:val="24"/>
          <w:szCs w:val="24"/>
        </w:rPr>
        <w:t xml:space="preserve"> kolei z</w:t>
      </w:r>
      <w:r w:rsidRPr="00F36AFA">
        <w:rPr>
          <w:rFonts w:ascii="Calibri" w:hAnsi="Calibri" w:cs="Calibri"/>
          <w:sz w:val="24"/>
          <w:szCs w:val="24"/>
        </w:rPr>
        <w:t xml:space="preserve"> najnowszego raportu „</w:t>
      </w:r>
      <w:hyperlink r:id="rId8" w:history="1"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Top </w:t>
        </w:r>
        <w:proofErr w:type="spellStart"/>
        <w:r w:rsidRPr="00F36AFA">
          <w:rPr>
            <w:rStyle w:val="Hipercze"/>
            <w:rFonts w:ascii="Calibri" w:hAnsi="Calibri" w:cs="Calibri"/>
            <w:sz w:val="24"/>
            <w:szCs w:val="24"/>
          </w:rPr>
          <w:t>Disruptors</w:t>
        </w:r>
        <w:proofErr w:type="spellEnd"/>
        <w:r w:rsidRPr="00F36AFA">
          <w:rPr>
            <w:rStyle w:val="Hipercze"/>
            <w:rFonts w:ascii="Calibri" w:hAnsi="Calibri" w:cs="Calibri"/>
            <w:sz w:val="24"/>
            <w:szCs w:val="24"/>
          </w:rPr>
          <w:t xml:space="preserve"> in Healthcare</w:t>
        </w:r>
      </w:hyperlink>
      <w:r w:rsidRPr="00F36AFA">
        <w:rPr>
          <w:rFonts w:ascii="Calibri" w:hAnsi="Calibri" w:cs="Calibri"/>
          <w:sz w:val="24"/>
          <w:szCs w:val="24"/>
        </w:rPr>
        <w:t xml:space="preserve">” wynika, że obecnie </w:t>
      </w:r>
      <w:r w:rsidRPr="00A42F27">
        <w:rPr>
          <w:rFonts w:ascii="Calibri" w:hAnsi="Calibri" w:cs="Calibri"/>
          <w:sz w:val="24"/>
          <w:szCs w:val="24"/>
        </w:rPr>
        <w:t>największym zainteresowaniem startupów medycznych w Polsce cieszy się kardiologia i onkologia.</w:t>
      </w:r>
      <w:r w:rsidRPr="00F36AFA">
        <w:rPr>
          <w:rFonts w:ascii="Calibri" w:hAnsi="Calibri" w:cs="Calibri"/>
          <w:sz w:val="24"/>
          <w:szCs w:val="24"/>
        </w:rPr>
        <w:t xml:space="preserve"> To nad rozwiązaniami w tych dziedzinach pracuje najwięcej firm – odpowiednio 21% i 19%. Na trzecim miejscu plasuje się psychiatria i psychologia (17%). </w:t>
      </w:r>
    </w:p>
    <w:p w14:paraId="18258E59" w14:textId="77777777" w:rsidR="00403A2F" w:rsidRDefault="00FE015E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36AFA">
        <w:rPr>
          <w:rFonts w:ascii="Calibri" w:hAnsi="Calibri" w:cs="Calibri"/>
          <w:sz w:val="24"/>
          <w:szCs w:val="24"/>
        </w:rPr>
        <w:t xml:space="preserve">Równolegle rośnie w siłę sektor </w:t>
      </w:r>
      <w:proofErr w:type="spellStart"/>
      <w:r w:rsidRPr="00F36AFA">
        <w:rPr>
          <w:rFonts w:ascii="Calibri" w:hAnsi="Calibri" w:cs="Calibri"/>
          <w:sz w:val="24"/>
          <w:szCs w:val="24"/>
        </w:rPr>
        <w:t>FinTech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– jego wartość w Polsce szacowana jest na ponad </w:t>
      </w:r>
      <w:r w:rsidR="00403A2F">
        <w:rPr>
          <w:rFonts w:ascii="Calibri" w:hAnsi="Calibri" w:cs="Calibri"/>
          <w:sz w:val="24"/>
          <w:szCs w:val="24"/>
        </w:rPr>
        <w:br/>
      </w:r>
      <w:r w:rsidRPr="00A42F27">
        <w:rPr>
          <w:rFonts w:ascii="Calibri" w:hAnsi="Calibri" w:cs="Calibri"/>
          <w:sz w:val="24"/>
          <w:szCs w:val="24"/>
        </w:rPr>
        <w:t>1,2 mld euro</w:t>
      </w:r>
      <w:r w:rsidRPr="00F36AFA">
        <w:rPr>
          <w:rFonts w:ascii="Calibri" w:hAnsi="Calibri" w:cs="Calibri"/>
          <w:sz w:val="24"/>
          <w:szCs w:val="24"/>
        </w:rPr>
        <w:t xml:space="preserve">! </w:t>
      </w:r>
      <w:r w:rsidR="008832C9" w:rsidRPr="00F36AFA">
        <w:rPr>
          <w:rFonts w:ascii="Calibri" w:hAnsi="Calibri" w:cs="Calibri"/>
          <w:sz w:val="24"/>
          <w:szCs w:val="24"/>
        </w:rPr>
        <w:t>Z analizy przeprowadzonej przez zespół cashless.pl</w:t>
      </w:r>
      <w:r w:rsidR="009C506A" w:rsidRPr="00F36AFA">
        <w:rPr>
          <w:rFonts w:ascii="Calibri" w:hAnsi="Calibri" w:cs="Calibri"/>
          <w:sz w:val="24"/>
          <w:szCs w:val="24"/>
        </w:rPr>
        <w:t>, który opublikował</w:t>
      </w:r>
      <w:r w:rsidR="008832C9" w:rsidRPr="00F36AFA">
        <w:rPr>
          <w:rFonts w:ascii="Calibri" w:hAnsi="Calibri" w:cs="Calibri"/>
          <w:sz w:val="24"/>
          <w:szCs w:val="24"/>
        </w:rPr>
        <w:t xml:space="preserve"> </w:t>
      </w:r>
      <w:r w:rsidR="009C506A" w:rsidRPr="00F36AFA">
        <w:rPr>
          <w:rFonts w:ascii="Calibri" w:hAnsi="Calibri" w:cs="Calibri"/>
          <w:sz w:val="24"/>
          <w:szCs w:val="24"/>
        </w:rPr>
        <w:t>„</w:t>
      </w:r>
      <w:hyperlink r:id="rId9" w:history="1">
        <w:r w:rsidR="009C506A" w:rsidRPr="00F36AFA">
          <w:rPr>
            <w:rStyle w:val="Hipercze"/>
            <w:rFonts w:ascii="Calibri" w:hAnsi="Calibri" w:cs="Calibri"/>
            <w:sz w:val="24"/>
            <w:szCs w:val="24"/>
          </w:rPr>
          <w:t xml:space="preserve">Mapy polskiego </w:t>
        </w:r>
        <w:proofErr w:type="spellStart"/>
        <w:r w:rsidR="009C506A" w:rsidRPr="00F36AFA">
          <w:rPr>
            <w:rStyle w:val="Hipercze"/>
            <w:rFonts w:ascii="Calibri" w:hAnsi="Calibri" w:cs="Calibri"/>
            <w:sz w:val="24"/>
            <w:szCs w:val="24"/>
          </w:rPr>
          <w:t>fintechu</w:t>
        </w:r>
        <w:proofErr w:type="spellEnd"/>
        <w:r w:rsidR="009C506A" w:rsidRPr="00F36AFA">
          <w:rPr>
            <w:rStyle w:val="Hipercze"/>
            <w:rFonts w:ascii="Calibri" w:hAnsi="Calibri" w:cs="Calibri"/>
            <w:sz w:val="24"/>
            <w:szCs w:val="24"/>
          </w:rPr>
          <w:t xml:space="preserve"> 2025</w:t>
        </w:r>
      </w:hyperlink>
      <w:r w:rsidR="009C506A" w:rsidRPr="00F36AFA">
        <w:rPr>
          <w:rFonts w:ascii="Calibri" w:hAnsi="Calibri" w:cs="Calibri"/>
          <w:sz w:val="24"/>
          <w:szCs w:val="24"/>
        </w:rPr>
        <w:t xml:space="preserve">”, </w:t>
      </w:r>
      <w:r w:rsidR="008832C9" w:rsidRPr="00F36AFA">
        <w:rPr>
          <w:rFonts w:ascii="Calibri" w:hAnsi="Calibri" w:cs="Calibri"/>
          <w:sz w:val="24"/>
          <w:szCs w:val="24"/>
        </w:rPr>
        <w:t xml:space="preserve">wynika, że </w:t>
      </w:r>
      <w:r w:rsidR="008832C9" w:rsidRPr="00A42F27">
        <w:rPr>
          <w:rFonts w:ascii="Calibri" w:hAnsi="Calibri" w:cs="Calibri"/>
          <w:sz w:val="24"/>
          <w:szCs w:val="24"/>
        </w:rPr>
        <w:t xml:space="preserve">na polskim rynku działają 383 firmy zidentyfikowane jako </w:t>
      </w:r>
      <w:proofErr w:type="spellStart"/>
      <w:r w:rsidR="00BD4F6F" w:rsidRPr="00A42F27">
        <w:rPr>
          <w:rFonts w:ascii="Calibri" w:hAnsi="Calibri" w:cs="Calibri"/>
          <w:sz w:val="24"/>
          <w:szCs w:val="24"/>
        </w:rPr>
        <w:t>FinTechy</w:t>
      </w:r>
      <w:proofErr w:type="spellEnd"/>
      <w:r w:rsidR="008832C9" w:rsidRPr="00A42F27">
        <w:rPr>
          <w:rFonts w:ascii="Calibri" w:hAnsi="Calibri" w:cs="Calibri"/>
          <w:sz w:val="24"/>
          <w:szCs w:val="24"/>
        </w:rPr>
        <w:t xml:space="preserve">. </w:t>
      </w:r>
      <w:r w:rsidR="008832C9" w:rsidRPr="00F36AFA">
        <w:rPr>
          <w:rFonts w:ascii="Calibri" w:hAnsi="Calibri" w:cs="Calibri"/>
          <w:sz w:val="24"/>
          <w:szCs w:val="24"/>
        </w:rPr>
        <w:t xml:space="preserve">To o 15 więcej niż w ubiegłorocznej edycji badania. </w:t>
      </w:r>
      <w:r w:rsidR="009C506A" w:rsidRPr="00F36AFA">
        <w:rPr>
          <w:rFonts w:ascii="Calibri" w:hAnsi="Calibri" w:cs="Calibri"/>
          <w:sz w:val="24"/>
          <w:szCs w:val="24"/>
        </w:rPr>
        <w:t>S</w:t>
      </w:r>
      <w:r w:rsidR="008832C9" w:rsidRPr="00F36AFA">
        <w:rPr>
          <w:rFonts w:ascii="Calibri" w:hAnsi="Calibri" w:cs="Calibri"/>
          <w:sz w:val="24"/>
          <w:szCs w:val="24"/>
        </w:rPr>
        <w:t>egmentami</w:t>
      </w:r>
      <w:r w:rsidR="009C506A" w:rsidRPr="00F36AFA">
        <w:rPr>
          <w:rFonts w:ascii="Calibri" w:hAnsi="Calibri" w:cs="Calibri"/>
          <w:sz w:val="24"/>
          <w:szCs w:val="24"/>
        </w:rPr>
        <w:t xml:space="preserve"> najliczniej</w:t>
      </w:r>
      <w:r w:rsidR="008832C9" w:rsidRPr="00F36AFA">
        <w:rPr>
          <w:rFonts w:ascii="Calibri" w:hAnsi="Calibri" w:cs="Calibri"/>
          <w:sz w:val="24"/>
          <w:szCs w:val="24"/>
        </w:rPr>
        <w:t xml:space="preserve"> reprezentowanym na Mapie pozostają płatności oraz dostawcy oprogramowania.</w:t>
      </w:r>
      <w:r w:rsidR="009C506A" w:rsidRPr="00F36AFA">
        <w:rPr>
          <w:rFonts w:ascii="Calibri" w:hAnsi="Calibri" w:cs="Calibri"/>
          <w:sz w:val="24"/>
          <w:szCs w:val="24"/>
        </w:rPr>
        <w:t xml:space="preserve"> </w:t>
      </w:r>
    </w:p>
    <w:p w14:paraId="3533620E" w14:textId="12E1F445" w:rsidR="001840E8" w:rsidRDefault="008832C9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36AFA">
        <w:rPr>
          <w:rFonts w:ascii="Calibri" w:hAnsi="Calibri" w:cs="Calibri"/>
          <w:sz w:val="24"/>
          <w:szCs w:val="24"/>
        </w:rPr>
        <w:t xml:space="preserve">Zdecydowana większość polskich </w:t>
      </w:r>
      <w:proofErr w:type="spellStart"/>
      <w:r w:rsidR="00BD4F6F" w:rsidRPr="00F36AFA">
        <w:rPr>
          <w:rFonts w:ascii="Calibri" w:hAnsi="Calibri" w:cs="Calibri"/>
          <w:sz w:val="24"/>
          <w:szCs w:val="24"/>
        </w:rPr>
        <w:t>FinTechów</w:t>
      </w:r>
      <w:proofErr w:type="spellEnd"/>
      <w:r w:rsidRPr="00F36AFA">
        <w:rPr>
          <w:rFonts w:ascii="Calibri" w:hAnsi="Calibri" w:cs="Calibri"/>
          <w:sz w:val="24"/>
          <w:szCs w:val="24"/>
        </w:rPr>
        <w:t xml:space="preserve"> prowadzi biznes głównie na polskim rynku, tylko 12% </w:t>
      </w:r>
      <w:r w:rsidR="00FE015E" w:rsidRPr="00F36AFA">
        <w:rPr>
          <w:rFonts w:ascii="Calibri" w:hAnsi="Calibri" w:cs="Calibri"/>
          <w:sz w:val="24"/>
          <w:szCs w:val="24"/>
        </w:rPr>
        <w:t xml:space="preserve">firm </w:t>
      </w:r>
      <w:r w:rsidR="009C506A" w:rsidRPr="00F36AFA">
        <w:rPr>
          <w:rFonts w:ascii="Calibri" w:hAnsi="Calibri" w:cs="Calibri"/>
          <w:sz w:val="24"/>
          <w:szCs w:val="24"/>
        </w:rPr>
        <w:t>niemal</w:t>
      </w:r>
      <w:r w:rsidRPr="00F36AFA">
        <w:rPr>
          <w:rFonts w:ascii="Calibri" w:hAnsi="Calibri" w:cs="Calibri"/>
          <w:sz w:val="24"/>
          <w:szCs w:val="24"/>
        </w:rPr>
        <w:t xml:space="preserve"> całość sprzedaży, a więc co najmniej 70%, realizuje poza granicami naszego kraju.</w:t>
      </w:r>
      <w:r w:rsidR="00403A2F">
        <w:rPr>
          <w:rFonts w:ascii="Calibri" w:hAnsi="Calibri" w:cs="Calibri"/>
          <w:sz w:val="24"/>
          <w:szCs w:val="24"/>
        </w:rPr>
        <w:t xml:space="preserve"> </w:t>
      </w:r>
      <w:r w:rsidR="00FE015E" w:rsidRPr="00F36AFA">
        <w:rPr>
          <w:rFonts w:ascii="Calibri" w:hAnsi="Calibri" w:cs="Calibri"/>
          <w:sz w:val="24"/>
          <w:szCs w:val="24"/>
        </w:rPr>
        <w:t xml:space="preserve">Z obu tych branż słychać głosy, że największym wyzwaniem w rozwoju firm jest </w:t>
      </w:r>
      <w:r w:rsidR="00365CA5">
        <w:rPr>
          <w:rFonts w:ascii="Calibri" w:hAnsi="Calibri" w:cs="Calibri"/>
          <w:sz w:val="24"/>
          <w:szCs w:val="24"/>
        </w:rPr>
        <w:t xml:space="preserve">m.in. </w:t>
      </w:r>
      <w:r w:rsidR="00FE015E" w:rsidRPr="00F36AFA">
        <w:rPr>
          <w:rFonts w:ascii="Calibri" w:hAnsi="Calibri" w:cs="Calibri"/>
          <w:sz w:val="24"/>
          <w:szCs w:val="24"/>
        </w:rPr>
        <w:lastRenderedPageBreak/>
        <w:t>pozyskanie finansowania</w:t>
      </w:r>
      <w:r w:rsidR="00365CA5">
        <w:rPr>
          <w:rFonts w:ascii="Calibri" w:hAnsi="Calibri" w:cs="Calibri"/>
          <w:sz w:val="24"/>
          <w:szCs w:val="24"/>
        </w:rPr>
        <w:t xml:space="preserve"> i wejście na rynki zagraniczne</w:t>
      </w:r>
      <w:r w:rsidR="00FE015E" w:rsidRPr="00F36AFA">
        <w:rPr>
          <w:rFonts w:ascii="Calibri" w:hAnsi="Calibri" w:cs="Calibri"/>
          <w:sz w:val="24"/>
          <w:szCs w:val="24"/>
        </w:rPr>
        <w:t>. W odpowiedzi na te apele PARP uruchomiła nabór „</w:t>
      </w:r>
      <w:proofErr w:type="spellStart"/>
      <w:r w:rsidR="00FE015E" w:rsidRPr="00F36AFA">
        <w:rPr>
          <w:rFonts w:ascii="Calibri" w:hAnsi="Calibri" w:cs="Calibri"/>
          <w:sz w:val="24"/>
          <w:szCs w:val="24"/>
        </w:rPr>
        <w:t>Startups</w:t>
      </w:r>
      <w:proofErr w:type="spellEnd"/>
      <w:r w:rsidR="00FE015E" w:rsidRPr="00F36A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E015E" w:rsidRPr="00F36AFA">
        <w:rPr>
          <w:rFonts w:ascii="Calibri" w:hAnsi="Calibri" w:cs="Calibri"/>
          <w:sz w:val="24"/>
          <w:szCs w:val="24"/>
        </w:rPr>
        <w:t>Are</w:t>
      </w:r>
      <w:proofErr w:type="spellEnd"/>
      <w:r w:rsidR="00FE015E" w:rsidRPr="00F36A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E015E" w:rsidRPr="00F36AFA">
        <w:rPr>
          <w:rFonts w:ascii="Calibri" w:hAnsi="Calibri" w:cs="Calibri"/>
          <w:sz w:val="24"/>
          <w:szCs w:val="24"/>
        </w:rPr>
        <w:t>Us</w:t>
      </w:r>
      <w:proofErr w:type="spellEnd"/>
      <w:r w:rsidR="00FE015E" w:rsidRPr="00F36AFA">
        <w:rPr>
          <w:rFonts w:ascii="Calibri" w:hAnsi="Calibri" w:cs="Calibri"/>
          <w:sz w:val="24"/>
          <w:szCs w:val="24"/>
        </w:rPr>
        <w:t xml:space="preserve">” dla sektorów </w:t>
      </w:r>
      <w:hyperlink r:id="rId10" w:history="1">
        <w:proofErr w:type="spellStart"/>
        <w:r w:rsidR="00FE015E" w:rsidRPr="00F36AFA">
          <w:rPr>
            <w:rStyle w:val="Hipercze"/>
            <w:rFonts w:ascii="Calibri" w:hAnsi="Calibri" w:cs="Calibri"/>
            <w:sz w:val="24"/>
            <w:szCs w:val="24"/>
          </w:rPr>
          <w:t>MedTech</w:t>
        </w:r>
        <w:proofErr w:type="spellEnd"/>
      </w:hyperlink>
      <w:r w:rsidR="00FE015E" w:rsidRPr="00F36AFA">
        <w:rPr>
          <w:rFonts w:ascii="Calibri" w:hAnsi="Calibri" w:cs="Calibri"/>
          <w:sz w:val="24"/>
          <w:szCs w:val="24"/>
        </w:rPr>
        <w:t xml:space="preserve"> i </w:t>
      </w:r>
      <w:hyperlink r:id="rId11" w:history="1">
        <w:proofErr w:type="spellStart"/>
        <w:r w:rsidR="00FE015E" w:rsidRPr="00F36AFA">
          <w:rPr>
            <w:rStyle w:val="Hipercze"/>
            <w:rFonts w:ascii="Calibri" w:hAnsi="Calibri" w:cs="Calibri"/>
            <w:sz w:val="24"/>
            <w:szCs w:val="24"/>
          </w:rPr>
          <w:t>FinTech</w:t>
        </w:r>
        <w:proofErr w:type="spellEnd"/>
      </w:hyperlink>
      <w:r w:rsidR="00FE015E" w:rsidRPr="00F36AFA">
        <w:rPr>
          <w:rFonts w:ascii="Calibri" w:hAnsi="Calibri" w:cs="Calibri"/>
          <w:sz w:val="24"/>
          <w:szCs w:val="24"/>
        </w:rPr>
        <w:t xml:space="preserve">. </w:t>
      </w:r>
    </w:p>
    <w:p w14:paraId="6ABF3E18" w14:textId="2C525851" w:rsidR="00365CA5" w:rsidRPr="00365CA5" w:rsidRDefault="00365CA5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r w:rsidRPr="00F36AFA">
        <w:rPr>
          <w:rFonts w:cs="Calibri"/>
          <w:bCs/>
          <w:szCs w:val="28"/>
        </w:rPr>
        <w:t xml:space="preserve">Startuj z pomysłem! </w:t>
      </w:r>
    </w:p>
    <w:p w14:paraId="23D194DF" w14:textId="4B501020" w:rsidR="000E2E9D" w:rsidRPr="008213FD" w:rsidRDefault="00365CA5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>„</w:t>
      </w:r>
      <w:proofErr w:type="spellStart"/>
      <w:r w:rsidRPr="008213FD">
        <w:rPr>
          <w:rFonts w:ascii="Calibri" w:hAnsi="Calibri" w:cs="Calibri"/>
          <w:sz w:val="24"/>
          <w:szCs w:val="24"/>
        </w:rPr>
        <w:t>Startups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13FD">
        <w:rPr>
          <w:rFonts w:ascii="Calibri" w:hAnsi="Calibri" w:cs="Calibri"/>
          <w:sz w:val="24"/>
          <w:szCs w:val="24"/>
        </w:rPr>
        <w:t>Are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13FD">
        <w:rPr>
          <w:rFonts w:ascii="Calibri" w:hAnsi="Calibri" w:cs="Calibri"/>
          <w:sz w:val="24"/>
          <w:szCs w:val="24"/>
        </w:rPr>
        <w:t>Us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” to program realizowany z Funduszy Europejskich dla Nowoczesnej Gospodarki 2021–2027 (FENG), skierowany do młodych firm, które mają pomysł na nowoczesne rozwiązania i chcą wprowadzić je na rynek. Konkurs jest otwarty dla zespołów na różnych etapach rozwoju – od prototypów, przez MVP, aż po rozwijające się firmy. Wnioski można składać do 20 sierpnia br. </w:t>
      </w:r>
    </w:p>
    <w:p w14:paraId="0B4CBF90" w14:textId="12539A55" w:rsidR="00434C35" w:rsidRPr="008213FD" w:rsidRDefault="000E2E9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 xml:space="preserve">Do naboru mogą zgłaszać się startupy, które opracowały innowacyjne rozwiązanie technologiczne w obszarze ochrony zdrowia (np. sprzęt diagnostyczny, narzędzia chirurgiczne, urządzenia do obrazowania, implanty, systemy informatyczne dla szpitali, rozwiązania z zakresu diagnostyki in vitro) lub w zakresie usług finansowych czy ubezpieczeniowych (np. systemy płatności cyfrowych, platformy pożyczkowe, robo-doradztwo, </w:t>
      </w:r>
      <w:proofErr w:type="spellStart"/>
      <w:r w:rsidRPr="008213FD">
        <w:rPr>
          <w:rFonts w:ascii="Calibri" w:hAnsi="Calibri" w:cs="Calibri"/>
          <w:sz w:val="24"/>
          <w:szCs w:val="24"/>
        </w:rPr>
        <w:t>blockchain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 w finansach, </w:t>
      </w:r>
      <w:proofErr w:type="spellStart"/>
      <w:r w:rsidRPr="008213FD">
        <w:rPr>
          <w:rFonts w:ascii="Calibri" w:hAnsi="Calibri" w:cs="Calibri"/>
          <w:sz w:val="24"/>
          <w:szCs w:val="24"/>
        </w:rPr>
        <w:t>insurtech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, zarządzanie ryzykiem). </w:t>
      </w:r>
    </w:p>
    <w:p w14:paraId="045DD4B0" w14:textId="0164A6C1" w:rsidR="000E2E9D" w:rsidRPr="008213FD" w:rsidRDefault="00365CA5" w:rsidP="00A42F27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 xml:space="preserve">Programy realizowane dla startupów mają formę wyjazdowych misji zagranicznych, powiązanych z komponentem edukacyjnym realizowanym w kraju. Podczas misji wyselekcjonowane w konkurencyjnej procedurze startupy będą uczestniczyły w wydarzeniach, spotkaniach z potencjalnymi inwestorami, odbiorcami przygotowanych przez nich rozwiązań, a także podmiotami wspierającymi ekspansję na rynki zagraniczne. Uczestnicy mają okazję zaprezentować swoje pomysły przed inwestorami, mentorami oraz ekspertami z branży, a także zdobyć cenne nagrody, w tym wsparcie finansowe, dostęp do sieci kontaktów oraz możliwość współpracy z doświadczonymi partnerami biznesowymi. </w:t>
      </w:r>
    </w:p>
    <w:p w14:paraId="792B1E0D" w14:textId="0D5DE99F" w:rsidR="001840E8" w:rsidRPr="00A42F27" w:rsidRDefault="00365CA5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42F27">
        <w:rPr>
          <w:rFonts w:ascii="Calibri" w:hAnsi="Calibri" w:cs="Calibri"/>
          <w:sz w:val="24"/>
          <w:szCs w:val="24"/>
        </w:rPr>
        <w:t>Więcej informacji na temat naboru „</w:t>
      </w:r>
      <w:proofErr w:type="spellStart"/>
      <w:r w:rsidRPr="00A42F27">
        <w:rPr>
          <w:rFonts w:ascii="Calibri" w:hAnsi="Calibri" w:cs="Calibri"/>
          <w:sz w:val="24"/>
          <w:szCs w:val="24"/>
        </w:rPr>
        <w:t>Startups</w:t>
      </w:r>
      <w:proofErr w:type="spellEnd"/>
      <w:r w:rsidRPr="00A42F2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42F27">
        <w:rPr>
          <w:rFonts w:ascii="Calibri" w:hAnsi="Calibri" w:cs="Calibri"/>
          <w:sz w:val="24"/>
          <w:szCs w:val="24"/>
        </w:rPr>
        <w:t>Are</w:t>
      </w:r>
      <w:proofErr w:type="spellEnd"/>
      <w:r w:rsidRPr="00A42F2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42F27">
        <w:rPr>
          <w:rFonts w:ascii="Calibri" w:hAnsi="Calibri" w:cs="Calibri"/>
          <w:sz w:val="24"/>
          <w:szCs w:val="24"/>
        </w:rPr>
        <w:t>Us</w:t>
      </w:r>
      <w:proofErr w:type="spellEnd"/>
      <w:r w:rsidRPr="00A42F27">
        <w:rPr>
          <w:rFonts w:ascii="Calibri" w:hAnsi="Calibri" w:cs="Calibri"/>
          <w:sz w:val="24"/>
          <w:szCs w:val="24"/>
        </w:rPr>
        <w:t xml:space="preserve">” dla branży </w:t>
      </w:r>
      <w:hyperlink r:id="rId12" w:history="1">
        <w:proofErr w:type="spellStart"/>
        <w:r w:rsidRPr="00A42F27">
          <w:rPr>
            <w:rStyle w:val="Hipercze"/>
            <w:rFonts w:ascii="Calibri" w:hAnsi="Calibri" w:cs="Calibri"/>
            <w:sz w:val="24"/>
            <w:szCs w:val="24"/>
          </w:rPr>
          <w:t>MedTech</w:t>
        </w:r>
        <w:proofErr w:type="spellEnd"/>
      </w:hyperlink>
      <w:r w:rsidRPr="00A42F27">
        <w:rPr>
          <w:rFonts w:ascii="Calibri" w:hAnsi="Calibri" w:cs="Calibri"/>
          <w:sz w:val="24"/>
          <w:szCs w:val="24"/>
        </w:rPr>
        <w:t xml:space="preserve"> i </w:t>
      </w:r>
      <w:hyperlink r:id="rId13" w:history="1">
        <w:proofErr w:type="spellStart"/>
        <w:r w:rsidRPr="00A42F27">
          <w:rPr>
            <w:rStyle w:val="Hipercze"/>
            <w:rFonts w:ascii="Calibri" w:hAnsi="Calibri" w:cs="Calibri"/>
            <w:sz w:val="24"/>
            <w:szCs w:val="24"/>
          </w:rPr>
          <w:t>FinTech</w:t>
        </w:r>
        <w:proofErr w:type="spellEnd"/>
      </w:hyperlink>
      <w:r w:rsidRPr="00A42F27">
        <w:rPr>
          <w:rFonts w:ascii="Calibri" w:hAnsi="Calibri" w:cs="Calibri"/>
          <w:sz w:val="24"/>
          <w:szCs w:val="24"/>
        </w:rPr>
        <w:t xml:space="preserve"> znajdziesz na stronie PARP. </w:t>
      </w:r>
    </w:p>
    <w:p w14:paraId="13242B72" w14:textId="4F68EA13" w:rsidR="00921AE4" w:rsidRPr="008213FD" w:rsidRDefault="00921AE4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r w:rsidRPr="008213FD">
        <w:rPr>
          <w:rFonts w:cs="Calibri"/>
          <w:bCs/>
          <w:szCs w:val="28"/>
        </w:rPr>
        <w:t xml:space="preserve">Jeszcze więcej opcji dla </w:t>
      </w:r>
      <w:r w:rsidR="00AA24C9" w:rsidRPr="008213FD">
        <w:rPr>
          <w:rFonts w:cs="Calibri"/>
          <w:bCs/>
          <w:szCs w:val="28"/>
        </w:rPr>
        <w:t>innowatorów</w:t>
      </w:r>
      <w:r w:rsidRPr="008213FD">
        <w:rPr>
          <w:rFonts w:cs="Calibri"/>
          <w:bCs/>
          <w:szCs w:val="28"/>
        </w:rPr>
        <w:t>!</w:t>
      </w:r>
    </w:p>
    <w:p w14:paraId="7DA9061C" w14:textId="66D83261" w:rsidR="00CC52E7" w:rsidRPr="008213FD" w:rsidRDefault="00CC52E7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>Dla tych, którzy mają w głowie rewolucyjny pomysł na technologiczne rozwiązanie, ale nie wiedzą, od czego zacząć, PARP prowadzi nabór „</w:t>
      </w:r>
      <w:hyperlink r:id="rId14" w:history="1">
        <w:r w:rsidRPr="008213FD">
          <w:rPr>
            <w:rStyle w:val="Hipercze"/>
            <w:rFonts w:ascii="Calibri" w:hAnsi="Calibri" w:cs="Calibri"/>
            <w:sz w:val="24"/>
            <w:szCs w:val="24"/>
          </w:rPr>
          <w:t>Laboratorium Innowatora</w:t>
        </w:r>
      </w:hyperlink>
      <w:r w:rsidRPr="008213FD">
        <w:rPr>
          <w:rFonts w:ascii="Calibri" w:hAnsi="Calibri" w:cs="Calibri"/>
          <w:sz w:val="24"/>
          <w:szCs w:val="24"/>
        </w:rPr>
        <w:t xml:space="preserve">”. To działanie również finansowane z FENG, które daje indywidualnym wynalazcom i przyszłym przedsiębiorcom szansę na rozwinięcie skrzydeł. Uczestnicy otrzymują wsparcie profesjonalnych operatorów – instytucji specjalizujących się w akceleracji i doradztwie biznesowym. Zapewniają mentoring, warsztaty oraz pomoc w przygotowaniu modelu biznesowego i planu wejścia na rynek. To idealna okazja, żeby przetestować </w:t>
      </w:r>
      <w:r w:rsidR="008213FD">
        <w:rPr>
          <w:rFonts w:ascii="Calibri" w:hAnsi="Calibri" w:cs="Calibri"/>
          <w:sz w:val="24"/>
          <w:szCs w:val="24"/>
        </w:rPr>
        <w:t>swój pomysł</w:t>
      </w:r>
      <w:r w:rsidRPr="008213FD">
        <w:rPr>
          <w:rFonts w:ascii="Calibri" w:hAnsi="Calibri" w:cs="Calibri"/>
          <w:sz w:val="24"/>
          <w:szCs w:val="24"/>
        </w:rPr>
        <w:t xml:space="preserve"> i zrobić pierwszy, solidny krok w stronę wdrożenia. Pomysłodawcy w toku procesu inkubacji </w:t>
      </w:r>
      <w:r w:rsidR="008213FD">
        <w:rPr>
          <w:rFonts w:ascii="Calibri" w:hAnsi="Calibri" w:cs="Calibri"/>
          <w:sz w:val="24"/>
          <w:szCs w:val="24"/>
        </w:rPr>
        <w:t>sprawdza</w:t>
      </w:r>
      <w:r w:rsidRPr="008213FD">
        <w:rPr>
          <w:rFonts w:ascii="Calibri" w:hAnsi="Calibri" w:cs="Calibri"/>
          <w:sz w:val="24"/>
          <w:szCs w:val="24"/>
        </w:rPr>
        <w:t xml:space="preserve">ją przyjęte założenia rynkowe i mogą zrealizować prototyp swojego rozwiązania w postaci MVP, korzystając w tym celu ze wsparcia w postaci pakietu dostępnych usług o równowartości 50 tys. zł. </w:t>
      </w:r>
    </w:p>
    <w:p w14:paraId="4C94879A" w14:textId="1032B767" w:rsidR="00CC52E7" w:rsidRPr="008213FD" w:rsidRDefault="00CC52E7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 xml:space="preserve">Polskie startupy coraz śmielej wkraczają w świat zaawansowanych technologii – od sztucznej inteligencji, przez </w:t>
      </w:r>
      <w:proofErr w:type="spellStart"/>
      <w:r w:rsidRPr="008213FD">
        <w:rPr>
          <w:rFonts w:ascii="Calibri" w:hAnsi="Calibri" w:cs="Calibri"/>
          <w:sz w:val="24"/>
          <w:szCs w:val="24"/>
        </w:rPr>
        <w:t>internet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 rzeczy i rozwiązania smart </w:t>
      </w:r>
      <w:proofErr w:type="spellStart"/>
      <w:r w:rsidRPr="008213FD">
        <w:rPr>
          <w:rFonts w:ascii="Calibri" w:hAnsi="Calibri" w:cs="Calibri"/>
          <w:sz w:val="24"/>
          <w:szCs w:val="24"/>
        </w:rPr>
        <w:t>city</w:t>
      </w:r>
      <w:proofErr w:type="spellEnd"/>
      <w:r w:rsidRPr="008213FD">
        <w:rPr>
          <w:rFonts w:ascii="Calibri" w:hAnsi="Calibri" w:cs="Calibri"/>
          <w:sz w:val="24"/>
          <w:szCs w:val="24"/>
        </w:rPr>
        <w:t xml:space="preserve">, po robotykę i automatyzację. Ale </w:t>
      </w:r>
      <w:r w:rsidRPr="008213FD">
        <w:rPr>
          <w:rFonts w:ascii="Calibri" w:hAnsi="Calibri" w:cs="Calibri"/>
          <w:sz w:val="24"/>
          <w:szCs w:val="24"/>
        </w:rPr>
        <w:lastRenderedPageBreak/>
        <w:t xml:space="preserve">innowacja to nie tylko dobry pomysł – to również odpowiedni moment, wsparcie </w:t>
      </w:r>
      <w:r w:rsidR="00434C35" w:rsidRPr="008213FD">
        <w:rPr>
          <w:rFonts w:ascii="Calibri" w:hAnsi="Calibri" w:cs="Calibri"/>
          <w:sz w:val="24"/>
          <w:szCs w:val="24"/>
        </w:rPr>
        <w:t>oraz</w:t>
      </w:r>
      <w:r w:rsidRPr="008213FD">
        <w:rPr>
          <w:rFonts w:ascii="Calibri" w:hAnsi="Calibri" w:cs="Calibri"/>
          <w:sz w:val="24"/>
          <w:szCs w:val="24"/>
        </w:rPr>
        <w:t xml:space="preserve"> finansowanie. I właśnie tu z pomocą przychodzi PARP z dwoma programami pod wspólnym szyldem Startup Booster Poland. </w:t>
      </w:r>
    </w:p>
    <w:p w14:paraId="7DD2290B" w14:textId="0DB8B8C1" w:rsidR="000C45F8" w:rsidRPr="008213FD" w:rsidRDefault="000C45F8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>„</w:t>
      </w:r>
      <w:hyperlink r:id="rId15" w:history="1">
        <w:r w:rsidRPr="008213FD">
          <w:rPr>
            <w:rStyle w:val="Hipercze"/>
            <w:rFonts w:ascii="Calibri" w:hAnsi="Calibri" w:cs="Calibri"/>
            <w:sz w:val="24"/>
            <w:szCs w:val="24"/>
          </w:rPr>
          <w:t>Startup Booster Poland – Smart UP</w:t>
        </w:r>
      </w:hyperlink>
      <w:r w:rsidRPr="008213FD">
        <w:rPr>
          <w:rFonts w:ascii="Calibri" w:hAnsi="Calibri" w:cs="Calibri"/>
          <w:sz w:val="24"/>
          <w:szCs w:val="24"/>
        </w:rPr>
        <w:t>”</w:t>
      </w:r>
      <w:r w:rsidR="00CC52E7" w:rsidRPr="008213FD">
        <w:rPr>
          <w:rFonts w:ascii="Calibri" w:hAnsi="Calibri" w:cs="Calibri"/>
          <w:sz w:val="24"/>
          <w:szCs w:val="24"/>
        </w:rPr>
        <w:t xml:space="preserve"> może okazać się przepustką do świata dużego biznesu.</w:t>
      </w:r>
      <w:r w:rsidRPr="008213FD">
        <w:rPr>
          <w:rFonts w:ascii="Calibri" w:hAnsi="Calibri" w:cs="Calibri"/>
          <w:sz w:val="24"/>
          <w:szCs w:val="24"/>
        </w:rPr>
        <w:t xml:space="preserve"> To inicjatywa, która nie tylko zapewnia finansowe </w:t>
      </w:r>
      <w:r w:rsidRPr="00A42F27">
        <w:rPr>
          <w:rFonts w:ascii="Calibri" w:hAnsi="Calibri" w:cs="Calibri"/>
          <w:sz w:val="24"/>
          <w:szCs w:val="24"/>
        </w:rPr>
        <w:t>wsparcie w wysokości do 400 tys. zł,</w:t>
      </w:r>
      <w:r w:rsidRPr="008213FD">
        <w:rPr>
          <w:rFonts w:ascii="Calibri" w:hAnsi="Calibri" w:cs="Calibri"/>
          <w:sz w:val="24"/>
          <w:szCs w:val="24"/>
        </w:rPr>
        <w:t xml:space="preserve"> lecz także może pomóc młodym firmom w ekspansji międzynarodowej za sprawą ścieżki „Go Global”. Wnioski można składać aż do 31 października 2026 roku, co daje przedsiębiorcom czas na</w:t>
      </w:r>
      <w:r w:rsidR="009A5B16" w:rsidRPr="008213FD">
        <w:rPr>
          <w:rFonts w:ascii="Calibri" w:hAnsi="Calibri" w:cs="Calibri"/>
          <w:sz w:val="24"/>
          <w:szCs w:val="24"/>
        </w:rPr>
        <w:t xml:space="preserve"> solidne</w:t>
      </w:r>
      <w:r w:rsidRPr="008213FD">
        <w:rPr>
          <w:rFonts w:ascii="Calibri" w:hAnsi="Calibri" w:cs="Calibri"/>
          <w:sz w:val="24"/>
          <w:szCs w:val="24"/>
        </w:rPr>
        <w:t xml:space="preserve"> </w:t>
      </w:r>
      <w:r w:rsidR="009A5B16" w:rsidRPr="008213FD">
        <w:rPr>
          <w:rFonts w:ascii="Calibri" w:hAnsi="Calibri" w:cs="Calibri"/>
          <w:sz w:val="24"/>
          <w:szCs w:val="24"/>
        </w:rPr>
        <w:t>dopracowanie</w:t>
      </w:r>
      <w:r w:rsidRPr="008213FD">
        <w:rPr>
          <w:rFonts w:ascii="Calibri" w:hAnsi="Calibri" w:cs="Calibri"/>
          <w:sz w:val="24"/>
          <w:szCs w:val="24"/>
        </w:rPr>
        <w:t xml:space="preserve"> projektów.</w:t>
      </w:r>
    </w:p>
    <w:p w14:paraId="02A7611F" w14:textId="0F11B2BB" w:rsidR="001840E8" w:rsidRPr="008213FD" w:rsidRDefault="00CC52E7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213FD">
        <w:rPr>
          <w:rFonts w:ascii="Calibri" w:hAnsi="Calibri" w:cs="Calibri"/>
          <w:sz w:val="24"/>
          <w:szCs w:val="24"/>
        </w:rPr>
        <w:t>Z aplikacją muszą pospieszyć się</w:t>
      </w:r>
      <w:r w:rsidR="006755DB" w:rsidRPr="008213FD">
        <w:rPr>
          <w:rFonts w:ascii="Calibri" w:hAnsi="Calibri" w:cs="Calibri"/>
          <w:sz w:val="24"/>
          <w:szCs w:val="24"/>
        </w:rPr>
        <w:t xml:space="preserve"> akceleratory, które chciałyby pozyskać nawet 10 mln zł na zieloną transformację dzięki udziałowi w naborze „</w:t>
      </w:r>
      <w:hyperlink r:id="rId16" w:history="1">
        <w:r w:rsidR="006755DB" w:rsidRPr="008213FD">
          <w:rPr>
            <w:rStyle w:val="Hipercze"/>
            <w:rFonts w:ascii="Calibri" w:hAnsi="Calibri" w:cs="Calibri"/>
            <w:sz w:val="24"/>
            <w:szCs w:val="24"/>
          </w:rPr>
          <w:t xml:space="preserve">Startup Booster Poland – </w:t>
        </w:r>
        <w:proofErr w:type="spellStart"/>
        <w:r w:rsidR="006755DB" w:rsidRPr="008213FD">
          <w:rPr>
            <w:rStyle w:val="Hipercze"/>
            <w:rFonts w:ascii="Calibri" w:hAnsi="Calibri" w:cs="Calibri"/>
            <w:sz w:val="24"/>
            <w:szCs w:val="24"/>
          </w:rPr>
          <w:t>Scale</w:t>
        </w:r>
        <w:proofErr w:type="spellEnd"/>
        <w:r w:rsidR="006755DB" w:rsidRPr="008213FD">
          <w:rPr>
            <w:rStyle w:val="Hipercze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55DB" w:rsidRPr="008213FD">
          <w:rPr>
            <w:rStyle w:val="Hipercze"/>
            <w:rFonts w:ascii="Calibri" w:hAnsi="Calibri" w:cs="Calibri"/>
            <w:sz w:val="24"/>
            <w:szCs w:val="24"/>
          </w:rPr>
          <w:t>Up</w:t>
        </w:r>
        <w:proofErr w:type="spellEnd"/>
        <w:r w:rsidR="006755DB" w:rsidRPr="008213FD">
          <w:rPr>
            <w:rStyle w:val="Hipercze"/>
            <w:rFonts w:ascii="Calibri" w:hAnsi="Calibri" w:cs="Calibri"/>
            <w:sz w:val="24"/>
            <w:szCs w:val="24"/>
          </w:rPr>
          <w:t xml:space="preserve"> Green</w:t>
        </w:r>
      </w:hyperlink>
      <w:r w:rsidR="006755DB" w:rsidRPr="008213FD">
        <w:rPr>
          <w:rFonts w:ascii="Calibri" w:hAnsi="Calibri" w:cs="Calibri"/>
          <w:sz w:val="24"/>
          <w:szCs w:val="24"/>
        </w:rPr>
        <w:t xml:space="preserve">”. </w:t>
      </w:r>
      <w:r w:rsidR="00434C35" w:rsidRPr="00A42F27">
        <w:rPr>
          <w:rFonts w:ascii="Calibri" w:hAnsi="Calibri" w:cs="Calibri"/>
          <w:sz w:val="24"/>
          <w:szCs w:val="24"/>
        </w:rPr>
        <w:t>Wnioski będą przyjmowane do 17 września br.</w:t>
      </w:r>
      <w:r w:rsidR="00434C35" w:rsidRPr="008213FD">
        <w:rPr>
          <w:rFonts w:ascii="Calibri" w:hAnsi="Calibri" w:cs="Calibri"/>
          <w:sz w:val="24"/>
          <w:szCs w:val="24"/>
        </w:rPr>
        <w:t xml:space="preserve"> </w:t>
      </w:r>
      <w:r w:rsidR="00EE0C9D" w:rsidRPr="008213FD">
        <w:rPr>
          <w:rFonts w:ascii="Calibri" w:hAnsi="Calibri" w:cs="Calibri"/>
          <w:sz w:val="24"/>
          <w:szCs w:val="24"/>
        </w:rPr>
        <w:t>Program daje szansę na otrzymanie dofinansowania oraz ugruntowanie pozycji instytucji, która skutecznie rozwija startupy, umożliwia pilotażowe wdrożenia i wspiera firmy w przechodzeniu na model gospodarki cyrkularnej.</w:t>
      </w:r>
    </w:p>
    <w:p w14:paraId="6F23D409" w14:textId="2C12E1B1" w:rsidR="00921AE4" w:rsidRPr="008213FD" w:rsidRDefault="00AA24C9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r w:rsidRPr="008213FD">
        <w:rPr>
          <w:rFonts w:cs="Calibri"/>
          <w:bCs/>
          <w:szCs w:val="28"/>
        </w:rPr>
        <w:t>Przyspieszamy r</w:t>
      </w:r>
      <w:r w:rsidR="004D1504" w:rsidRPr="008213FD">
        <w:rPr>
          <w:rFonts w:cs="Calibri"/>
          <w:bCs/>
          <w:szCs w:val="28"/>
        </w:rPr>
        <w:t>ozwój</w:t>
      </w:r>
      <w:r w:rsidR="00451CE2" w:rsidRPr="008213FD">
        <w:rPr>
          <w:rFonts w:cs="Calibri"/>
          <w:bCs/>
          <w:szCs w:val="28"/>
        </w:rPr>
        <w:t xml:space="preserve"> technologii krytycznych</w:t>
      </w:r>
      <w:r w:rsidR="004D1504" w:rsidRPr="008213FD">
        <w:rPr>
          <w:rFonts w:cs="Calibri"/>
          <w:bCs/>
          <w:szCs w:val="28"/>
        </w:rPr>
        <w:t>!</w:t>
      </w:r>
    </w:p>
    <w:p w14:paraId="3D34BBC3" w14:textId="0B709451" w:rsidR="007A483A" w:rsidRPr="00022671" w:rsidRDefault="004D1504" w:rsidP="00A42F27">
      <w:pPr>
        <w:spacing w:before="120" w:after="120" w:line="276" w:lineRule="auto"/>
        <w:rPr>
          <w:rFonts w:ascii="Calibri" w:hAnsi="Calibri" w:cs="Calibri"/>
          <w:b/>
          <w:bCs/>
          <w:sz w:val="32"/>
          <w:szCs w:val="32"/>
        </w:rPr>
      </w:pPr>
      <w:r w:rsidRPr="00022671">
        <w:rPr>
          <w:rFonts w:ascii="Calibri" w:hAnsi="Calibri" w:cs="Calibri"/>
          <w:sz w:val="24"/>
          <w:szCs w:val="24"/>
        </w:rPr>
        <w:t xml:space="preserve">W bieżącym roku PARP uruchomi aż siedem naborów w celu wsparcia trzech obszarów: biomedycznego, technologii cyfrowych oraz czystych i </w:t>
      </w:r>
      <w:proofErr w:type="spellStart"/>
      <w:r w:rsidRPr="00022671">
        <w:rPr>
          <w:rFonts w:ascii="Calibri" w:hAnsi="Calibri" w:cs="Calibri"/>
          <w:sz w:val="24"/>
          <w:szCs w:val="24"/>
        </w:rPr>
        <w:t>zasobooszczędnych</w:t>
      </w:r>
      <w:proofErr w:type="spellEnd"/>
      <w:r w:rsidRPr="00022671">
        <w:rPr>
          <w:rFonts w:ascii="Calibri" w:hAnsi="Calibri" w:cs="Calibri"/>
          <w:sz w:val="24"/>
          <w:szCs w:val="24"/>
        </w:rPr>
        <w:t xml:space="preserve"> technologii. Dla każdego z nich przewidziano dwie ścieżki: innowacyjność i strategiczną niezależność. Na ten cel Agencja ma do dyspozycji ponad 495 mln euro. Dotychczas </w:t>
      </w:r>
      <w:r w:rsidR="00F70A90" w:rsidRPr="00022671">
        <w:rPr>
          <w:rFonts w:ascii="Calibri" w:hAnsi="Calibri" w:cs="Calibri"/>
          <w:sz w:val="24"/>
          <w:szCs w:val="24"/>
        </w:rPr>
        <w:t>uruchomiliśmy</w:t>
      </w:r>
      <w:r w:rsidRPr="00022671">
        <w:rPr>
          <w:rFonts w:ascii="Calibri" w:hAnsi="Calibri" w:cs="Calibri"/>
          <w:sz w:val="24"/>
          <w:szCs w:val="24"/>
        </w:rPr>
        <w:t xml:space="preserve"> </w:t>
      </w:r>
      <w:r w:rsidR="007B7C0E" w:rsidRPr="00022671">
        <w:rPr>
          <w:rFonts w:ascii="Calibri" w:hAnsi="Calibri" w:cs="Calibri"/>
          <w:sz w:val="24"/>
          <w:szCs w:val="24"/>
        </w:rPr>
        <w:t>pięć</w:t>
      </w:r>
      <w:r w:rsidRPr="00022671">
        <w:rPr>
          <w:rFonts w:ascii="Calibri" w:hAnsi="Calibri" w:cs="Calibri"/>
          <w:sz w:val="24"/>
          <w:szCs w:val="24"/>
        </w:rPr>
        <w:t xml:space="preserve"> konkurs</w:t>
      </w:r>
      <w:r w:rsidR="007B7C0E" w:rsidRPr="00022671">
        <w:rPr>
          <w:rFonts w:ascii="Calibri" w:hAnsi="Calibri" w:cs="Calibri"/>
          <w:sz w:val="24"/>
          <w:szCs w:val="24"/>
        </w:rPr>
        <w:t>ów</w:t>
      </w:r>
      <w:r w:rsidRPr="00022671">
        <w:rPr>
          <w:rFonts w:ascii="Calibri" w:hAnsi="Calibri" w:cs="Calibri"/>
          <w:sz w:val="24"/>
          <w:szCs w:val="24"/>
        </w:rPr>
        <w:t xml:space="preserve"> –</w:t>
      </w:r>
      <w:r w:rsidR="00F70A90" w:rsidRPr="00022671">
        <w:rPr>
          <w:rFonts w:ascii="Calibri" w:hAnsi="Calibri" w:cs="Calibri"/>
          <w:sz w:val="24"/>
          <w:szCs w:val="24"/>
        </w:rPr>
        <w:t xml:space="preserve"> </w:t>
      </w:r>
      <w:r w:rsidRPr="00022671">
        <w:rPr>
          <w:rFonts w:ascii="Calibri" w:hAnsi="Calibri" w:cs="Calibri"/>
          <w:sz w:val="24"/>
          <w:szCs w:val="24"/>
        </w:rPr>
        <w:t>dwa w ramach technologii biomedycznych</w:t>
      </w:r>
      <w:r w:rsidR="007B7C0E" w:rsidRPr="00022671">
        <w:rPr>
          <w:rFonts w:ascii="Calibri" w:hAnsi="Calibri" w:cs="Calibri"/>
          <w:sz w:val="24"/>
          <w:szCs w:val="24"/>
        </w:rPr>
        <w:t>, dwa wspierające cyfryzację</w:t>
      </w:r>
      <w:r w:rsidRPr="00022671">
        <w:rPr>
          <w:rFonts w:ascii="Calibri" w:hAnsi="Calibri" w:cs="Calibri"/>
          <w:sz w:val="24"/>
          <w:szCs w:val="24"/>
        </w:rPr>
        <w:t xml:space="preserve"> i jeden dla projektów w ramach Programu KE </w:t>
      </w:r>
      <w:proofErr w:type="spellStart"/>
      <w:r w:rsidRPr="00022671">
        <w:rPr>
          <w:rFonts w:ascii="Calibri" w:hAnsi="Calibri" w:cs="Calibri"/>
          <w:sz w:val="24"/>
          <w:szCs w:val="24"/>
        </w:rPr>
        <w:t>Innovation</w:t>
      </w:r>
      <w:proofErr w:type="spellEnd"/>
      <w:r w:rsidRPr="00022671">
        <w:rPr>
          <w:rFonts w:ascii="Calibri" w:hAnsi="Calibri" w:cs="Calibri"/>
          <w:sz w:val="24"/>
          <w:szCs w:val="24"/>
        </w:rPr>
        <w:t xml:space="preserve"> Fund</w:t>
      </w:r>
      <w:r w:rsidR="00F70A90" w:rsidRPr="00022671">
        <w:rPr>
          <w:rFonts w:ascii="Calibri" w:hAnsi="Calibri" w:cs="Calibri"/>
          <w:sz w:val="24"/>
          <w:szCs w:val="24"/>
        </w:rPr>
        <w:t>. Ostatnie dwa zostaną ogłoszone w pierwszej połowie września</w:t>
      </w:r>
      <w:r w:rsidR="00B9042A">
        <w:rPr>
          <w:rFonts w:ascii="Calibri" w:hAnsi="Calibri" w:cs="Calibri"/>
          <w:sz w:val="24"/>
          <w:szCs w:val="24"/>
        </w:rPr>
        <w:t>.</w:t>
      </w:r>
    </w:p>
    <w:p w14:paraId="54DD07A2" w14:textId="3F0D57A8" w:rsidR="008734B7" w:rsidRPr="00C40D51" w:rsidRDefault="00EE0C9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Małe i duże firmy, które otrzymały od Komisji Europejskiej tzw. pieczęć suwerenności, czyli potwierdzenie wysokiej jakości innowacyjnych projektów, mogą wziąć udział w </w:t>
      </w:r>
      <w:r w:rsidR="00F70A90" w:rsidRPr="00022671">
        <w:rPr>
          <w:rFonts w:ascii="Calibri" w:hAnsi="Calibri" w:cs="Calibri"/>
          <w:sz w:val="24"/>
          <w:szCs w:val="24"/>
        </w:rPr>
        <w:t xml:space="preserve">konkursie </w:t>
      </w:r>
      <w:r w:rsidRPr="00022671">
        <w:rPr>
          <w:rFonts w:ascii="Calibri" w:hAnsi="Calibri" w:cs="Calibri"/>
          <w:sz w:val="24"/>
          <w:szCs w:val="24"/>
        </w:rPr>
        <w:t xml:space="preserve"> </w:t>
      </w:r>
      <w:r w:rsidR="00CB6A4D" w:rsidRPr="00022671">
        <w:rPr>
          <w:rFonts w:ascii="Calibri" w:hAnsi="Calibri" w:cs="Calibri"/>
          <w:sz w:val="24"/>
          <w:szCs w:val="24"/>
        </w:rPr>
        <w:t>„</w:t>
      </w:r>
      <w:hyperlink r:id="rId17" w:history="1">
        <w:r w:rsidR="00CB6A4D" w:rsidRPr="00022671">
          <w:rPr>
            <w:rStyle w:val="Hipercze"/>
            <w:rFonts w:ascii="Calibri" w:hAnsi="Calibri" w:cs="Calibri"/>
            <w:sz w:val="24"/>
            <w:szCs w:val="24"/>
          </w:rPr>
          <w:t xml:space="preserve">STEP </w:t>
        </w:r>
        <w:r w:rsidR="00457918" w:rsidRPr="00022671">
          <w:rPr>
            <w:rStyle w:val="Hipercze"/>
            <w:rFonts w:ascii="Calibri" w:hAnsi="Calibri" w:cs="Calibri"/>
            <w:b/>
            <w:bCs/>
            <w:sz w:val="24"/>
            <w:szCs w:val="24"/>
          </w:rPr>
          <w:t xml:space="preserve">– </w:t>
        </w:r>
        <w:r w:rsidR="00457918" w:rsidRPr="00022671">
          <w:rPr>
            <w:rStyle w:val="Hipercze"/>
            <w:rFonts w:ascii="Calibri" w:hAnsi="Calibri" w:cs="Calibri"/>
            <w:sz w:val="24"/>
            <w:szCs w:val="24"/>
          </w:rPr>
          <w:t xml:space="preserve">Inicjatywa dla projektów z pieczęcią suwerenności </w:t>
        </w:r>
        <w:proofErr w:type="spellStart"/>
        <w:r w:rsidR="00457918" w:rsidRPr="00022671">
          <w:rPr>
            <w:rStyle w:val="Hipercze"/>
            <w:rFonts w:ascii="Calibri" w:hAnsi="Calibri" w:cs="Calibri"/>
            <w:sz w:val="24"/>
            <w:szCs w:val="24"/>
          </w:rPr>
          <w:t>Innovation</w:t>
        </w:r>
        <w:proofErr w:type="spellEnd"/>
        <w:r w:rsidR="00457918" w:rsidRPr="00022671">
          <w:rPr>
            <w:rStyle w:val="Hipercze"/>
            <w:rFonts w:ascii="Calibri" w:hAnsi="Calibri" w:cs="Calibri"/>
            <w:sz w:val="24"/>
            <w:szCs w:val="24"/>
          </w:rPr>
          <w:t xml:space="preserve"> Fund</w:t>
        </w:r>
      </w:hyperlink>
      <w:r w:rsidR="00457918" w:rsidRPr="00022671">
        <w:rPr>
          <w:rFonts w:ascii="Calibri" w:hAnsi="Calibri" w:cs="Calibri"/>
          <w:sz w:val="24"/>
          <w:szCs w:val="24"/>
        </w:rPr>
        <w:t>”.</w:t>
      </w:r>
      <w:r w:rsidR="000A136B" w:rsidRPr="00022671">
        <w:rPr>
          <w:rFonts w:ascii="Calibri" w:hAnsi="Calibri" w:cs="Calibri"/>
          <w:sz w:val="24"/>
          <w:szCs w:val="24"/>
        </w:rPr>
        <w:t xml:space="preserve"> </w:t>
      </w:r>
      <w:r w:rsidR="000428A1" w:rsidRPr="00C40D51">
        <w:rPr>
          <w:rFonts w:ascii="Calibri" w:hAnsi="Calibri" w:cs="Calibri"/>
          <w:sz w:val="24"/>
          <w:szCs w:val="24"/>
        </w:rPr>
        <w:t xml:space="preserve">W puli jest aż 40 mln zł, a </w:t>
      </w:r>
      <w:r w:rsidR="00F70A90" w:rsidRPr="00C40D51">
        <w:rPr>
          <w:rFonts w:ascii="Calibri" w:hAnsi="Calibri" w:cs="Calibri"/>
          <w:sz w:val="24"/>
          <w:szCs w:val="24"/>
        </w:rPr>
        <w:t>aplikować</w:t>
      </w:r>
      <w:r w:rsidR="000428A1" w:rsidRPr="00C40D51">
        <w:rPr>
          <w:rFonts w:ascii="Calibri" w:hAnsi="Calibri" w:cs="Calibri"/>
          <w:sz w:val="24"/>
          <w:szCs w:val="24"/>
        </w:rPr>
        <w:t xml:space="preserve"> można</w:t>
      </w:r>
      <w:r w:rsidR="00F70A90" w:rsidRPr="00C40D51">
        <w:rPr>
          <w:rFonts w:ascii="Calibri" w:hAnsi="Calibri" w:cs="Calibri"/>
          <w:sz w:val="24"/>
          <w:szCs w:val="24"/>
        </w:rPr>
        <w:t xml:space="preserve"> </w:t>
      </w:r>
      <w:r w:rsidR="000428A1" w:rsidRPr="00C40D51">
        <w:rPr>
          <w:rFonts w:ascii="Calibri" w:hAnsi="Calibri" w:cs="Calibri"/>
          <w:sz w:val="24"/>
          <w:szCs w:val="24"/>
        </w:rPr>
        <w:t>do 4 września.</w:t>
      </w:r>
      <w:r w:rsidR="00073F47" w:rsidRPr="00C40D51">
        <w:rPr>
          <w:rFonts w:ascii="Calibri" w:hAnsi="Calibri" w:cs="Calibri"/>
          <w:sz w:val="24"/>
          <w:szCs w:val="24"/>
        </w:rPr>
        <w:t xml:space="preserve"> </w:t>
      </w:r>
    </w:p>
    <w:p w14:paraId="0177B12F" w14:textId="027F44AE" w:rsidR="008734B7" w:rsidRPr="00022671" w:rsidRDefault="00073F47" w:rsidP="00A42F27">
      <w:pPr>
        <w:spacing w:before="120" w:after="120" w:line="276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Obecnie trwają też nabory dla przedsiębiorców z sektora </w:t>
      </w:r>
      <w:proofErr w:type="spellStart"/>
      <w:r w:rsidRPr="00022671">
        <w:rPr>
          <w:rFonts w:ascii="Calibri" w:hAnsi="Calibri" w:cs="Calibri"/>
          <w:sz w:val="24"/>
          <w:szCs w:val="24"/>
        </w:rPr>
        <w:t>BioTech</w:t>
      </w:r>
      <w:proofErr w:type="spellEnd"/>
      <w:r w:rsidR="008734B7" w:rsidRPr="00022671">
        <w:rPr>
          <w:rFonts w:ascii="Calibri" w:hAnsi="Calibri" w:cs="Calibri"/>
          <w:sz w:val="24"/>
          <w:szCs w:val="24"/>
        </w:rPr>
        <w:t xml:space="preserve"> i technologii cyfrowych</w:t>
      </w:r>
      <w:r w:rsidR="00F70A90" w:rsidRPr="00022671">
        <w:rPr>
          <w:rFonts w:ascii="Calibri" w:hAnsi="Calibri" w:cs="Calibri"/>
          <w:sz w:val="24"/>
          <w:szCs w:val="24"/>
        </w:rPr>
        <w:t xml:space="preserve">. </w:t>
      </w:r>
      <w:r w:rsidR="007A483A" w:rsidRPr="00022671">
        <w:rPr>
          <w:rFonts w:ascii="Calibri" w:hAnsi="Calibri" w:cs="Calibri"/>
          <w:sz w:val="24"/>
          <w:szCs w:val="24"/>
        </w:rPr>
        <w:t xml:space="preserve">Wnioski </w:t>
      </w:r>
      <w:r w:rsidR="00F70A90" w:rsidRPr="00022671">
        <w:rPr>
          <w:rFonts w:ascii="Calibri" w:hAnsi="Calibri" w:cs="Calibri"/>
          <w:sz w:val="24"/>
          <w:szCs w:val="24"/>
        </w:rPr>
        <w:t>do programów</w:t>
      </w:r>
      <w:r w:rsidRPr="00022671">
        <w:rPr>
          <w:rFonts w:ascii="Calibri" w:hAnsi="Calibri" w:cs="Calibri"/>
          <w:sz w:val="24"/>
          <w:szCs w:val="24"/>
        </w:rPr>
        <w:t xml:space="preserve"> „</w:t>
      </w:r>
      <w:hyperlink r:id="rId18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Biotechnologia – innowacyjne technologie krytyczne</w:t>
        </w:r>
      </w:hyperlink>
      <w:r w:rsidRPr="00022671">
        <w:rPr>
          <w:rFonts w:ascii="Calibri" w:hAnsi="Calibri" w:cs="Calibri"/>
          <w:sz w:val="24"/>
          <w:szCs w:val="24"/>
        </w:rPr>
        <w:t>” oraz „</w:t>
      </w:r>
      <w:hyperlink r:id="rId19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Biotechnologia – strategiczna niezależność UE</w:t>
        </w:r>
      </w:hyperlink>
      <w:r w:rsidRPr="00022671">
        <w:rPr>
          <w:rFonts w:ascii="Calibri" w:hAnsi="Calibri" w:cs="Calibri"/>
          <w:sz w:val="24"/>
          <w:szCs w:val="24"/>
        </w:rPr>
        <w:t>”</w:t>
      </w:r>
      <w:r w:rsidR="008734B7" w:rsidRPr="00022671">
        <w:rPr>
          <w:rFonts w:ascii="Calibri" w:hAnsi="Calibri" w:cs="Calibri"/>
          <w:sz w:val="24"/>
          <w:szCs w:val="24"/>
        </w:rPr>
        <w:t xml:space="preserve"> będą przyjmowane do 9 września br. </w:t>
      </w:r>
      <w:r w:rsidR="007A483A" w:rsidRPr="00022671">
        <w:rPr>
          <w:rFonts w:ascii="Calibri" w:hAnsi="Calibri" w:cs="Calibri"/>
          <w:sz w:val="24"/>
          <w:szCs w:val="24"/>
        </w:rPr>
        <w:t>Z kolei zainteresowani wsparciem w ramach działa</w:t>
      </w:r>
      <w:r w:rsidR="00F70A90" w:rsidRPr="00022671">
        <w:rPr>
          <w:rFonts w:ascii="Calibri" w:hAnsi="Calibri" w:cs="Calibri"/>
          <w:sz w:val="24"/>
          <w:szCs w:val="24"/>
        </w:rPr>
        <w:t>ń</w:t>
      </w:r>
      <w:r w:rsidR="007A483A" w:rsidRPr="00022671">
        <w:rPr>
          <w:rFonts w:ascii="Calibri" w:hAnsi="Calibri" w:cs="Calibri"/>
          <w:sz w:val="24"/>
          <w:szCs w:val="24"/>
        </w:rPr>
        <w:t xml:space="preserve"> „</w:t>
      </w:r>
      <w:hyperlink r:id="rId20" w:history="1">
        <w:r w:rsidR="007A483A" w:rsidRPr="00022671">
          <w:rPr>
            <w:rStyle w:val="Hipercze"/>
            <w:rFonts w:ascii="Calibri" w:hAnsi="Calibri" w:cs="Calibri"/>
            <w:sz w:val="24"/>
            <w:szCs w:val="24"/>
          </w:rPr>
          <w:t>T</w:t>
        </w:r>
        <w:r w:rsidR="008734B7" w:rsidRPr="00022671">
          <w:rPr>
            <w:rStyle w:val="Hipercze"/>
            <w:rFonts w:ascii="Calibri" w:hAnsi="Calibri" w:cs="Calibri"/>
            <w:sz w:val="24"/>
            <w:szCs w:val="24"/>
          </w:rPr>
          <w:t>echnologi</w:t>
        </w:r>
        <w:r w:rsidR="007A483A" w:rsidRPr="00022671">
          <w:rPr>
            <w:rStyle w:val="Hipercze"/>
            <w:rFonts w:ascii="Calibri" w:hAnsi="Calibri" w:cs="Calibri"/>
            <w:sz w:val="24"/>
            <w:szCs w:val="24"/>
          </w:rPr>
          <w:t>e</w:t>
        </w:r>
        <w:r w:rsidR="008734B7" w:rsidRPr="00022671">
          <w:rPr>
            <w:rStyle w:val="Hipercze"/>
            <w:rFonts w:ascii="Calibri" w:hAnsi="Calibri" w:cs="Calibri"/>
            <w:sz w:val="24"/>
            <w:szCs w:val="24"/>
          </w:rPr>
          <w:t xml:space="preserve"> cyfrow</w:t>
        </w:r>
        <w:r w:rsidR="007A483A" w:rsidRPr="00022671">
          <w:rPr>
            <w:rStyle w:val="Hipercze"/>
            <w:rFonts w:ascii="Calibri" w:hAnsi="Calibri" w:cs="Calibri"/>
            <w:sz w:val="24"/>
            <w:szCs w:val="24"/>
          </w:rPr>
          <w:t>e – innowacyjne technologie krytyczne</w:t>
        </w:r>
      </w:hyperlink>
      <w:r w:rsidR="007A483A" w:rsidRPr="00022671">
        <w:rPr>
          <w:rFonts w:ascii="Calibri" w:hAnsi="Calibri" w:cs="Calibri"/>
          <w:sz w:val="24"/>
          <w:szCs w:val="24"/>
        </w:rPr>
        <w:t>” oraz „</w:t>
      </w:r>
      <w:hyperlink r:id="rId21" w:history="1">
        <w:r w:rsidR="007A483A" w:rsidRPr="00022671">
          <w:rPr>
            <w:rStyle w:val="Hipercze"/>
            <w:rFonts w:ascii="Calibri" w:hAnsi="Calibri" w:cs="Calibri"/>
            <w:sz w:val="24"/>
            <w:szCs w:val="24"/>
          </w:rPr>
          <w:t>Technologie cyfrowe – strategiczna niezależność UE</w:t>
        </w:r>
      </w:hyperlink>
      <w:r w:rsidR="007A483A" w:rsidRPr="00022671">
        <w:rPr>
          <w:rFonts w:ascii="Calibri" w:hAnsi="Calibri" w:cs="Calibri"/>
          <w:sz w:val="24"/>
          <w:szCs w:val="24"/>
        </w:rPr>
        <w:t>”</w:t>
      </w:r>
      <w:r w:rsidR="008734B7" w:rsidRPr="00022671">
        <w:rPr>
          <w:rFonts w:ascii="Calibri" w:hAnsi="Calibri" w:cs="Calibri"/>
          <w:sz w:val="24"/>
          <w:szCs w:val="24"/>
        </w:rPr>
        <w:t xml:space="preserve"> </w:t>
      </w:r>
      <w:r w:rsidR="007A483A" w:rsidRPr="00022671">
        <w:rPr>
          <w:rFonts w:ascii="Calibri" w:hAnsi="Calibri" w:cs="Calibri"/>
          <w:sz w:val="24"/>
          <w:szCs w:val="24"/>
        </w:rPr>
        <w:t>n</w:t>
      </w:r>
      <w:r w:rsidR="008734B7" w:rsidRPr="00022671">
        <w:rPr>
          <w:rFonts w:ascii="Calibri" w:hAnsi="Calibri" w:cs="Calibri"/>
          <w:sz w:val="24"/>
          <w:szCs w:val="24"/>
        </w:rPr>
        <w:t xml:space="preserve">a przygotowanie wniosku mają nieco więcej czasu – do 2 października br.  </w:t>
      </w:r>
    </w:p>
    <w:p w14:paraId="73EF48F8" w14:textId="25D7F99C" w:rsidR="008734B7" w:rsidRPr="00022671" w:rsidRDefault="00F70A90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Na początku września zostaną ogłoszone dwa ostatnie nabory w ramach STEP dla sektora czystych i </w:t>
      </w:r>
      <w:proofErr w:type="spellStart"/>
      <w:r w:rsidRPr="00022671">
        <w:rPr>
          <w:rFonts w:ascii="Calibri" w:hAnsi="Calibri" w:cs="Calibri"/>
          <w:sz w:val="24"/>
          <w:szCs w:val="24"/>
        </w:rPr>
        <w:t>zasobooszczędnych</w:t>
      </w:r>
      <w:proofErr w:type="spellEnd"/>
      <w:r w:rsidRPr="00022671">
        <w:rPr>
          <w:rFonts w:ascii="Calibri" w:hAnsi="Calibri" w:cs="Calibri"/>
          <w:sz w:val="24"/>
          <w:szCs w:val="24"/>
        </w:rPr>
        <w:t xml:space="preserve"> technologii. One również będą przebiegać dwutorowo – w zakresie </w:t>
      </w:r>
      <w:r w:rsidR="00446666" w:rsidRPr="00022671">
        <w:rPr>
          <w:rFonts w:ascii="Calibri" w:hAnsi="Calibri" w:cs="Calibri"/>
          <w:sz w:val="24"/>
          <w:szCs w:val="24"/>
        </w:rPr>
        <w:t>in</w:t>
      </w:r>
      <w:r w:rsidR="00446666">
        <w:rPr>
          <w:rFonts w:ascii="Calibri" w:hAnsi="Calibri" w:cs="Calibri"/>
          <w:sz w:val="24"/>
          <w:szCs w:val="24"/>
        </w:rPr>
        <w:t>nowa</w:t>
      </w:r>
      <w:r w:rsidR="00446666" w:rsidRPr="00022671">
        <w:rPr>
          <w:rFonts w:ascii="Calibri" w:hAnsi="Calibri" w:cs="Calibri"/>
          <w:sz w:val="24"/>
          <w:szCs w:val="24"/>
        </w:rPr>
        <w:t xml:space="preserve">cji </w:t>
      </w:r>
      <w:r w:rsidRPr="00022671">
        <w:rPr>
          <w:rFonts w:ascii="Calibri" w:hAnsi="Calibri" w:cs="Calibri"/>
          <w:sz w:val="24"/>
          <w:szCs w:val="24"/>
        </w:rPr>
        <w:t xml:space="preserve">i strategicznej niezależności. </w:t>
      </w:r>
    </w:p>
    <w:p w14:paraId="08ED7817" w14:textId="350278EA" w:rsidR="001840E8" w:rsidRPr="00022671" w:rsidRDefault="00073F47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Alokacja dla </w:t>
      </w:r>
      <w:r w:rsidR="008734B7" w:rsidRPr="00022671">
        <w:rPr>
          <w:rFonts w:ascii="Calibri" w:hAnsi="Calibri" w:cs="Calibri"/>
          <w:sz w:val="24"/>
          <w:szCs w:val="24"/>
        </w:rPr>
        <w:t xml:space="preserve">każdego </w:t>
      </w:r>
      <w:r w:rsidRPr="00022671">
        <w:rPr>
          <w:rFonts w:ascii="Calibri" w:hAnsi="Calibri" w:cs="Calibri"/>
          <w:sz w:val="24"/>
          <w:szCs w:val="24"/>
        </w:rPr>
        <w:t>nabor</w:t>
      </w:r>
      <w:r w:rsidR="008734B7" w:rsidRPr="00022671">
        <w:rPr>
          <w:rFonts w:ascii="Calibri" w:hAnsi="Calibri" w:cs="Calibri"/>
          <w:sz w:val="24"/>
          <w:szCs w:val="24"/>
        </w:rPr>
        <w:t>u z</w:t>
      </w:r>
      <w:r w:rsidR="00F70A90" w:rsidRPr="00022671">
        <w:rPr>
          <w:rFonts w:ascii="Calibri" w:hAnsi="Calibri" w:cs="Calibri"/>
          <w:sz w:val="24"/>
          <w:szCs w:val="24"/>
        </w:rPr>
        <w:t xml:space="preserve"> wymienionych </w:t>
      </w:r>
      <w:r w:rsidR="008734B7" w:rsidRPr="00022671">
        <w:rPr>
          <w:rFonts w:ascii="Calibri" w:hAnsi="Calibri" w:cs="Calibri"/>
          <w:sz w:val="24"/>
          <w:szCs w:val="24"/>
        </w:rPr>
        <w:t>branż</w:t>
      </w:r>
      <w:r w:rsidR="007A483A" w:rsidRPr="00022671">
        <w:rPr>
          <w:rFonts w:ascii="Calibri" w:hAnsi="Calibri" w:cs="Calibri"/>
          <w:sz w:val="24"/>
          <w:szCs w:val="24"/>
        </w:rPr>
        <w:t xml:space="preserve"> (biotechnologie, technologie cyfrowe</w:t>
      </w:r>
      <w:r w:rsidR="00F70A90" w:rsidRPr="00022671">
        <w:rPr>
          <w:rFonts w:ascii="Calibri" w:hAnsi="Calibri" w:cs="Calibri"/>
          <w:sz w:val="24"/>
          <w:szCs w:val="24"/>
        </w:rPr>
        <w:t xml:space="preserve">, czyste </w:t>
      </w:r>
      <w:r w:rsidR="00446666" w:rsidRPr="00022671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446666" w:rsidRPr="00022671">
        <w:rPr>
          <w:rFonts w:ascii="Calibri" w:hAnsi="Calibri" w:cs="Calibri"/>
          <w:sz w:val="24"/>
          <w:szCs w:val="24"/>
        </w:rPr>
        <w:t>zasobooszczędn</w:t>
      </w:r>
      <w:r w:rsidR="00446666">
        <w:rPr>
          <w:rFonts w:ascii="Calibri" w:hAnsi="Calibri" w:cs="Calibri"/>
          <w:sz w:val="24"/>
          <w:szCs w:val="24"/>
        </w:rPr>
        <w:t>e</w:t>
      </w:r>
      <w:proofErr w:type="spellEnd"/>
      <w:r w:rsidR="00446666" w:rsidRPr="00022671">
        <w:rPr>
          <w:rFonts w:ascii="Calibri" w:hAnsi="Calibri" w:cs="Calibri"/>
          <w:sz w:val="24"/>
          <w:szCs w:val="24"/>
        </w:rPr>
        <w:t xml:space="preserve"> </w:t>
      </w:r>
      <w:r w:rsidR="00F70A90" w:rsidRPr="00022671">
        <w:rPr>
          <w:rFonts w:ascii="Calibri" w:hAnsi="Calibri" w:cs="Calibri"/>
          <w:sz w:val="24"/>
          <w:szCs w:val="24"/>
        </w:rPr>
        <w:t>technologie</w:t>
      </w:r>
      <w:r w:rsidR="007A483A" w:rsidRPr="00022671">
        <w:rPr>
          <w:rFonts w:ascii="Calibri" w:hAnsi="Calibri" w:cs="Calibri"/>
          <w:sz w:val="24"/>
          <w:szCs w:val="24"/>
        </w:rPr>
        <w:t>)</w:t>
      </w:r>
      <w:r w:rsidRPr="00022671">
        <w:rPr>
          <w:rFonts w:ascii="Calibri" w:hAnsi="Calibri" w:cs="Calibri"/>
          <w:sz w:val="24"/>
          <w:szCs w:val="24"/>
        </w:rPr>
        <w:t xml:space="preserve"> wynosi </w:t>
      </w:r>
      <w:r w:rsidRPr="00A42F27">
        <w:rPr>
          <w:rFonts w:ascii="Calibri" w:hAnsi="Calibri" w:cs="Calibri"/>
          <w:sz w:val="24"/>
          <w:szCs w:val="24"/>
        </w:rPr>
        <w:t>150 mln zł.</w:t>
      </w:r>
      <w:r w:rsidR="008734B7" w:rsidRPr="00022671">
        <w:rPr>
          <w:rFonts w:ascii="Calibri" w:hAnsi="Calibri" w:cs="Calibri"/>
          <w:sz w:val="24"/>
          <w:szCs w:val="24"/>
        </w:rPr>
        <w:t xml:space="preserve"> </w:t>
      </w:r>
      <w:r w:rsidR="00CB6A4D" w:rsidRPr="00022671">
        <w:rPr>
          <w:rFonts w:ascii="Calibri" w:hAnsi="Calibri" w:cs="Calibri"/>
          <w:sz w:val="24"/>
          <w:szCs w:val="24"/>
        </w:rPr>
        <w:t xml:space="preserve">Otrzymane wsparcie można przeznaczyć na pokrycie kosztów inwestycji, które dotyczą zaawansowanych i krytycznych </w:t>
      </w:r>
      <w:r w:rsidR="00CB6A4D" w:rsidRPr="00022671">
        <w:rPr>
          <w:rFonts w:ascii="Calibri" w:hAnsi="Calibri" w:cs="Calibri"/>
          <w:sz w:val="24"/>
          <w:szCs w:val="24"/>
        </w:rPr>
        <w:lastRenderedPageBreak/>
        <w:t>technologii dla UE. Oznacza to, że z otrzymanych środków przedsiębiorcy będą mogli sfinansować m.in. zakup nieruchomości, maszyn i urządzeń czy materiałów budowlanych niezbędnych do realizacji projektu. Ponadto grant można wykorzystać na zakup licencji, know-how oraz usług szkoleniowych i doradczych.</w:t>
      </w:r>
    </w:p>
    <w:p w14:paraId="4F7356F0" w14:textId="744A1450" w:rsidR="00F70A90" w:rsidRPr="00022671" w:rsidRDefault="00EB6A30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r w:rsidRPr="00022671">
        <w:rPr>
          <w:rFonts w:cs="Calibri"/>
          <w:bCs/>
          <w:szCs w:val="28"/>
        </w:rPr>
        <w:t xml:space="preserve">Otwórz swój biznes na świat </w:t>
      </w:r>
    </w:p>
    <w:p w14:paraId="5EC6B372" w14:textId="670924C4" w:rsidR="00A56BD8" w:rsidRPr="00022671" w:rsidRDefault="00C0503C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Potencjał innowacyjny i zdolność do budowania przewagi konkurencyjnej to niezaprzeczalne cechy zarówno polskich przedsiębiorstw, jak i jednostek naukowych. Jednak oba te sektory rzadko decydują się na wprowadzenie swoich projektów na rynki zagraniczne.</w:t>
      </w:r>
      <w:r w:rsidR="00EB6A30" w:rsidRPr="00022671">
        <w:rPr>
          <w:rFonts w:ascii="Calibri" w:hAnsi="Calibri" w:cs="Calibri"/>
          <w:sz w:val="24"/>
          <w:szCs w:val="24"/>
        </w:rPr>
        <w:t xml:space="preserve"> Aby odwrócić ten trend, </w:t>
      </w:r>
      <w:r w:rsidRPr="00022671">
        <w:rPr>
          <w:rFonts w:ascii="Calibri" w:hAnsi="Calibri" w:cs="Calibri"/>
          <w:sz w:val="24"/>
          <w:szCs w:val="24"/>
        </w:rPr>
        <w:t>PARP powraca z nową edycją</w:t>
      </w:r>
      <w:r w:rsidR="00EB6A30" w:rsidRPr="00022671">
        <w:rPr>
          <w:rFonts w:ascii="Calibri" w:hAnsi="Calibri" w:cs="Calibri"/>
          <w:sz w:val="24"/>
          <w:szCs w:val="24"/>
        </w:rPr>
        <w:t xml:space="preserve"> programu</w:t>
      </w:r>
      <w:r w:rsidRPr="00022671">
        <w:rPr>
          <w:rFonts w:ascii="Calibri" w:hAnsi="Calibri" w:cs="Calibri"/>
          <w:sz w:val="24"/>
          <w:szCs w:val="24"/>
        </w:rPr>
        <w:t xml:space="preserve"> „</w:t>
      </w:r>
      <w:hyperlink r:id="rId22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 xml:space="preserve">Granty na </w:t>
        </w:r>
        <w:proofErr w:type="spellStart"/>
        <w:r w:rsidRPr="00022671">
          <w:rPr>
            <w:rStyle w:val="Hipercze"/>
            <w:rFonts w:ascii="Calibri" w:hAnsi="Calibri" w:cs="Calibri"/>
            <w:sz w:val="24"/>
            <w:szCs w:val="24"/>
          </w:rPr>
          <w:t>Eurogranty</w:t>
        </w:r>
        <w:proofErr w:type="spellEnd"/>
      </w:hyperlink>
      <w:r w:rsidRPr="00022671">
        <w:rPr>
          <w:rFonts w:ascii="Calibri" w:hAnsi="Calibri" w:cs="Calibri"/>
          <w:sz w:val="24"/>
          <w:szCs w:val="24"/>
        </w:rPr>
        <w:t>”</w:t>
      </w:r>
      <w:r w:rsidR="00EB6A30" w:rsidRPr="00022671">
        <w:rPr>
          <w:rFonts w:ascii="Calibri" w:hAnsi="Calibri" w:cs="Calibri"/>
          <w:sz w:val="24"/>
          <w:szCs w:val="24"/>
        </w:rPr>
        <w:t>, finansowanego z Funduszy Europejskich dla Nowoczesnej Gospodarki,</w:t>
      </w:r>
      <w:r w:rsidRPr="00022671">
        <w:rPr>
          <w:rFonts w:ascii="Calibri" w:hAnsi="Calibri" w:cs="Calibri"/>
          <w:sz w:val="24"/>
          <w:szCs w:val="24"/>
        </w:rPr>
        <w:t xml:space="preserve"> i oferuje przedsiębiorcom oraz organizacjom badawczym 20 mln zł na zwiększenie ich udziału we współpracy międzynarodowej i realizacji przedsięwzięć na rynku europejskim.</w:t>
      </w:r>
      <w:r w:rsidR="00EB6A30" w:rsidRPr="00022671">
        <w:rPr>
          <w:rFonts w:ascii="Calibri" w:hAnsi="Calibri" w:cs="Calibri"/>
          <w:sz w:val="24"/>
          <w:szCs w:val="24"/>
        </w:rPr>
        <w:t xml:space="preserve"> Wnioski o dofinansowanie można składać od 12 sierpnia br. do 3 września 2026 r. </w:t>
      </w:r>
    </w:p>
    <w:p w14:paraId="22589C91" w14:textId="77777777" w:rsidR="00022671" w:rsidRDefault="00EB6A30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„Granty na </w:t>
      </w:r>
      <w:proofErr w:type="spellStart"/>
      <w:r w:rsidRPr="00022671">
        <w:rPr>
          <w:rFonts w:ascii="Calibri" w:hAnsi="Calibri" w:cs="Calibri"/>
          <w:sz w:val="24"/>
          <w:szCs w:val="24"/>
        </w:rPr>
        <w:t>Eurogranty</w:t>
      </w:r>
      <w:proofErr w:type="spellEnd"/>
      <w:r w:rsidRPr="00022671">
        <w:rPr>
          <w:rFonts w:ascii="Calibri" w:hAnsi="Calibri" w:cs="Calibri"/>
          <w:sz w:val="24"/>
          <w:szCs w:val="24"/>
        </w:rPr>
        <w:t xml:space="preserve">” umożliwiają firmom i organizacjom badawczym skuteczne ubieganie się o finansowanie z prestiżowych programów zarządzanych centralnie przez Komisję Europejską, w tym „Horyzont Europa”, „Single Market </w:t>
      </w:r>
      <w:proofErr w:type="spellStart"/>
      <w:r w:rsidRPr="00022671">
        <w:rPr>
          <w:rFonts w:ascii="Calibri" w:hAnsi="Calibri" w:cs="Calibri"/>
          <w:sz w:val="24"/>
          <w:szCs w:val="24"/>
        </w:rPr>
        <w:t>Programme</w:t>
      </w:r>
      <w:proofErr w:type="spellEnd"/>
      <w:r w:rsidRPr="00022671">
        <w:rPr>
          <w:rFonts w:ascii="Calibri" w:hAnsi="Calibri" w:cs="Calibri"/>
          <w:sz w:val="24"/>
          <w:szCs w:val="24"/>
        </w:rPr>
        <w:t>” czy „Digital Europe”. To szansa, by polskie firmy i instytucje badawcze zyskały międzynarodowych partnerów oraz rozgłos w środowiskach naukowych i biznesowych poza granicami kraju. Udział w programach UE to nie tylko prestiż i dodatkowe finansowanie, lecz także dostęp do know-how, wzrost rozpoznawalności oraz realna możliwość rozwoju na rynkach zagranicznych.</w:t>
      </w:r>
    </w:p>
    <w:p w14:paraId="3284DB30" w14:textId="3AE57FB3" w:rsidR="001840E8" w:rsidRDefault="00C839C8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Jesienią PARP powróci z kolejną odsłoną </w:t>
      </w:r>
      <w:r w:rsidR="006623FA">
        <w:rPr>
          <w:rFonts w:ascii="Calibri" w:hAnsi="Calibri" w:cs="Calibri"/>
          <w:sz w:val="24"/>
          <w:szCs w:val="24"/>
        </w:rPr>
        <w:t>konkursu</w:t>
      </w:r>
      <w:r>
        <w:rPr>
          <w:rFonts w:ascii="Calibri" w:hAnsi="Calibri" w:cs="Calibri"/>
          <w:sz w:val="24"/>
          <w:szCs w:val="24"/>
        </w:rPr>
        <w:t xml:space="preserve"> </w:t>
      </w:r>
      <w:r w:rsidRPr="00AC23D8">
        <w:rPr>
          <w:rFonts w:ascii="Calibri" w:hAnsi="Calibri" w:cs="Calibri"/>
          <w:b/>
          <w:bCs/>
          <w:sz w:val="24"/>
          <w:szCs w:val="24"/>
        </w:rPr>
        <w:t>„Promocja marki innowacyjnych MŚP”</w:t>
      </w:r>
      <w:r w:rsidR="006623FA">
        <w:rPr>
          <w:rFonts w:ascii="Calibri" w:hAnsi="Calibri" w:cs="Calibri"/>
          <w:sz w:val="24"/>
          <w:szCs w:val="24"/>
        </w:rPr>
        <w:t xml:space="preserve">, który wspiera polskich przedsiębiorców w </w:t>
      </w:r>
      <w:r w:rsidR="006623FA" w:rsidRPr="00731ADA">
        <w:rPr>
          <w:rFonts w:ascii="Calibri" w:hAnsi="Calibri" w:cs="Calibri"/>
          <w:sz w:val="24"/>
          <w:szCs w:val="24"/>
        </w:rPr>
        <w:t>ekspansji międzynarodowej.</w:t>
      </w:r>
      <w:r w:rsidR="006623FA">
        <w:rPr>
          <w:rFonts w:ascii="Calibri" w:hAnsi="Calibri" w:cs="Calibri"/>
          <w:sz w:val="24"/>
          <w:szCs w:val="24"/>
        </w:rPr>
        <w:t xml:space="preserve"> </w:t>
      </w:r>
      <w:r w:rsidR="006623FA" w:rsidRPr="00731ADA">
        <w:rPr>
          <w:rFonts w:ascii="Calibri" w:hAnsi="Calibri" w:cs="Calibri"/>
          <w:sz w:val="24"/>
          <w:szCs w:val="24"/>
        </w:rPr>
        <w:t xml:space="preserve">Dzięki </w:t>
      </w:r>
      <w:r w:rsidR="006623FA">
        <w:rPr>
          <w:rFonts w:ascii="Calibri" w:hAnsi="Calibri" w:cs="Calibri"/>
          <w:sz w:val="24"/>
          <w:szCs w:val="24"/>
        </w:rPr>
        <w:t xml:space="preserve">dofinansowaniu </w:t>
      </w:r>
      <w:r w:rsidR="00D03411">
        <w:rPr>
          <w:rFonts w:ascii="Calibri" w:hAnsi="Calibri" w:cs="Calibri"/>
          <w:sz w:val="24"/>
          <w:szCs w:val="24"/>
        </w:rPr>
        <w:t>z FENG</w:t>
      </w:r>
      <w:r w:rsidR="006623FA" w:rsidRPr="00731ADA">
        <w:rPr>
          <w:rFonts w:ascii="Calibri" w:hAnsi="Calibri" w:cs="Calibri"/>
          <w:sz w:val="24"/>
          <w:szCs w:val="24"/>
        </w:rPr>
        <w:t xml:space="preserve"> przedsiębiorcy mogą uczestniczyć w targach, misjach gospodarczych oraz działaniach marketingowych, które pozwalają </w:t>
      </w:r>
      <w:r w:rsidR="006623FA">
        <w:rPr>
          <w:rFonts w:ascii="Calibri" w:hAnsi="Calibri" w:cs="Calibri"/>
          <w:sz w:val="24"/>
          <w:szCs w:val="24"/>
        </w:rPr>
        <w:t xml:space="preserve">wzmocnić obecność </w:t>
      </w:r>
      <w:r w:rsidR="006623FA" w:rsidRPr="00731ADA">
        <w:rPr>
          <w:rFonts w:ascii="Calibri" w:hAnsi="Calibri" w:cs="Calibri"/>
          <w:sz w:val="24"/>
          <w:szCs w:val="24"/>
        </w:rPr>
        <w:t xml:space="preserve">na globalnym rynku i </w:t>
      </w:r>
      <w:r w:rsidR="006623FA">
        <w:rPr>
          <w:rFonts w:ascii="Calibri" w:hAnsi="Calibri" w:cs="Calibri"/>
          <w:sz w:val="24"/>
          <w:szCs w:val="24"/>
        </w:rPr>
        <w:t>tworzyć</w:t>
      </w:r>
      <w:r w:rsidR="006623FA" w:rsidRPr="00731ADA">
        <w:rPr>
          <w:rFonts w:ascii="Calibri" w:hAnsi="Calibri" w:cs="Calibri"/>
          <w:sz w:val="24"/>
          <w:szCs w:val="24"/>
        </w:rPr>
        <w:t xml:space="preserve"> przewagę konkurencyjną.</w:t>
      </w:r>
      <w:r w:rsidR="006623FA" w:rsidRPr="0061281B">
        <w:rPr>
          <w:rFonts w:ascii="Calibri" w:hAnsi="Calibri" w:cs="Calibri"/>
          <w:sz w:val="24"/>
          <w:szCs w:val="24"/>
        </w:rPr>
        <w:t xml:space="preserve"> </w:t>
      </w:r>
      <w:r w:rsidR="006623FA">
        <w:rPr>
          <w:rFonts w:ascii="Calibri" w:hAnsi="Calibri" w:cs="Calibri"/>
          <w:sz w:val="24"/>
          <w:szCs w:val="24"/>
        </w:rPr>
        <w:t xml:space="preserve">Konkurs </w:t>
      </w:r>
      <w:r w:rsidR="00D03411">
        <w:rPr>
          <w:rFonts w:ascii="Calibri" w:hAnsi="Calibri" w:cs="Calibri"/>
          <w:sz w:val="24"/>
          <w:szCs w:val="24"/>
        </w:rPr>
        <w:t xml:space="preserve">przyczynia się do </w:t>
      </w:r>
      <w:r w:rsidR="006623FA" w:rsidRPr="00FD6900">
        <w:rPr>
          <w:rFonts w:ascii="Calibri" w:hAnsi="Calibri" w:cs="Calibri"/>
          <w:sz w:val="24"/>
          <w:szCs w:val="24"/>
        </w:rPr>
        <w:t>promo</w:t>
      </w:r>
      <w:r w:rsidR="00D03411">
        <w:rPr>
          <w:rFonts w:ascii="Calibri" w:hAnsi="Calibri" w:cs="Calibri"/>
          <w:sz w:val="24"/>
          <w:szCs w:val="24"/>
        </w:rPr>
        <w:t>cji</w:t>
      </w:r>
      <w:r w:rsidR="006623FA" w:rsidRPr="00FD6900">
        <w:rPr>
          <w:rFonts w:ascii="Calibri" w:hAnsi="Calibri" w:cs="Calibri"/>
          <w:sz w:val="24"/>
          <w:szCs w:val="24"/>
        </w:rPr>
        <w:t xml:space="preserve"> mark</w:t>
      </w:r>
      <w:r w:rsidR="00D03411">
        <w:rPr>
          <w:rFonts w:ascii="Calibri" w:hAnsi="Calibri" w:cs="Calibri"/>
          <w:sz w:val="24"/>
          <w:szCs w:val="24"/>
        </w:rPr>
        <w:t>i</w:t>
      </w:r>
      <w:r w:rsidR="006623FA" w:rsidRPr="00FD6900">
        <w:rPr>
          <w:rFonts w:ascii="Calibri" w:hAnsi="Calibri" w:cs="Calibri"/>
          <w:sz w:val="24"/>
          <w:szCs w:val="24"/>
        </w:rPr>
        <w:t xml:space="preserve"> produktow</w:t>
      </w:r>
      <w:r w:rsidR="00D03411">
        <w:rPr>
          <w:rFonts w:ascii="Calibri" w:hAnsi="Calibri" w:cs="Calibri"/>
          <w:sz w:val="24"/>
          <w:szCs w:val="24"/>
        </w:rPr>
        <w:t>ej</w:t>
      </w:r>
      <w:r w:rsidR="006623FA" w:rsidRPr="00FD6900">
        <w:rPr>
          <w:rFonts w:ascii="Calibri" w:hAnsi="Calibri" w:cs="Calibri"/>
          <w:sz w:val="24"/>
          <w:szCs w:val="24"/>
        </w:rPr>
        <w:t xml:space="preserve"> wnioskodawcy i Mark</w:t>
      </w:r>
      <w:r w:rsidR="00D03411">
        <w:rPr>
          <w:rFonts w:ascii="Calibri" w:hAnsi="Calibri" w:cs="Calibri"/>
          <w:sz w:val="24"/>
          <w:szCs w:val="24"/>
        </w:rPr>
        <w:t>i</w:t>
      </w:r>
      <w:r w:rsidR="006623FA" w:rsidRPr="00FD6900">
        <w:rPr>
          <w:rFonts w:ascii="Calibri" w:hAnsi="Calibri" w:cs="Calibri"/>
          <w:sz w:val="24"/>
          <w:szCs w:val="24"/>
        </w:rPr>
        <w:t xml:space="preserve"> Polskiej Gospodarki.</w:t>
      </w:r>
    </w:p>
    <w:p w14:paraId="3EEB6938" w14:textId="3A27C25F" w:rsidR="0028440C" w:rsidRPr="00022671" w:rsidRDefault="00A56BD8" w:rsidP="00A42F27">
      <w:pPr>
        <w:pStyle w:val="Nagwek2"/>
        <w:spacing w:before="120" w:after="120" w:line="276" w:lineRule="auto"/>
        <w:rPr>
          <w:rFonts w:cs="Calibri"/>
          <w:sz w:val="24"/>
          <w:szCs w:val="24"/>
        </w:rPr>
      </w:pPr>
      <w:r w:rsidRPr="0028440C">
        <w:t>Polska Wschodnia z nowymi</w:t>
      </w:r>
      <w:r w:rsidR="00C0503C" w:rsidRPr="0028440C">
        <w:t xml:space="preserve"> pomysłami!</w:t>
      </w:r>
    </w:p>
    <w:p w14:paraId="5800C013" w14:textId="772252A5" w:rsidR="0037686E" w:rsidRDefault="0037686E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Polska Wschodnia, jeszcze niedawno postrzegana głównie przez pryzmat wyzwań rozwojowych, dziś coraz częściej staje się przestrzenią dla innowacji i przedsiębiorczości. Młode firmy chętnie wybierają ten region do testowania, rozwijania i skalowania swoich pomysłów biznesowych. Bez wątpienia przyczyniają się do tego Fundusze Europejskie dla Polski Wschodniej, które od lat wspierają również tę część naszego kraju. </w:t>
      </w:r>
    </w:p>
    <w:p w14:paraId="0C24282E" w14:textId="32A78DF0" w:rsidR="00F06AC6" w:rsidRDefault="00F06AC6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F06AC6">
        <w:rPr>
          <w:rFonts w:ascii="Calibri" w:hAnsi="Calibri" w:cs="Calibri"/>
          <w:sz w:val="24"/>
          <w:szCs w:val="24"/>
        </w:rPr>
        <w:t>Program „</w:t>
      </w:r>
      <w:hyperlink r:id="rId23" w:history="1">
        <w:r w:rsidRPr="00F06AC6">
          <w:rPr>
            <w:rStyle w:val="Hipercze"/>
            <w:rFonts w:ascii="Calibri" w:hAnsi="Calibri" w:cs="Calibri"/>
            <w:sz w:val="24"/>
            <w:szCs w:val="24"/>
          </w:rPr>
          <w:t>Platformy startowe dla nowych pomysłów</w:t>
        </w:r>
      </w:hyperlink>
      <w:r w:rsidRPr="00F06AC6">
        <w:rPr>
          <w:rFonts w:ascii="Calibri" w:hAnsi="Calibri" w:cs="Calibri"/>
          <w:sz w:val="24"/>
          <w:szCs w:val="24"/>
        </w:rPr>
        <w:t xml:space="preserve">” oferuje korzyści startupom na najwcześniejszym etapie rozwoju, istotnie zwiększając ich szanse na rynkowy sukces. </w:t>
      </w:r>
      <w:r>
        <w:rPr>
          <w:rFonts w:ascii="Calibri" w:hAnsi="Calibri" w:cs="Calibri"/>
          <w:sz w:val="24"/>
          <w:szCs w:val="24"/>
        </w:rPr>
        <w:t>I</w:t>
      </w:r>
      <w:r w:rsidRPr="00F06AC6">
        <w:rPr>
          <w:rFonts w:ascii="Calibri" w:hAnsi="Calibri" w:cs="Calibri"/>
          <w:sz w:val="24"/>
          <w:szCs w:val="24"/>
        </w:rPr>
        <w:t>nkubacj</w:t>
      </w:r>
      <w:r>
        <w:rPr>
          <w:rFonts w:ascii="Calibri" w:hAnsi="Calibri" w:cs="Calibri"/>
          <w:sz w:val="24"/>
          <w:szCs w:val="24"/>
        </w:rPr>
        <w:t>a</w:t>
      </w:r>
      <w:r w:rsidRPr="00F06AC6">
        <w:rPr>
          <w:rFonts w:ascii="Calibri" w:hAnsi="Calibri" w:cs="Calibri"/>
          <w:sz w:val="24"/>
          <w:szCs w:val="24"/>
        </w:rPr>
        <w:t xml:space="preserve"> to proces bezpiecznego, profesjonalnego poszukiwania rentownego modelu biznesowego</w:t>
      </w:r>
      <w:r>
        <w:rPr>
          <w:rFonts w:ascii="Calibri" w:hAnsi="Calibri" w:cs="Calibri"/>
          <w:sz w:val="24"/>
          <w:szCs w:val="24"/>
        </w:rPr>
        <w:t xml:space="preserve">. </w:t>
      </w:r>
      <w:r w:rsidRPr="00F06AC6">
        <w:rPr>
          <w:rFonts w:ascii="Calibri" w:hAnsi="Calibri" w:cs="Calibri"/>
          <w:sz w:val="24"/>
          <w:szCs w:val="24"/>
        </w:rPr>
        <w:t xml:space="preserve">Parki naukowo-technologiczne i inkubatory Polski Wschodniej oferują startupom komfortową przestrzeń dla efektywnej pracy nad przyszłym biznesem. Każdy ze </w:t>
      </w:r>
      <w:r w:rsidRPr="00F06AC6">
        <w:rPr>
          <w:rFonts w:ascii="Calibri" w:hAnsi="Calibri" w:cs="Calibri"/>
          <w:sz w:val="24"/>
          <w:szCs w:val="24"/>
        </w:rPr>
        <w:lastRenderedPageBreak/>
        <w:t xml:space="preserve">startupów oprócz indywidulanie dobranych, bezpłatnych usług może liczyć również na grant </w:t>
      </w:r>
      <w:r>
        <w:rPr>
          <w:rFonts w:ascii="Calibri" w:hAnsi="Calibri" w:cs="Calibri"/>
          <w:sz w:val="24"/>
          <w:szCs w:val="24"/>
        </w:rPr>
        <w:t>finansowy</w:t>
      </w:r>
      <w:r w:rsidRPr="00F06AC6">
        <w:rPr>
          <w:rFonts w:ascii="Calibri" w:hAnsi="Calibri" w:cs="Calibri"/>
          <w:sz w:val="24"/>
          <w:szCs w:val="24"/>
        </w:rPr>
        <w:t xml:space="preserve">, który pomoże </w:t>
      </w:r>
      <w:r>
        <w:rPr>
          <w:rFonts w:ascii="Calibri" w:hAnsi="Calibri" w:cs="Calibri"/>
          <w:sz w:val="24"/>
          <w:szCs w:val="24"/>
        </w:rPr>
        <w:t>pokryć</w:t>
      </w:r>
      <w:r w:rsidRPr="00F06AC6">
        <w:rPr>
          <w:rFonts w:ascii="Calibri" w:hAnsi="Calibri" w:cs="Calibri"/>
          <w:sz w:val="24"/>
          <w:szCs w:val="24"/>
        </w:rPr>
        <w:t xml:space="preserve"> pierwsze koszty spółki. </w:t>
      </w:r>
    </w:p>
    <w:p w14:paraId="6C13BB9C" w14:textId="035F7324" w:rsidR="00EB6A30" w:rsidRDefault="00F06AC6" w:rsidP="00A42F27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F06AC6">
        <w:rPr>
          <w:rFonts w:ascii="Calibri" w:hAnsi="Calibri" w:cs="Calibri"/>
          <w:sz w:val="24"/>
          <w:szCs w:val="24"/>
        </w:rPr>
        <w:t>W dalszej perspektywie startupy dysponujące już gotowym produktem i rentownym modelem biznesowym uzyskują możliwość ubiegania się w konkursie PARP o bezzwrotne dofinansowanie </w:t>
      </w:r>
      <w:r w:rsidR="0028440C" w:rsidRPr="00022671">
        <w:rPr>
          <w:rFonts w:ascii="Calibri" w:hAnsi="Calibri" w:cs="Calibri"/>
          <w:sz w:val="24"/>
          <w:szCs w:val="24"/>
        </w:rPr>
        <w:t xml:space="preserve">w wysokości nawet 600 tys. zł. </w:t>
      </w:r>
      <w:r>
        <w:rPr>
          <w:rFonts w:ascii="Calibri" w:hAnsi="Calibri" w:cs="Calibri"/>
          <w:sz w:val="24"/>
          <w:szCs w:val="24"/>
        </w:rPr>
        <w:t xml:space="preserve">Obecnie trwający </w:t>
      </w:r>
      <w:r w:rsidR="00A42F27">
        <w:rPr>
          <w:rFonts w:ascii="Calibri" w:hAnsi="Calibri" w:cs="Calibri"/>
          <w:sz w:val="24"/>
          <w:szCs w:val="24"/>
        </w:rPr>
        <w:t>nabór</w:t>
      </w:r>
      <w:r w:rsidR="0028440C" w:rsidRPr="00022671">
        <w:rPr>
          <w:rFonts w:ascii="Calibri" w:hAnsi="Calibri" w:cs="Calibri"/>
          <w:sz w:val="24"/>
          <w:szCs w:val="24"/>
        </w:rPr>
        <w:t xml:space="preserve"> </w:t>
      </w:r>
      <w:r w:rsidRPr="00022671">
        <w:rPr>
          <w:rFonts w:ascii="Calibri" w:hAnsi="Calibri" w:cs="Calibri"/>
          <w:sz w:val="24"/>
          <w:szCs w:val="24"/>
        </w:rPr>
        <w:t>„</w:t>
      </w:r>
      <w:hyperlink r:id="rId24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 xml:space="preserve">Platformy startowe dla nowych pomysłów, komponent </w:t>
        </w:r>
        <w:proofErr w:type="spellStart"/>
        <w:r w:rsidRPr="00022671">
          <w:rPr>
            <w:rStyle w:val="Hipercze"/>
            <w:rFonts w:ascii="Calibri" w:hAnsi="Calibri" w:cs="Calibri"/>
            <w:sz w:val="24"/>
            <w:szCs w:val="24"/>
          </w:rPr>
          <w:t>IIa</w:t>
        </w:r>
        <w:proofErr w:type="spellEnd"/>
        <w:r w:rsidRPr="00022671">
          <w:rPr>
            <w:rStyle w:val="Hipercze"/>
            <w:rFonts w:ascii="Calibri" w:hAnsi="Calibri" w:cs="Calibri"/>
            <w:sz w:val="24"/>
            <w:szCs w:val="24"/>
          </w:rPr>
          <w:t>: Wsparcie rozwoju działalności gospodarczej startupu</w:t>
        </w:r>
      </w:hyperlink>
      <w:r w:rsidRPr="00022671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</w:t>
      </w:r>
      <w:r w:rsidR="0028440C" w:rsidRPr="00022671">
        <w:rPr>
          <w:rFonts w:ascii="Calibri" w:hAnsi="Calibri" w:cs="Calibri"/>
          <w:sz w:val="24"/>
          <w:szCs w:val="24"/>
        </w:rPr>
        <w:t xml:space="preserve">otwarty jest dla spółek, które pomyślnie ukończyły proces inkubacji w jednej z platform startowych w Polsce Wschodniej i dysponują raportem z pozytywną rekomendacją platformy. Celem działania jest </w:t>
      </w:r>
      <w:r w:rsidR="0028440C" w:rsidRPr="00022671">
        <w:rPr>
          <w:rFonts w:ascii="Calibri" w:hAnsi="Calibri" w:cs="Calibri"/>
          <w:sz w:val="24"/>
          <w:szCs w:val="24"/>
          <w:lang w:val="pl"/>
        </w:rPr>
        <w:t xml:space="preserve">wzmacnianie trwałego wzrostu i konkurencyjności MŚP oraz tworzenia miejsc pracy w MŚP, w tym poprzez inwestycje produkcyjne. </w:t>
      </w:r>
      <w:r w:rsidR="0028440C" w:rsidRPr="00022671">
        <w:rPr>
          <w:rFonts w:ascii="Calibri" w:hAnsi="Calibri" w:cs="Calibri"/>
          <w:sz w:val="24"/>
          <w:szCs w:val="24"/>
        </w:rPr>
        <w:t>Nabór wniosków rozpoczął się 5 sierpnia br. i potrwa do końca września.</w:t>
      </w:r>
      <w:r w:rsidR="0028440C" w:rsidRPr="0002267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FCCA9CC" w14:textId="7FD0D223" w:rsidR="001840E8" w:rsidRPr="00022671" w:rsidRDefault="00C839C8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FEPW Agencja z końcem sierpnia ogłosi start naboru do </w:t>
      </w:r>
      <w:r w:rsidRPr="00AC23D8">
        <w:rPr>
          <w:rFonts w:ascii="Calibri" w:hAnsi="Calibri" w:cs="Calibri"/>
          <w:b/>
          <w:bCs/>
          <w:sz w:val="24"/>
          <w:szCs w:val="24"/>
        </w:rPr>
        <w:t>„</w:t>
      </w:r>
      <w:r w:rsidRPr="00C839C8">
        <w:rPr>
          <w:rFonts w:ascii="Calibri" w:hAnsi="Calibri" w:cs="Calibri"/>
          <w:b/>
          <w:bCs/>
          <w:sz w:val="24"/>
          <w:szCs w:val="24"/>
        </w:rPr>
        <w:t>Gospodarki o obiegu zamkniętym w MŚP, Etap II – Wdrożenie modelu biznesowego GOZ-transformacji”</w:t>
      </w:r>
      <w:r w:rsidRPr="00AC23D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O wsparcie będą mogły się ubiegać</w:t>
      </w:r>
      <w:r w:rsidRPr="00AC23D8">
        <w:rPr>
          <w:rFonts w:ascii="Calibri" w:hAnsi="Calibri" w:cs="Calibri"/>
          <w:sz w:val="24"/>
          <w:szCs w:val="24"/>
        </w:rPr>
        <w:t xml:space="preserve"> </w:t>
      </w:r>
      <w:r w:rsidRPr="00C839C8">
        <w:rPr>
          <w:rFonts w:ascii="Calibri" w:hAnsi="Calibri" w:cs="Calibri"/>
          <w:sz w:val="24"/>
          <w:szCs w:val="24"/>
        </w:rPr>
        <w:t>MŚP prowadzące działalność gospodarczą na terenie Polski Wschodniej, które w ramach I etapu opracowały model biznesowy GOZ-transformacji zatwierdzony przez PARP</w:t>
      </w:r>
      <w:r>
        <w:rPr>
          <w:rFonts w:ascii="Calibri" w:hAnsi="Calibri" w:cs="Calibri"/>
          <w:sz w:val="24"/>
          <w:szCs w:val="24"/>
        </w:rPr>
        <w:t xml:space="preserve">. </w:t>
      </w:r>
      <w:r w:rsidRPr="00AC23D8">
        <w:rPr>
          <w:rFonts w:ascii="Calibri" w:hAnsi="Calibri" w:cs="Calibri"/>
          <w:sz w:val="24"/>
          <w:szCs w:val="24"/>
        </w:rPr>
        <w:t xml:space="preserve">Alokacja </w:t>
      </w:r>
      <w:r>
        <w:rPr>
          <w:rFonts w:ascii="Calibri" w:hAnsi="Calibri" w:cs="Calibri"/>
          <w:sz w:val="24"/>
          <w:szCs w:val="24"/>
        </w:rPr>
        <w:t xml:space="preserve">wyniesie 70 mln zł. </w:t>
      </w:r>
    </w:p>
    <w:p w14:paraId="1B7922B2" w14:textId="332C89FB" w:rsidR="00DE5EAB" w:rsidRPr="00022671" w:rsidRDefault="00DE5EAB" w:rsidP="00A42F27">
      <w:pPr>
        <w:pStyle w:val="Nagwek2"/>
        <w:spacing w:before="120" w:after="120" w:line="276" w:lineRule="auto"/>
        <w:rPr>
          <w:rFonts w:cs="Calibri"/>
          <w:b w:val="0"/>
          <w:bCs/>
          <w:szCs w:val="28"/>
        </w:rPr>
      </w:pPr>
      <w:r w:rsidRPr="00022671">
        <w:rPr>
          <w:rFonts w:cs="Calibri"/>
          <w:bCs/>
          <w:szCs w:val="28"/>
        </w:rPr>
        <w:t>FERS buduje rynek pracy!</w:t>
      </w:r>
    </w:p>
    <w:p w14:paraId="5A79671C" w14:textId="612BDA4E" w:rsidR="00E67C1D" w:rsidRPr="00022671" w:rsidRDefault="00E67C1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Program FERS jest jednym z kluczowych elementów polityki spójności Unii Europejskiej w Polsce. Dzięki niemu możliwe jest nie tylko podnoszenie kwalifikacji, lecz także zwiększanie szans na zatrudnienie i poprawę jakości życia.</w:t>
      </w:r>
    </w:p>
    <w:p w14:paraId="2CD1514C" w14:textId="09FCBD10" w:rsidR="0066262D" w:rsidRPr="00022671" w:rsidRDefault="0066262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 xml:space="preserve">PARP wciąż rozbudowuje ofertę szkoleniowo-doradczą, m.in. </w:t>
      </w:r>
      <w:hyperlink r:id="rId25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Bazę Usług Rozwojowych</w:t>
        </w:r>
      </w:hyperlink>
      <w:r w:rsidRPr="0002267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22671">
        <w:rPr>
          <w:rFonts w:ascii="Calibri" w:hAnsi="Calibri" w:cs="Calibri"/>
          <w:sz w:val="24"/>
          <w:szCs w:val="24"/>
        </w:rPr>
        <w:t xml:space="preserve">oraz e-learningową platformę z bezpłatnymi kursami – </w:t>
      </w:r>
      <w:hyperlink r:id="rId26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Akademię PARP</w:t>
        </w:r>
      </w:hyperlink>
      <w:r w:rsidRPr="00022671">
        <w:rPr>
          <w:rFonts w:ascii="Calibri" w:hAnsi="Calibri" w:cs="Calibri"/>
          <w:sz w:val="24"/>
          <w:szCs w:val="24"/>
        </w:rPr>
        <w:t>.  Przedsiębiorcy i osoby zainteresowane założeniem swojej firmy mają możliwość poszerzenia wiedzy bez wychodzenia z domu z takich dziedzin, jak: finanse, prawo, zarządzanie, marketing czy kompetencje osobiste. Ukończenie kursu w ramach Akademii PARP potwierdza certyfikat.</w:t>
      </w:r>
    </w:p>
    <w:p w14:paraId="6B0D42AB" w14:textId="59890C99" w:rsidR="0066262D" w:rsidRPr="00022671" w:rsidRDefault="0066262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Jednym z najważniejszych działań jest konkurs „</w:t>
      </w:r>
      <w:hyperlink r:id="rId27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Usługi Rozwojowe 4.0</w:t>
        </w:r>
      </w:hyperlink>
      <w:r w:rsidRPr="00022671">
        <w:rPr>
          <w:rFonts w:ascii="Calibri" w:hAnsi="Calibri" w:cs="Calibri"/>
          <w:sz w:val="24"/>
          <w:szCs w:val="24"/>
        </w:rPr>
        <w:t xml:space="preserve">”, skierowany do podmiotów zarejestrowanych w Bazie Usług Rozwojowych (BUR). Program ten wspiera cyfryzację oferty szkoleniowej poprzez finansowanie zakupu licencji, narzędzi e-learningowych i usług wspierających rozwój technologiczny. </w:t>
      </w:r>
    </w:p>
    <w:p w14:paraId="4F9EB8B5" w14:textId="39FEA91E" w:rsidR="00E67C1D" w:rsidRPr="00022671" w:rsidRDefault="00E67C1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W ramach programu „</w:t>
      </w:r>
      <w:hyperlink r:id="rId28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Akademia HR</w:t>
        </w:r>
      </w:hyperlink>
      <w:r w:rsidRPr="00022671">
        <w:rPr>
          <w:rFonts w:ascii="Calibri" w:hAnsi="Calibri" w:cs="Calibri"/>
          <w:sz w:val="24"/>
          <w:szCs w:val="24"/>
        </w:rPr>
        <w:t xml:space="preserve">” mikro, małe i średnie przedsiębiorstwa mogą ubiegać się o refundację do 80% kosztów szkoleń i doradztwa w zakresie zarządzania zasobami ludzkimi, planowania rozwoju zawodowego pracowników oraz wdrażania rozwiązań uwzględniających różnorodność i zmiany demograficzne. </w:t>
      </w:r>
    </w:p>
    <w:p w14:paraId="1720C648" w14:textId="50547719" w:rsidR="00E67C1D" w:rsidRPr="00022671" w:rsidRDefault="00E67C1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Dla firm zainteresowanych wdrażaniem rozwiązań ekologicznych i gospodarki o obiegu zamkniętym dostępny jest program „</w:t>
      </w:r>
      <w:hyperlink r:id="rId29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GOZ – to się opłaca</w:t>
        </w:r>
      </w:hyperlink>
      <w:r w:rsidRPr="00022671">
        <w:rPr>
          <w:rFonts w:ascii="Calibri" w:hAnsi="Calibri" w:cs="Calibri"/>
          <w:sz w:val="24"/>
          <w:szCs w:val="24"/>
        </w:rPr>
        <w:t xml:space="preserve">”, który w całości finansuje szkolenia i doradztwo wspierające transformację środowiskową przedsiębiorstw. </w:t>
      </w:r>
    </w:p>
    <w:p w14:paraId="28488847" w14:textId="32275DF5" w:rsidR="0066262D" w:rsidRPr="00022671" w:rsidRDefault="0066262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lastRenderedPageBreak/>
        <w:t>P</w:t>
      </w:r>
      <w:r w:rsidR="00DE5EAB" w:rsidRPr="00022671">
        <w:rPr>
          <w:rFonts w:ascii="Calibri" w:hAnsi="Calibri" w:cs="Calibri"/>
          <w:sz w:val="24"/>
          <w:szCs w:val="24"/>
        </w:rPr>
        <w:t>rzedsiębiorcy zmagający się z przejściowymi trudnościami mogą skorzystać z programu „</w:t>
      </w:r>
      <w:hyperlink r:id="rId30" w:history="1">
        <w:r w:rsidR="00DE5EAB" w:rsidRPr="00022671">
          <w:rPr>
            <w:rStyle w:val="Hipercze"/>
            <w:rFonts w:ascii="Calibri" w:hAnsi="Calibri" w:cs="Calibri"/>
            <w:sz w:val="24"/>
            <w:szCs w:val="24"/>
          </w:rPr>
          <w:t>Wsparcie firm w okresowych trudnościach</w:t>
        </w:r>
      </w:hyperlink>
      <w:r w:rsidR="00DE5EAB" w:rsidRPr="00022671">
        <w:rPr>
          <w:rFonts w:ascii="Calibri" w:hAnsi="Calibri" w:cs="Calibri"/>
          <w:sz w:val="24"/>
          <w:szCs w:val="24"/>
        </w:rPr>
        <w:t xml:space="preserve">”, który wspomaga utrzymanie zatrudnienia i odbudowę konkurencyjności firm działających na rynku od co najmniej 12 miesięcy. </w:t>
      </w:r>
    </w:p>
    <w:p w14:paraId="2BC35DC5" w14:textId="7AD14AF7" w:rsidR="0066262D" w:rsidRPr="00022671" w:rsidRDefault="0066262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„</w:t>
      </w:r>
      <w:hyperlink r:id="rId31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Dostępność – Dyrektywa EAA</w:t>
        </w:r>
      </w:hyperlink>
      <w:r w:rsidRPr="00022671">
        <w:rPr>
          <w:rFonts w:ascii="Calibri" w:hAnsi="Calibri" w:cs="Calibri"/>
          <w:sz w:val="24"/>
          <w:szCs w:val="24"/>
        </w:rPr>
        <w:t>” koncentruje się na przygotowaniu przedsiębiorstw do nowych, obowiązkowych standardów wynikających z wdrożenia dyrektywy EAA. PARP finansuje w jego ramach kompleksowe projekty szkoleniowo-doradcze realizowane przez wybranych operatorów na terenie całej Polski. Z kolei „</w:t>
      </w:r>
      <w:hyperlink r:id="rId32" w:history="1">
        <w:r w:rsidRPr="00022671">
          <w:rPr>
            <w:rStyle w:val="Hipercze"/>
            <w:rFonts w:ascii="Calibri" w:hAnsi="Calibri" w:cs="Calibri"/>
            <w:sz w:val="24"/>
            <w:szCs w:val="24"/>
          </w:rPr>
          <w:t>Dostępność szansą na rozwój 3</w:t>
        </w:r>
      </w:hyperlink>
      <w:r w:rsidRPr="00022671">
        <w:rPr>
          <w:rFonts w:ascii="Calibri" w:hAnsi="Calibri" w:cs="Calibri"/>
          <w:sz w:val="24"/>
          <w:szCs w:val="24"/>
        </w:rPr>
        <w:t>” to oferta skierowana do firm z sektora MŚP, które chcą rozwijać swoje działania zgodnie z zasadami projektowania uniwersalnego.</w:t>
      </w:r>
    </w:p>
    <w:p w14:paraId="76C4FC4E" w14:textId="4A35E21C" w:rsidR="00AA24C9" w:rsidRDefault="00E67C1D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022671">
        <w:rPr>
          <w:rFonts w:ascii="Calibri" w:hAnsi="Calibri" w:cs="Calibri"/>
          <w:sz w:val="24"/>
          <w:szCs w:val="24"/>
        </w:rPr>
        <w:t>Wszystkie powyższe działania wpisują się w szerszy cel programu FERS – budowanie silnego, odpornego i innowacyjnego rynku pracy oraz gospodarki opartej na wiedzy. PARP podkreśla, że z oferowanych narzędzi mogą korzystać nie tylko duże organizacje, ale przede wszystkim mikro, małe i średnie firmy, które potrzebują wsparcia w rozwoju kompetencji, transformacji cyfrowej czy dostosowaniu się do wymogów zielonej gospodarki.</w:t>
      </w:r>
    </w:p>
    <w:p w14:paraId="7D1C1355" w14:textId="77777777" w:rsidR="001840E8" w:rsidRPr="00022671" w:rsidRDefault="001840E8" w:rsidP="00A42F27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4EA4BAAD" w14:textId="5B646250" w:rsidR="00AA24C9" w:rsidRDefault="00AA24C9" w:rsidP="00A42F27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022671">
        <w:rPr>
          <w:rFonts w:ascii="Calibri" w:hAnsi="Calibri" w:cs="Calibri"/>
          <w:b/>
          <w:bCs/>
          <w:sz w:val="24"/>
          <w:szCs w:val="24"/>
        </w:rPr>
        <w:t xml:space="preserve">Masz pytania dotyczące aktualnych lub przyszłych naborów? Skontaktuj się z nami telefonicznie: </w:t>
      </w:r>
      <w:hyperlink r:id="rId33" w:history="1">
        <w:r w:rsidRPr="00022671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  <w:shd w:val="clear" w:color="auto" w:fill="FFFFFF"/>
          </w:rPr>
          <w:t>801 332 202</w:t>
        </w:r>
      </w:hyperlink>
      <w:r w:rsidRPr="00022671">
        <w:rPr>
          <w:rFonts w:ascii="Calibri" w:hAnsi="Calibri" w:cs="Calibri"/>
          <w:b/>
          <w:bCs/>
          <w:sz w:val="24"/>
          <w:szCs w:val="24"/>
        </w:rPr>
        <w:t xml:space="preserve"> lub poprzez formularz dostępny </w:t>
      </w:r>
      <w:hyperlink r:id="rId34" w:anchor="infolinia" w:history="1">
        <w:r w:rsidRPr="00022671">
          <w:rPr>
            <w:rStyle w:val="Hipercze"/>
            <w:rFonts w:ascii="Calibri" w:hAnsi="Calibri" w:cs="Calibri"/>
            <w:b/>
            <w:bCs/>
            <w:sz w:val="24"/>
            <w:szCs w:val="24"/>
          </w:rPr>
          <w:t>na stronie PARP</w:t>
        </w:r>
      </w:hyperlink>
      <w:r w:rsidRPr="00022671">
        <w:rPr>
          <w:rFonts w:ascii="Calibri" w:hAnsi="Calibri" w:cs="Calibri"/>
          <w:b/>
          <w:bCs/>
          <w:sz w:val="24"/>
          <w:szCs w:val="24"/>
        </w:rPr>
        <w:t>.</w:t>
      </w:r>
    </w:p>
    <w:p w14:paraId="5B95DF03" w14:textId="77777777" w:rsidR="00A42F27" w:rsidRDefault="00A42F27" w:rsidP="00C40D51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85CC677" w14:textId="20C0B8D6" w:rsidR="00A42F27" w:rsidRPr="000E2E9D" w:rsidRDefault="00A42F27" w:rsidP="00C40D51">
      <w:pPr>
        <w:spacing w:line="276" w:lineRule="auto"/>
      </w:pPr>
      <w:r>
        <w:rPr>
          <w:noProof/>
        </w:rPr>
        <w:drawing>
          <wp:inline distT="0" distB="0" distL="0" distR="0" wp14:anchorId="1C7FAFCD" wp14:editId="063627A7">
            <wp:extent cx="5760720" cy="469265"/>
            <wp:effectExtent l="0" t="0" r="0" b="6985"/>
            <wp:docPr id="14526007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00732" name="Obraz 14526007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F27" w:rsidRPr="000E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27FC" w14:textId="77777777" w:rsidR="003E319D" w:rsidRDefault="003E319D" w:rsidP="008832C9">
      <w:pPr>
        <w:spacing w:after="0" w:line="240" w:lineRule="auto"/>
      </w:pPr>
      <w:r>
        <w:separator/>
      </w:r>
    </w:p>
  </w:endnote>
  <w:endnote w:type="continuationSeparator" w:id="0">
    <w:p w14:paraId="239B9C6D" w14:textId="77777777" w:rsidR="003E319D" w:rsidRDefault="003E319D" w:rsidP="0088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F39C" w14:textId="77777777" w:rsidR="003E319D" w:rsidRDefault="003E319D" w:rsidP="008832C9">
      <w:pPr>
        <w:spacing w:after="0" w:line="240" w:lineRule="auto"/>
      </w:pPr>
      <w:r>
        <w:separator/>
      </w:r>
    </w:p>
  </w:footnote>
  <w:footnote w:type="continuationSeparator" w:id="0">
    <w:p w14:paraId="36BA99B8" w14:textId="77777777" w:rsidR="003E319D" w:rsidRDefault="003E319D" w:rsidP="0088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BD"/>
    <w:rsid w:val="00022671"/>
    <w:rsid w:val="000428A1"/>
    <w:rsid w:val="00071F47"/>
    <w:rsid w:val="00073F47"/>
    <w:rsid w:val="000A136B"/>
    <w:rsid w:val="000C003D"/>
    <w:rsid w:val="000C45F8"/>
    <w:rsid w:val="000E2E9D"/>
    <w:rsid w:val="00161B74"/>
    <w:rsid w:val="0017002B"/>
    <w:rsid w:val="0018211F"/>
    <w:rsid w:val="001840E8"/>
    <w:rsid w:val="001D2EF2"/>
    <w:rsid w:val="001D586C"/>
    <w:rsid w:val="001E192C"/>
    <w:rsid w:val="001E318E"/>
    <w:rsid w:val="001E3195"/>
    <w:rsid w:val="001F3020"/>
    <w:rsid w:val="001F36B3"/>
    <w:rsid w:val="0028440C"/>
    <w:rsid w:val="00291A65"/>
    <w:rsid w:val="002A0464"/>
    <w:rsid w:val="002D43DD"/>
    <w:rsid w:val="002D55F9"/>
    <w:rsid w:val="00314421"/>
    <w:rsid w:val="00333C0D"/>
    <w:rsid w:val="003552DF"/>
    <w:rsid w:val="00365CA5"/>
    <w:rsid w:val="0037686E"/>
    <w:rsid w:val="003A2C2D"/>
    <w:rsid w:val="003A7EB0"/>
    <w:rsid w:val="003D04AB"/>
    <w:rsid w:val="003E319D"/>
    <w:rsid w:val="00400C0D"/>
    <w:rsid w:val="00403A2F"/>
    <w:rsid w:val="00410A50"/>
    <w:rsid w:val="00434C35"/>
    <w:rsid w:val="00437A84"/>
    <w:rsid w:val="00446666"/>
    <w:rsid w:val="00451CE2"/>
    <w:rsid w:val="00457918"/>
    <w:rsid w:val="004D1504"/>
    <w:rsid w:val="005217CF"/>
    <w:rsid w:val="005434F2"/>
    <w:rsid w:val="005A4CA8"/>
    <w:rsid w:val="00602AA8"/>
    <w:rsid w:val="00620B7D"/>
    <w:rsid w:val="00627483"/>
    <w:rsid w:val="006447F9"/>
    <w:rsid w:val="006623FA"/>
    <w:rsid w:val="0066262D"/>
    <w:rsid w:val="006755DB"/>
    <w:rsid w:val="00686A85"/>
    <w:rsid w:val="006D655B"/>
    <w:rsid w:val="006E3747"/>
    <w:rsid w:val="00736CBE"/>
    <w:rsid w:val="007A483A"/>
    <w:rsid w:val="007B7C0E"/>
    <w:rsid w:val="007F09C8"/>
    <w:rsid w:val="007F3AB8"/>
    <w:rsid w:val="00812A2A"/>
    <w:rsid w:val="0081425F"/>
    <w:rsid w:val="008213FD"/>
    <w:rsid w:val="00836B71"/>
    <w:rsid w:val="008734B7"/>
    <w:rsid w:val="008832C9"/>
    <w:rsid w:val="00912340"/>
    <w:rsid w:val="00921AE4"/>
    <w:rsid w:val="009A5B16"/>
    <w:rsid w:val="009C506A"/>
    <w:rsid w:val="00A10C19"/>
    <w:rsid w:val="00A2203A"/>
    <w:rsid w:val="00A3015A"/>
    <w:rsid w:val="00A42F27"/>
    <w:rsid w:val="00A51231"/>
    <w:rsid w:val="00A56BD8"/>
    <w:rsid w:val="00AA24C9"/>
    <w:rsid w:val="00AB0577"/>
    <w:rsid w:val="00AC01F6"/>
    <w:rsid w:val="00AC23D8"/>
    <w:rsid w:val="00AF7E41"/>
    <w:rsid w:val="00B73621"/>
    <w:rsid w:val="00B9042A"/>
    <w:rsid w:val="00BD4F6F"/>
    <w:rsid w:val="00C01BBD"/>
    <w:rsid w:val="00C0503C"/>
    <w:rsid w:val="00C14059"/>
    <w:rsid w:val="00C40D51"/>
    <w:rsid w:val="00C513D1"/>
    <w:rsid w:val="00C62BDC"/>
    <w:rsid w:val="00C839C8"/>
    <w:rsid w:val="00CB6A4D"/>
    <w:rsid w:val="00CC4D87"/>
    <w:rsid w:val="00CC52E7"/>
    <w:rsid w:val="00CD6ECA"/>
    <w:rsid w:val="00D03411"/>
    <w:rsid w:val="00D800AD"/>
    <w:rsid w:val="00DA69A1"/>
    <w:rsid w:val="00DE5EAB"/>
    <w:rsid w:val="00E5627A"/>
    <w:rsid w:val="00E67C1D"/>
    <w:rsid w:val="00EB6A30"/>
    <w:rsid w:val="00EE0C9D"/>
    <w:rsid w:val="00F06AC6"/>
    <w:rsid w:val="00F32198"/>
    <w:rsid w:val="00F36AFA"/>
    <w:rsid w:val="00F46D48"/>
    <w:rsid w:val="00F70A90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F"/>
  <w15:chartTrackingRefBased/>
  <w15:docId w15:val="{FAB96FA6-A885-4204-B19D-822973AD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F27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42F27"/>
    <w:rPr>
      <w:rFonts w:ascii="Calibri" w:eastAsiaTheme="majorEastAsia" w:hAnsi="Calibri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B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B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B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B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B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B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B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B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B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B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BB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2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2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32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2C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E2E9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21AE4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48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46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rp.gov.pl/component/grants/grants/start-ups-are-us---branza-fintech" TargetMode="External"/><Relationship Id="rId18" Type="http://schemas.openxmlformats.org/officeDocument/2006/relationships/hyperlink" Target="https://feng.parp.gov.pl/component/grants/grants/step---biotechnologie---innowacyjne-technologie-krytyczne" TargetMode="External"/><Relationship Id="rId26" Type="http://schemas.openxmlformats.org/officeDocument/2006/relationships/hyperlink" Target="https://www.parp.gov.pl/component/site/site/kursy-online" TargetMode="External"/><Relationship Id="rId21" Type="http://schemas.openxmlformats.org/officeDocument/2006/relationships/hyperlink" Target="https://feng.parp.gov.pl/component/grants/grants/step---technologie-cyfrowe---strategiczna-niezaleznosc-ue" TargetMode="External"/><Relationship Id="rId34" Type="http://schemas.openxmlformats.org/officeDocument/2006/relationships/hyperlink" Target="https://www.parp.gov.pl/component/site/site/kontakt-2" TargetMode="External"/><Relationship Id="rId7" Type="http://schemas.openxmlformats.org/officeDocument/2006/relationships/hyperlink" Target="https://en.parp.gov.pl/component/publications/publication/the-medical-devices-and-pharma-sector-in-poland" TargetMode="External"/><Relationship Id="rId12" Type="http://schemas.openxmlformats.org/officeDocument/2006/relationships/hyperlink" Target="https://www.parp.gov.pl/component/grants/grants/start-ups-are-us---branza-medtech" TargetMode="External"/><Relationship Id="rId17" Type="http://schemas.openxmlformats.org/officeDocument/2006/relationships/hyperlink" Target="https://feng.parp.gov.pl/component/grants/grants/step---inicjatywa-dla-projektow-z-pieczecia-suwerennosci-innovation-found" TargetMode="External"/><Relationship Id="rId25" Type="http://schemas.openxmlformats.org/officeDocument/2006/relationships/hyperlink" Target="https://uslugirozwojowe.parp.gov.pl/" TargetMode="External"/><Relationship Id="rId33" Type="http://schemas.openxmlformats.org/officeDocument/2006/relationships/hyperlink" Target="tel:801332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ng.parp.gov.pl/component/grants/grants/startup-booster-poland---scale-up-green---oferta-dla-akceleratorow" TargetMode="External"/><Relationship Id="rId20" Type="http://schemas.openxmlformats.org/officeDocument/2006/relationships/hyperlink" Target="https://feng.parp.gov.pl/component/grants/grants/step---technologie-cyfrowe---innowacyjne-technologie-krytyczne" TargetMode="External"/><Relationship Id="rId29" Type="http://schemas.openxmlformats.org/officeDocument/2006/relationships/hyperlink" Target="https://fers.parp.gov.pl/component/grants/grants/goz---to-sie-oplaca---oferta-dla-przedsiebiorco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eng.parp.gov.pl/component/grants/grants/start-ups-are-us---branza-fintech" TargetMode="External"/><Relationship Id="rId24" Type="http://schemas.openxmlformats.org/officeDocument/2006/relationships/hyperlink" Target="https://www.parp.gov.pl/component/grants/grants/2023-platformy-startowe-dla-nowych-pomyslow-komponent-iia---wsparcie-rozwoju-dzialalnosci-gospodarczej-startupu" TargetMode="External"/><Relationship Id="rId32" Type="http://schemas.openxmlformats.org/officeDocument/2006/relationships/hyperlink" Target="https://fers.parp.gov.pl/component/grants/grants/dostepnosc-szansa-na-rozwoj-3---oferta-dla-przedsiebiorcow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arp.gov.pl/component/grants/grants/startup-booster-poland---oferta-dla-startupow" TargetMode="External"/><Relationship Id="rId23" Type="http://schemas.openxmlformats.org/officeDocument/2006/relationships/hyperlink" Target="https://fepw.parp.gov.pl/component/grants/grants/platformy-startowe-dla-nowych-pomyslow-1" TargetMode="External"/><Relationship Id="rId28" Type="http://schemas.openxmlformats.org/officeDocument/2006/relationships/hyperlink" Target="https://fers.parp.gov.pl/component/grants/grants/akademia-hr-oferta-dla-przedsiebiorco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eng.parp.gov.pl/component/grants/grants/start-ups-are-us---branza-medtech" TargetMode="External"/><Relationship Id="rId19" Type="http://schemas.openxmlformats.org/officeDocument/2006/relationships/hyperlink" Target="https://feng.parp.gov.pl/component/grants/grants/step---biotechnologie---strategiczna-niezaleznosc-ue" TargetMode="External"/><Relationship Id="rId31" Type="http://schemas.openxmlformats.org/officeDocument/2006/relationships/hyperlink" Target="https://fers.parp.gov.pl/component/grants/grants/dostepnosc-dyrektywa-eaa---oferta-dla-przedsiebior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fintech.com/wp-content/uploads/2025/06/Polish_Fintech_Map_2025.pdf" TargetMode="External"/><Relationship Id="rId14" Type="http://schemas.openxmlformats.org/officeDocument/2006/relationships/hyperlink" Target="https://www.parp.gov.pl/component/grants/grants/laboratorium-innowatora---oferta-dla-pomyslodawcow" TargetMode="External"/><Relationship Id="rId22" Type="http://schemas.openxmlformats.org/officeDocument/2006/relationships/hyperlink" Target="https://feng.parp.gov.pl/component/grants/grants/granty-na-eurogranty-1" TargetMode="External"/><Relationship Id="rId27" Type="http://schemas.openxmlformats.org/officeDocument/2006/relationships/hyperlink" Target="https://fers.parp.gov.pl/component/grants/grants/uslugi-rozwojowe-4-0---oferta-dla-dostawcow-uslug-bur" TargetMode="External"/><Relationship Id="rId30" Type="http://schemas.openxmlformats.org/officeDocument/2006/relationships/hyperlink" Target="https://fers.parp.gov.pl/component/grants/grants/wsparcie-firm-w-okresowych-trudnosciach---oferta-dla-przedsiebiorcow" TargetMode="External"/><Relationship Id="rId35" Type="http://schemas.openxmlformats.org/officeDocument/2006/relationships/image" Target="media/image1.jpeg"/><Relationship Id="rId8" Type="http://schemas.openxmlformats.org/officeDocument/2006/relationships/hyperlink" Target="https://aiwzdrowiu.pl/wp-content/uploads/2025/06/RAPORT-TDIH_202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CAE8-CA8A-4E03-8608-8E7EE28F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2655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 Kamila</dc:creator>
  <cp:keywords/>
  <dc:description/>
  <cp:lastModifiedBy>Nowicka Luiza</cp:lastModifiedBy>
  <cp:revision>2</cp:revision>
  <dcterms:created xsi:type="dcterms:W3CDTF">2025-08-19T06:52:00Z</dcterms:created>
  <dcterms:modified xsi:type="dcterms:W3CDTF">2025-08-19T06:52:00Z</dcterms:modified>
</cp:coreProperties>
</file>