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468" w14:textId="77777777" w:rsidR="00B645C5" w:rsidRDefault="00B645C5" w:rsidP="00B645C5">
      <w:pPr>
        <w:bidi w:val="0"/>
      </w:pPr>
      <w:r>
        <w:rPr>
          <w:rFonts w:ascii="Arial" w:cs="Arial" w:eastAsia="Arial" w:hAnsi="Arial"/>
          <w:noProof/>
          <w:sz w:val="18"/>
          <w:szCs w:val="18"/>
          <w:lang w:val="ro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2143B030" wp14:editId="3CCAD54A">
            <wp:extent cx="1381916" cy="214197"/>
            <wp:effectExtent l="0" t="0" r="0" b="0"/>
            <wp:docPr id="4" name="image1.png" descr="O literă albastră pe fundal negru&#10;&#10;Descriere generată autom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o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916" cy="214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97498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hAnsi="Arial"/>
          <w:lang w:val="r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hAnsi="Arial"/>
          <w:sz w:val="30"/>
          <w:szCs w:val="30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Samsung introduce opțiunea de 8 TB pentru seria de SSD-uri 9100 PRO</w:t>
      </w:r>
    </w:p>
    <w:p w14:paraId="1D9ACAC1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cs="Arial" w:eastAsia="Arial" w:hAnsi="Arial"/>
          <w:sz w:val="24"/>
          <w:szCs w:val="24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Variantele anterioare cu suport PCIe 5.0 au fost lansate în configurații de 1 TB, 2 TB și 4 TB</w:t>
      </w:r>
      <w:r>
        <w:rPr>
          <w:rFonts w:ascii="Arial" w:cs="Arial" w:eastAsia="Arial" w:hAnsi="Arial"/>
          <w:sz w:val="36"/>
          <w:szCs w:val="36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14:paraId="5661184B" w14:textId="77777777" w:rsidR="00B645C5" w:rsidRDefault="00B645C5" w:rsidP="00B645C5">
      <w:pPr>
        <w:rPr>
          <w:rFonts w:ascii="Arial" w:eastAsia="Arial" w:hAnsi="Arial" w:cs="Arial"/>
          <w:b/>
        </w:rPr>
        <w:bidi w:val="0"/>
      </w:pPr>
      <w:r>
        <w:rPr>
          <w:rFonts w:ascii="Arial" w:cs="Arial" w:eastAsia="Arial" w:hAnsi="Arial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20 august 2025</w:t>
      </w:r>
    </w:p>
    <w:p w14:paraId="65EDC857" w14:textId="77777777" w:rsidR="00B645C5" w:rsidRDefault="00B645C5" w:rsidP="00B645C5">
      <w:pPr>
        <w:rPr>
          <w:rFonts w:ascii="Arial" w:eastAsia="Arial" w:hAnsi="Arial" w:cs="Arial"/>
        </w:rPr>
      </w:pPr>
    </w:p>
    <w:p w14:paraId="6E2B9C4D" w14:textId="77777777" w:rsidR="00B645C5" w:rsidRDefault="00B645C5" w:rsidP="00B645C5">
      <w:pPr>
        <w:spacing w:after="0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SSD-ul 9100 PRO de la Samsung Electronics este cea mai nouă unitate din seria de produse SSD a companiei pentru consumatori. Cu interfața PCIe® 5.0, unitatea 9100 PRO oferă performanță avansată, productivitate fără compromisuri pentru multitasking și compatibilitate extinsă pentru laptopuri, PC-uri de gaming și console de jocuri. Disponibilă acum și în variante de până la 8 TB, unitatea oferă o capacitate de stocare mai mare și viteze de lucru impresionante, ideale pentru aplicațiile actuale cu volum mare de date și pentru experiențe de gaming de nouă generație.  </w:t>
      </w:r>
    </w:p>
    <w:p w14:paraId="1A1828FD" w14:textId="77777777" w:rsidR="00B645C5" w:rsidRDefault="00B645C5" w:rsidP="00B645C5">
      <w:pPr>
        <w:spacing w:after="0"/>
        <w:rPr>
          <w:rFonts w:ascii="Arial" w:eastAsia="Arial" w:hAnsi="Arial" w:cs="Arial"/>
        </w:rPr>
      </w:pPr>
    </w:p>
    <w:p w14:paraId="2BE944DB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Seria de SSD-uri 9100 PRO se extinde cu două modele noi de 8 TB, concepute pentru utilizatorii axați pe performanță</w:t>
      </w:r>
    </w:p>
    <w:p w14:paraId="2F03625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Samsung a adăugat două noi modele de 8 TB în seria sa de SSD-uri de înaltă performanță 9100 PRO: 9100 PRO 8 TB și 9100 PRO 8 TB cu radiator, concepute pentru a oferi o eficiență termică îmbunătățită și performanță maximă susținută. </w:t>
      </w:r>
    </w:p>
    <w:p w14:paraId="2FDFB8AF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Aceste noi modele vin după lansarea din martie a variantelor de 1 TB, 2 TB și 4 TB și marchează un progres semnificativ, fiind cele mai generoase SSD-uri PCIe lansate până acum de Samsung. Noile unități oferă opțiuni de stocare ultra-ridicate pentru gameri, creatori de conținut și profesioniști care caută viteze maxime și o fiabilitate fără compromis. </w:t>
      </w:r>
    </w:p>
    <w:p w14:paraId="34BCE3B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bookmarkStart w:id="0" w:name="_heading=h.mwjztg7wwri6" w:colFirst="0" w:colLast="0"/>
      <w:bookmarkEnd w:id="0"/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Modelele de 8 TB oferă performanțe excepționale, cu viteze de citire secvențială de până la 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14.800 MB/s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 și viteze de scriere de până la 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13.400 MB/s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. În plus, oferă viteze impresionante la citire și scriere aleatorie: până la 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2.200K IOPS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, respectiv 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2.600K IOPS</w:t>
      </w: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, fiind astfel perfecte pentru sarcini solicitante.</w:t>
      </w:r>
    </w:p>
    <w:p w14:paraId="4D780080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Bazate pe interfața PCIe® 5.0, cele două modele sunt concepute pentru latență ultra-redusă, timpi de încărcare minimi și o experiență de joc perfect fluidă, chiar și în cele mai solicitante scenarii. Modelul echipat cu radiator oferă un nivel suplimentar de eficiență termică, asigurând performanțe constante chiar și de-a lungul sesiunilor prelungite. </w:t>
      </w:r>
    </w:p>
    <w:p w14:paraId="0FB80A5E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Cu aceste două noi modele, Samsung își reconfirmă angajamentul de a oferi soluții de stocare de ultimă generație, concepute pentru a satisface cele mai noi cerințe ale sistemelor de calcul moderne. </w:t>
      </w:r>
    </w:p>
    <w:p w14:paraId="22725FCA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Performanțe mai bune, capacitate mai mare</w:t>
      </w:r>
    </w:p>
    <w:p w14:paraId="18D17F3C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left"/>
        <w:rPr>
          <w:rFonts w:ascii="Arial" w:eastAsia="Arial" w:hAnsi="Arial" w:cs="Arial"/>
          <w:b/>
          <w:color w:val="000000"/>
        </w:rPr>
      </w:pPr>
    </w:p>
    <w:p w14:paraId="380AD2C6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Noua opțiune de stocare de 8 TB oferă o capacitate extinsă pentru colecțiile vaste de jocuri. </w:t>
      </w:r>
    </w:p>
    <w:p w14:paraId="1244D5B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Cu acest SSD de 8 TB, utilizatorii pot instala aproximativ 80 de jocuri populare pentru PC cu o dimensiune medie de 90,6 GB, calculată în funcție de cele mai bine vândute 11 titluri din topul „Cele mai bune din 2024: lansări noi” de pe Steam. *</w:t>
      </w:r>
    </w:p>
    <w:p w14:paraId="75C6A005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color w:val="000000"/>
        </w:rPr>
        <w:bidi w:val="0"/>
      </w:pPr>
      <w:r>
        <w:rPr>
          <w:rFonts w:ascii="Arial" w:hAnsi="Arial"/>
          <w:color w:val="000000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*</w:t>
      </w:r>
      <w:r>
        <w:rPr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hyperlink r:id="rId8">
        <w:r>
          <w:rPr>
            <w:color w:val="0000FF"/>
            <w:lang w:val="r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https://store.steampowered.com/charts/bestofyear/bestof2024?tab=2</w:t>
        </w:r>
      </w:hyperlink>
    </w:p>
    <w:p w14:paraId="5FF5CCE9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</w:rPr>
      </w:pPr>
    </w:p>
    <w:p w14:paraId="73C2F27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Modelul 9100 PRO folosește interfața PCIe 5.0, ce oferă viteze duble față de generația anterioară (PCIe 4.0)</w:t>
      </w:r>
    </w:p>
    <w:p w14:paraId="18DCA7AF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Atinge viteze de citire secvențială de până la 14.800 MB/s și viteze de scriere de până la 13.400 MB/s, furnizând o performanță îmbunătățită cu până la 99% față de predecesorul său, 990 PRO </w:t>
      </w:r>
    </w:p>
    <w:p w14:paraId="6419A024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*Viteza de citire secvențială a unității 9100 PRO de 4 TB este de 14.800 MB/s, în timp ce viteza de citire secvențială a unității 990 PRO de 4 TB este de 7.450 MB/s</w:t>
      </w:r>
    </w:p>
    <w:p w14:paraId="46216E6D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Oferă o performanță îmbunătățită la citire și scriere aleatorie, cu viteze de până la 2.200K IOPS, respectiv 2.600K IOPS</w:t>
      </w:r>
    </w:p>
    <w:p w14:paraId="0B96344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Eficiența energetică este îmbunătățită cu 49% față de modelul anterior cu ajutorul unei soluții îmbunătățite de gestionare a căldurii</w:t>
      </w:r>
    </w:p>
    <w:p w14:paraId="1C6031C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*Eficiența energetică de citire și scriere secvențială a unității 9100 PRO de 2 TB este de 1.822, respectiv 1.703 MB/s per watt, </w:t>
      </w:r>
    </w:p>
    <w:p w14:paraId="3161882A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iar eficiența energetică de citire și scriere secvențială a unității 990 PRO de 4 TB este de 1.221, respectiv 1.255 MB/s per watt</w:t>
      </w:r>
    </w:p>
    <w:p w14:paraId="05B17EF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055F823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3C129D2B" w14:textId="77777777" w:rsidR="00B645C5" w:rsidRDefault="00B645C5" w:rsidP="00B6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1"/>
          <w:bCs w:val="1"/>
          <w:i w:val="0"/>
          <w:iCs w:val="0"/>
          <w:u w:val="none"/>
          <w:vertAlign w:val="baseline"/>
          <w:rtl w:val="0"/>
        </w:rPr>
        <w:t xml:space="preserve">Protecție termică avansată, capacitate mai mare de stocare și compatibilitate cu o gamă variată de dispozitive</w:t>
      </w:r>
    </w:p>
    <w:p w14:paraId="31244EC4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58EE8E5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Modelele de 1 terabyte (TB), 2 TB și 4 TB sunt echipate cu un radiator de 8,8 mmT, asigurând un control termic îmbunătățit și prevenind supraîncălzirea. În plus, respectă standardul PCI-SIG® D8.</w:t>
      </w: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superscript"/>
          <w:rtl w:val="0"/>
        </w:rPr>
        <w:footnoteReference w:id="1"/>
      </w: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52D88BD5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Chiar dacă este un model PCIe 5.0 cu o capacitate mare (8 TB), radiatorul de 11,25 mm grosime este proiectat special pentru a asigura compatibilitatea cu seria PlayStation® 5.</w:t>
      </w:r>
    </w:p>
    <w:p w14:paraId="5879427E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cs="Arial" w:eastAsia="Arial" w:hAnsi="Arial"/>
          <w:color w:val="000000"/>
          <w:sz w:val="16"/>
          <w:szCs w:val="16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* „PlayStation” și „PS5” sunt mărci comerciale înregistrate sau mărci comerciale ale Sony Interactive Entertainment Inc.</w:t>
      </w:r>
    </w:p>
    <w:p w14:paraId="3EF8CCF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SSD-ul 9100 PRO este compatibil cu o gamă largă de dispozitive, de la laptopuri și PC-uri desktop, la console de gaming, fiind alegerea perfectă pentru utilizatorii care își doresc atât performanțe ridicate, cât și o capacitate mare de stocare. </w:t>
      </w:r>
    </w:p>
    <w:p w14:paraId="69DCF15B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5C241C07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highlight w:val="yellow"/>
        </w:rPr>
        <w:bidi w:val="0"/>
      </w:pPr>
      <w:r>
        <w:rPr>
          <w:rFonts w:ascii="Arial" w:cs="Arial" w:eastAsia="Arial" w:hAnsi="Arial"/>
          <w:highlight w:val="yellow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Modelele de 1 TB, 2 TB și 4 TB sunt disponibile pentru achiziționare pe Samsung.com și la alți comercianți, iar modelul de 8 TB va fi disponibil începând cu 2 septembrie 2025. Prețurile de vânzare recomandate de producător (PRP) pentru unitatea de 8 TB sunt de 999,99 USD (modelul M.2), respectiv 1019,99 USD (modelul cu radiator).</w:t>
      </w:r>
    </w:p>
    <w:p w14:paraId="70542EED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68993A0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Pentru mai multe informații, inclusiv detalii despre garanție, accesați samsung.com/SSD sau semiconductor.samsung.com/internal-ssd/.</w:t>
      </w:r>
    </w:p>
    <w:p w14:paraId="5952EE3C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5D8A64A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337CA449" w14:textId="77777777" w:rsidR="000E69A3" w:rsidRDefault="000E69A3"/>
    <w:sectPr w:rsidR="000E69A3" w:rsidSect="00B645C5">
      <w:pgSz w:w="11906" w:h="16838"/>
      <w:pgMar w:top="1247" w:right="1247" w:bottom="1247" w:left="124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647F" w14:textId="77777777" w:rsidR="00B645C5" w:rsidRDefault="00B645C5" w:rsidP="00B645C5">
      <w:pPr>
        <w:spacing w:after="0" w:line="240" w:lineRule="auto"/>
      </w:pPr>
      <w:r>
        <w:separator/>
      </w:r>
    </w:p>
  </w:endnote>
  <w:endnote w:type="continuationSeparator" w:id="0">
    <w:p w14:paraId="1CB3CBA9" w14:textId="77777777" w:rsidR="00B645C5" w:rsidRDefault="00B645C5" w:rsidP="00B6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F227" w14:textId="77777777" w:rsidR="00B645C5" w:rsidRDefault="00B645C5" w:rsidP="00B645C5">
      <w:pPr>
        <w:spacing w:after="0" w:line="240" w:lineRule="auto"/>
      </w:pPr>
      <w:r>
        <w:separator/>
      </w:r>
    </w:p>
  </w:footnote>
  <w:footnote w:type="continuationSeparator" w:id="0">
    <w:p w14:paraId="41E37263" w14:textId="77777777" w:rsidR="00B645C5" w:rsidRDefault="00B645C5" w:rsidP="00B645C5">
      <w:pPr>
        <w:spacing w:after="0" w:line="240" w:lineRule="auto"/>
      </w:pPr>
      <w:r>
        <w:continuationSeparator/>
      </w:r>
    </w:p>
  </w:footnote>
  <w:footnote w:id="1">
    <w:p w14:paraId="4C654608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hAnsi="Arial"/>
          <w:lang w:val="ro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Arial" w:hAnsi="Arial"/>
          <w:color w:val="000000"/>
          <w:sz w:val="16"/>
          <w:szCs w:val="16"/>
          <w:lang w:val="ro"/>
          <w:b w:val="0"/>
          <w:bCs w:val="0"/>
          <w:i w:val="0"/>
          <w:iCs w:val="0"/>
          <w:u w:val="none"/>
          <w:vertAlign w:val="baseline"/>
          <w:rtl w:val="0"/>
        </w:rPr>
        <w:t xml:space="preserve"> Standardul PCI-SIG D8 este o specificație de înălțime a radiatorului de cel mult 8,8 mm.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0A56"/>
    <w:multiLevelType w:val="multilevel"/>
    <w:tmpl w:val="6A023D74"/>
    <w:lvl w:ilvl="0">
      <w:start w:val="1"/>
      <w:numFmt w:val="bullet"/>
      <w:lvlText w:val="■"/>
      <w:lvlJc w:val="left"/>
      <w:pPr>
        <w:ind w:left="542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F53B1"/>
    <w:multiLevelType w:val="multilevel"/>
    <w:tmpl w:val="047A03FC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0001C"/>
    <w:multiLevelType w:val="multilevel"/>
    <w:tmpl w:val="90B030D0"/>
    <w:lvl w:ilvl="0">
      <w:numFmt w:val="bullet"/>
      <w:lvlText w:val="-"/>
      <w:lvlJc w:val="left"/>
      <w:pPr>
        <w:ind w:left="542" w:hanging="400"/>
      </w:pPr>
      <w:rPr>
        <w:rFonts w:ascii="BatangChe" w:eastAsia="BatangChe" w:hAnsi="BatangChe" w:cs="BatangChe"/>
        <w:sz w:val="24"/>
        <w:szCs w:val="24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num w:numId="1" w16cid:durableId="123232195">
    <w:abstractNumId w:val="2"/>
  </w:num>
  <w:num w:numId="2" w16cid:durableId="1827084006">
    <w:abstractNumId w:val="1"/>
  </w:num>
  <w:num w:numId="3" w16cid:durableId="5313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A3"/>
    <w:rsid w:val="000E69A3"/>
    <w:rsid w:val="002C2435"/>
    <w:rsid w:val="00B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2E9F-9CBD-4820-88CD-A46EEB5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5C5"/>
    <w:pPr>
      <w:widowControl w:val="0"/>
      <w:spacing w:line="259" w:lineRule="auto"/>
      <w:jc w:val="both"/>
    </w:pPr>
    <w:rPr>
      <w:rFonts w:ascii="Malgun Gothic" w:eastAsia="Malgun Gothic" w:hAnsi="Malgun Gothic" w:cs="Malgun Gothic"/>
      <w:kern w:val="0"/>
      <w:sz w:val="20"/>
      <w:szCs w:val="20"/>
      <w:lang w:val="e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store.steampowered.com/charts/bestofyear/bestof2024?tab=2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Milcarz</dc:creator>
  <cp:keywords/>
  <dc:description/>
  <cp:lastModifiedBy>Piotr Milcarz</cp:lastModifiedBy>
  <cp:revision>2</cp:revision>
  <dcterms:created xsi:type="dcterms:W3CDTF">2025-08-11T11:42:00Z</dcterms:created>
  <dcterms:modified xsi:type="dcterms:W3CDTF">2025-08-11T11:42:00Z</dcterms:modified>
</cp:coreProperties>
</file>