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C9" w:rsidRPr="00705F9D" w:rsidRDefault="00E06BC9" w:rsidP="00E06BC9">
      <w:pPr>
        <w:spacing w:line="240" w:lineRule="auto"/>
        <w:rPr>
          <w:b/>
          <w:bCs/>
          <w:sz w:val="20"/>
          <w:szCs w:val="20"/>
          <w:lang w:val="en-GB"/>
        </w:rPr>
      </w:pPr>
    </w:p>
    <w:p w:rsidR="00E06BC9" w:rsidRPr="00705F9D" w:rsidRDefault="0039064E" w:rsidP="003E56B1">
      <w:pPr>
        <w:spacing w:line="240" w:lineRule="auto"/>
        <w:jc w:val="center"/>
        <w:rPr>
          <w:b/>
          <w:bCs/>
          <w:sz w:val="20"/>
          <w:szCs w:val="20"/>
          <w:lang w:val="en-GB"/>
        </w:rPr>
      </w:pPr>
      <w:r w:rsidRPr="00705F9D">
        <w:rPr>
          <w:b/>
          <w:bCs/>
          <w:sz w:val="20"/>
          <w:szCs w:val="20"/>
          <w:lang w:val="en-GB"/>
        </w:rPr>
        <w:t xml:space="preserve">Industrial </w:t>
      </w:r>
      <w:r w:rsidR="007D5516" w:rsidRPr="00705F9D">
        <w:rPr>
          <w:b/>
          <w:bCs/>
          <w:sz w:val="20"/>
          <w:szCs w:val="20"/>
          <w:lang w:val="en-GB"/>
        </w:rPr>
        <w:t>M</w:t>
      </w:r>
      <w:r w:rsidRPr="00705F9D">
        <w:rPr>
          <w:b/>
          <w:bCs/>
          <w:sz w:val="20"/>
          <w:szCs w:val="20"/>
          <w:lang w:val="en-GB"/>
        </w:rPr>
        <w:t xml:space="preserve">arket </w:t>
      </w:r>
      <w:r w:rsidR="007D5516" w:rsidRPr="00705F9D">
        <w:rPr>
          <w:b/>
          <w:bCs/>
          <w:sz w:val="20"/>
          <w:szCs w:val="20"/>
          <w:lang w:val="en-GB"/>
        </w:rPr>
        <w:t>Enters Stabili</w:t>
      </w:r>
      <w:r w:rsidR="00705F9D" w:rsidRPr="00705F9D">
        <w:rPr>
          <w:b/>
          <w:bCs/>
          <w:sz w:val="20"/>
          <w:szCs w:val="20"/>
          <w:lang w:val="en-GB"/>
        </w:rPr>
        <w:t>s</w:t>
      </w:r>
      <w:r w:rsidR="007D5516" w:rsidRPr="00705F9D">
        <w:rPr>
          <w:b/>
          <w:bCs/>
          <w:sz w:val="20"/>
          <w:szCs w:val="20"/>
          <w:lang w:val="en-GB"/>
        </w:rPr>
        <w:t>ation Phase</w:t>
      </w:r>
    </w:p>
    <w:p w:rsidR="005F6BFB" w:rsidRPr="00705F9D" w:rsidRDefault="005F6BFB" w:rsidP="003E56B1">
      <w:pPr>
        <w:spacing w:line="240" w:lineRule="auto"/>
        <w:jc w:val="center"/>
        <w:rPr>
          <w:rStyle w:val="Pogrubienie"/>
          <w:sz w:val="20"/>
          <w:szCs w:val="20"/>
          <w:lang w:val="en-GB"/>
        </w:rPr>
      </w:pPr>
    </w:p>
    <w:p w:rsidR="00B60C5B" w:rsidRPr="00705F9D" w:rsidRDefault="0039064E" w:rsidP="00B60C5B">
      <w:pPr>
        <w:spacing w:line="240" w:lineRule="auto"/>
        <w:jc w:val="both"/>
        <w:rPr>
          <w:b/>
          <w:bCs/>
          <w:sz w:val="20"/>
          <w:szCs w:val="20"/>
          <w:lang w:val="en-GB"/>
        </w:rPr>
      </w:pPr>
      <w:r w:rsidRPr="00705F9D">
        <w:rPr>
          <w:b/>
          <w:bCs/>
          <w:sz w:val="20"/>
          <w:szCs w:val="20"/>
          <w:lang w:val="en-GB"/>
        </w:rPr>
        <w:t xml:space="preserve">Global real estate services firm </w:t>
      </w:r>
      <w:r w:rsidR="00B60C5B" w:rsidRPr="00705F9D">
        <w:rPr>
          <w:b/>
          <w:bCs/>
          <w:sz w:val="20"/>
          <w:szCs w:val="20"/>
          <w:lang w:val="en-GB"/>
        </w:rPr>
        <w:t xml:space="preserve">Cushman &amp; Wakefield </w:t>
      </w:r>
      <w:r w:rsidR="00D64921" w:rsidRPr="00705F9D">
        <w:rPr>
          <w:b/>
          <w:bCs/>
          <w:sz w:val="20"/>
          <w:szCs w:val="20"/>
          <w:lang w:val="en-GB"/>
        </w:rPr>
        <w:t>has summari</w:t>
      </w:r>
      <w:r w:rsidR="00BF3C8A">
        <w:rPr>
          <w:b/>
          <w:bCs/>
          <w:sz w:val="20"/>
          <w:szCs w:val="20"/>
          <w:lang w:val="en-GB"/>
        </w:rPr>
        <w:t>s</w:t>
      </w:r>
      <w:r w:rsidR="00D64921" w:rsidRPr="00705F9D">
        <w:rPr>
          <w:b/>
          <w:bCs/>
          <w:sz w:val="20"/>
          <w:szCs w:val="20"/>
          <w:lang w:val="en-GB"/>
        </w:rPr>
        <w:t xml:space="preserve">ed the performance of </w:t>
      </w:r>
      <w:r w:rsidR="000B64D4" w:rsidRPr="00705F9D">
        <w:rPr>
          <w:b/>
          <w:bCs/>
          <w:sz w:val="20"/>
          <w:szCs w:val="20"/>
          <w:lang w:val="en-GB"/>
        </w:rPr>
        <w:t xml:space="preserve">Poland’s </w:t>
      </w:r>
      <w:r w:rsidR="00D64921" w:rsidRPr="00705F9D">
        <w:rPr>
          <w:b/>
          <w:bCs/>
          <w:sz w:val="20"/>
          <w:szCs w:val="20"/>
          <w:lang w:val="en-GB"/>
        </w:rPr>
        <w:t xml:space="preserve">warehouse and industrial market in the first half of 2025. </w:t>
      </w:r>
      <w:r w:rsidR="00AC201F" w:rsidRPr="00705F9D">
        <w:rPr>
          <w:b/>
          <w:bCs/>
          <w:sz w:val="20"/>
          <w:szCs w:val="20"/>
          <w:lang w:val="en-GB"/>
        </w:rPr>
        <w:t>Total take-up for the first two quarters</w:t>
      </w:r>
      <w:r w:rsidR="00E8276E" w:rsidRPr="00705F9D">
        <w:rPr>
          <w:b/>
          <w:bCs/>
          <w:sz w:val="20"/>
          <w:szCs w:val="20"/>
          <w:lang w:val="en-GB"/>
        </w:rPr>
        <w:t xml:space="preserve"> rose 10% year-on-year and was dominated by lease renegotiations. A</w:t>
      </w:r>
      <w:r w:rsidR="006635C4" w:rsidRPr="00705F9D">
        <w:rPr>
          <w:b/>
          <w:bCs/>
          <w:sz w:val="20"/>
          <w:szCs w:val="20"/>
          <w:lang w:val="en-GB"/>
        </w:rPr>
        <w:t>t</w:t>
      </w:r>
      <w:r w:rsidR="00E8276E" w:rsidRPr="00705F9D">
        <w:rPr>
          <w:b/>
          <w:bCs/>
          <w:sz w:val="20"/>
          <w:szCs w:val="20"/>
          <w:lang w:val="en-GB"/>
        </w:rPr>
        <w:t xml:space="preserve"> the same time, Poland’s total warehouse and industrial stock </w:t>
      </w:r>
      <w:r w:rsidR="002213BF" w:rsidRPr="00705F9D">
        <w:rPr>
          <w:b/>
          <w:bCs/>
          <w:sz w:val="20"/>
          <w:szCs w:val="20"/>
          <w:lang w:val="en-GB"/>
        </w:rPr>
        <w:t xml:space="preserve">surpassed 36 million sqm </w:t>
      </w:r>
      <w:r w:rsidR="00567E3E" w:rsidRPr="00705F9D">
        <w:rPr>
          <w:b/>
          <w:bCs/>
          <w:sz w:val="20"/>
          <w:szCs w:val="20"/>
          <w:lang w:val="en-GB"/>
        </w:rPr>
        <w:t>by</w:t>
      </w:r>
      <w:r w:rsidR="002213BF" w:rsidRPr="00705F9D">
        <w:rPr>
          <w:b/>
          <w:bCs/>
          <w:sz w:val="20"/>
          <w:szCs w:val="20"/>
          <w:lang w:val="en-GB"/>
        </w:rPr>
        <w:t xml:space="preserve"> the end of June, </w:t>
      </w:r>
      <w:r w:rsidR="00C402D9" w:rsidRPr="00705F9D">
        <w:rPr>
          <w:b/>
          <w:bCs/>
          <w:sz w:val="20"/>
          <w:szCs w:val="20"/>
          <w:lang w:val="en-GB"/>
        </w:rPr>
        <w:t xml:space="preserve">more than doubling over the </w:t>
      </w:r>
      <w:r w:rsidR="00567E3E" w:rsidRPr="00705F9D">
        <w:rPr>
          <w:b/>
          <w:bCs/>
          <w:sz w:val="20"/>
          <w:szCs w:val="20"/>
          <w:lang w:val="en-GB"/>
        </w:rPr>
        <w:t>past</w:t>
      </w:r>
      <w:r w:rsidR="00C402D9" w:rsidRPr="00705F9D">
        <w:rPr>
          <w:b/>
          <w:bCs/>
          <w:sz w:val="20"/>
          <w:szCs w:val="20"/>
          <w:lang w:val="en-GB"/>
        </w:rPr>
        <w:t xml:space="preserve"> six years.</w:t>
      </w:r>
      <w:r w:rsidR="004636E3" w:rsidRPr="00705F9D">
        <w:rPr>
          <w:b/>
          <w:bCs/>
          <w:sz w:val="20"/>
          <w:szCs w:val="20"/>
          <w:lang w:val="en-GB"/>
        </w:rPr>
        <w:t xml:space="preserve"> That said, development activity </w:t>
      </w:r>
      <w:r w:rsidR="00400CE3" w:rsidRPr="00705F9D">
        <w:rPr>
          <w:b/>
          <w:bCs/>
          <w:sz w:val="20"/>
          <w:szCs w:val="20"/>
          <w:lang w:val="en-GB"/>
        </w:rPr>
        <w:t>declined</w:t>
      </w:r>
      <w:r w:rsidR="004636E3" w:rsidRPr="00705F9D">
        <w:rPr>
          <w:b/>
          <w:bCs/>
          <w:sz w:val="20"/>
          <w:szCs w:val="20"/>
          <w:lang w:val="en-GB"/>
        </w:rPr>
        <w:t xml:space="preserve"> </w:t>
      </w:r>
      <w:r w:rsidR="00C61D1F" w:rsidRPr="00705F9D">
        <w:rPr>
          <w:b/>
          <w:bCs/>
          <w:sz w:val="20"/>
          <w:szCs w:val="20"/>
          <w:lang w:val="en-GB"/>
        </w:rPr>
        <w:t xml:space="preserve">by 26% compared with the same period in 2024, indicating that the sector has entered a </w:t>
      </w:r>
      <w:r w:rsidR="003D3844" w:rsidRPr="00705F9D">
        <w:rPr>
          <w:b/>
          <w:bCs/>
          <w:sz w:val="20"/>
          <w:szCs w:val="20"/>
          <w:lang w:val="en-GB"/>
        </w:rPr>
        <w:t xml:space="preserve">stabilisation </w:t>
      </w:r>
      <w:r w:rsidR="00400CE3" w:rsidRPr="00705F9D">
        <w:rPr>
          <w:b/>
          <w:bCs/>
          <w:sz w:val="20"/>
          <w:szCs w:val="20"/>
          <w:lang w:val="en-GB"/>
        </w:rPr>
        <w:t>phase</w:t>
      </w:r>
      <w:r w:rsidR="00FA2244" w:rsidRPr="00705F9D">
        <w:rPr>
          <w:b/>
          <w:bCs/>
          <w:sz w:val="20"/>
          <w:szCs w:val="20"/>
          <w:lang w:val="en-GB"/>
        </w:rPr>
        <w:t xml:space="preserve">. </w:t>
      </w:r>
    </w:p>
    <w:p w:rsidR="00071E14" w:rsidRPr="00705F9D" w:rsidRDefault="00071E14" w:rsidP="00B60C5B">
      <w:pPr>
        <w:spacing w:line="240" w:lineRule="auto"/>
        <w:jc w:val="both"/>
        <w:rPr>
          <w:b/>
          <w:bCs/>
          <w:sz w:val="20"/>
          <w:szCs w:val="20"/>
          <w:lang w:val="en-GB"/>
        </w:rPr>
      </w:pPr>
    </w:p>
    <w:p w:rsidR="00071E14" w:rsidRPr="00705F9D" w:rsidRDefault="0033522E" w:rsidP="00071E14">
      <w:pPr>
        <w:spacing w:line="240" w:lineRule="auto"/>
        <w:jc w:val="both"/>
        <w:rPr>
          <w:b/>
          <w:bCs/>
          <w:sz w:val="20"/>
          <w:szCs w:val="20"/>
          <w:lang w:val="en-GB"/>
        </w:rPr>
      </w:pPr>
      <w:r w:rsidRPr="00705F9D">
        <w:rPr>
          <w:b/>
          <w:bCs/>
          <w:sz w:val="20"/>
          <w:szCs w:val="20"/>
          <w:lang w:val="en-GB"/>
        </w:rPr>
        <w:t>TAKE-UP</w:t>
      </w:r>
      <w:r w:rsidR="00071E14" w:rsidRPr="00705F9D">
        <w:rPr>
          <w:b/>
          <w:bCs/>
          <w:sz w:val="20"/>
          <w:szCs w:val="20"/>
          <w:lang w:val="en-GB"/>
        </w:rPr>
        <w:t xml:space="preserve">: </w:t>
      </w:r>
      <w:r w:rsidRPr="00705F9D">
        <w:rPr>
          <w:b/>
          <w:bCs/>
          <w:sz w:val="20"/>
          <w:szCs w:val="20"/>
          <w:lang w:val="en-GB"/>
        </w:rPr>
        <w:t>Leasing activity dominated by renegotiations</w:t>
      </w:r>
    </w:p>
    <w:p w:rsidR="00071E14" w:rsidRPr="00705F9D" w:rsidRDefault="003025B5" w:rsidP="00071E14">
      <w:pPr>
        <w:spacing w:line="240" w:lineRule="auto"/>
        <w:jc w:val="both"/>
        <w:rPr>
          <w:sz w:val="20"/>
          <w:szCs w:val="20"/>
          <w:lang w:val="en-GB"/>
        </w:rPr>
      </w:pPr>
      <w:r w:rsidRPr="00705F9D">
        <w:rPr>
          <w:i/>
          <w:iCs/>
          <w:sz w:val="20"/>
          <w:szCs w:val="20"/>
          <w:lang w:val="en-GB"/>
        </w:rPr>
        <w:t>“</w:t>
      </w:r>
      <w:r w:rsidR="009B1C9E" w:rsidRPr="00705F9D">
        <w:rPr>
          <w:i/>
          <w:iCs/>
          <w:sz w:val="20"/>
          <w:szCs w:val="20"/>
          <w:lang w:val="en-GB"/>
        </w:rPr>
        <w:t>The first half of 2025 saw nearly 3 million sqm of industrial space transacted</w:t>
      </w:r>
      <w:r w:rsidRPr="00705F9D">
        <w:rPr>
          <w:i/>
          <w:iCs/>
          <w:sz w:val="20"/>
          <w:szCs w:val="20"/>
          <w:lang w:val="en-GB"/>
        </w:rPr>
        <w:t xml:space="preserve">, </w:t>
      </w:r>
      <w:r w:rsidR="00842B2E" w:rsidRPr="00705F9D">
        <w:rPr>
          <w:i/>
          <w:iCs/>
          <w:sz w:val="20"/>
          <w:szCs w:val="20"/>
          <w:lang w:val="en-GB"/>
        </w:rPr>
        <w:t>repre</w:t>
      </w:r>
      <w:r w:rsidR="003C1CD6" w:rsidRPr="00705F9D">
        <w:rPr>
          <w:i/>
          <w:iCs/>
          <w:sz w:val="20"/>
          <w:szCs w:val="20"/>
          <w:lang w:val="en-GB"/>
        </w:rPr>
        <w:t xml:space="preserve">senting a </w:t>
      </w:r>
      <w:r w:rsidRPr="00705F9D">
        <w:rPr>
          <w:i/>
          <w:iCs/>
          <w:sz w:val="20"/>
          <w:szCs w:val="20"/>
          <w:lang w:val="en-GB"/>
        </w:rPr>
        <w:t xml:space="preserve">10% year-on-year </w:t>
      </w:r>
      <w:r w:rsidR="003C1CD6" w:rsidRPr="00705F9D">
        <w:rPr>
          <w:i/>
          <w:iCs/>
          <w:sz w:val="20"/>
          <w:szCs w:val="20"/>
          <w:lang w:val="en-GB"/>
        </w:rPr>
        <w:t xml:space="preserve">increase </w:t>
      </w:r>
      <w:r w:rsidRPr="00705F9D">
        <w:rPr>
          <w:i/>
          <w:iCs/>
          <w:sz w:val="20"/>
          <w:szCs w:val="20"/>
          <w:lang w:val="en-GB"/>
        </w:rPr>
        <w:t xml:space="preserve">and </w:t>
      </w:r>
      <w:r w:rsidR="003C1CD6" w:rsidRPr="00705F9D">
        <w:rPr>
          <w:i/>
          <w:iCs/>
          <w:sz w:val="20"/>
          <w:szCs w:val="20"/>
          <w:lang w:val="en-GB"/>
        </w:rPr>
        <w:t xml:space="preserve">exceeding </w:t>
      </w:r>
      <w:r w:rsidRPr="00705F9D">
        <w:rPr>
          <w:i/>
          <w:iCs/>
          <w:sz w:val="20"/>
          <w:szCs w:val="20"/>
          <w:lang w:val="en-GB"/>
        </w:rPr>
        <w:t>the first-half average</w:t>
      </w:r>
      <w:r w:rsidR="001E6618" w:rsidRPr="00705F9D">
        <w:rPr>
          <w:i/>
          <w:iCs/>
          <w:sz w:val="20"/>
          <w:szCs w:val="20"/>
          <w:lang w:val="en-GB"/>
        </w:rPr>
        <w:t xml:space="preserve"> for</w:t>
      </w:r>
      <w:r w:rsidR="00071E14" w:rsidRPr="00705F9D">
        <w:rPr>
          <w:i/>
          <w:iCs/>
          <w:sz w:val="20"/>
          <w:szCs w:val="20"/>
          <w:lang w:val="en-GB"/>
        </w:rPr>
        <w:t xml:space="preserve"> 2020-2024</w:t>
      </w:r>
      <w:r w:rsidR="003C1CD6" w:rsidRPr="00705F9D">
        <w:rPr>
          <w:i/>
          <w:iCs/>
          <w:sz w:val="20"/>
          <w:szCs w:val="20"/>
          <w:lang w:val="en-GB"/>
        </w:rPr>
        <w:t xml:space="preserve"> by more than 4%</w:t>
      </w:r>
      <w:r w:rsidR="006B765B" w:rsidRPr="00705F9D">
        <w:rPr>
          <w:i/>
          <w:iCs/>
          <w:sz w:val="20"/>
          <w:szCs w:val="20"/>
          <w:lang w:val="en-GB"/>
        </w:rPr>
        <w:t>,”</w:t>
      </w:r>
      <w:r w:rsidR="00071E14" w:rsidRPr="00705F9D">
        <w:rPr>
          <w:sz w:val="20"/>
          <w:szCs w:val="20"/>
          <w:lang w:val="en-GB"/>
        </w:rPr>
        <w:t xml:space="preserve"> </w:t>
      </w:r>
      <w:r w:rsidR="006B765B" w:rsidRPr="00705F9D">
        <w:rPr>
          <w:sz w:val="20"/>
          <w:szCs w:val="20"/>
          <w:lang w:val="en-GB"/>
        </w:rPr>
        <w:t>comments</w:t>
      </w:r>
      <w:r w:rsidR="00071E14" w:rsidRPr="00705F9D">
        <w:rPr>
          <w:sz w:val="20"/>
          <w:szCs w:val="20"/>
          <w:lang w:val="en-GB"/>
        </w:rPr>
        <w:t xml:space="preserve"> </w:t>
      </w:r>
      <w:r w:rsidR="00EB6317" w:rsidRPr="00705F9D">
        <w:rPr>
          <w:b/>
          <w:bCs/>
          <w:sz w:val="20"/>
          <w:szCs w:val="20"/>
          <w:lang w:val="en-GB"/>
        </w:rPr>
        <w:t xml:space="preserve">Anita </w:t>
      </w:r>
      <w:proofErr w:type="spellStart"/>
      <w:r w:rsidR="00EB6317" w:rsidRPr="00705F9D">
        <w:rPr>
          <w:b/>
          <w:bCs/>
          <w:sz w:val="20"/>
          <w:szCs w:val="20"/>
          <w:lang w:val="en-GB"/>
        </w:rPr>
        <w:t>Mikusek</w:t>
      </w:r>
      <w:proofErr w:type="spellEnd"/>
      <w:r w:rsidR="00071E14" w:rsidRPr="00705F9D">
        <w:rPr>
          <w:b/>
          <w:bCs/>
          <w:sz w:val="20"/>
          <w:szCs w:val="20"/>
          <w:lang w:val="en-GB"/>
        </w:rPr>
        <w:t xml:space="preserve">, </w:t>
      </w:r>
      <w:r w:rsidR="00B04B1D" w:rsidRPr="00705F9D">
        <w:rPr>
          <w:b/>
          <w:bCs/>
          <w:sz w:val="20"/>
          <w:szCs w:val="20"/>
          <w:lang w:val="en-GB"/>
        </w:rPr>
        <w:t xml:space="preserve">Senior Research Consultant, </w:t>
      </w:r>
      <w:r w:rsidR="00071E14" w:rsidRPr="00705F9D">
        <w:rPr>
          <w:b/>
          <w:bCs/>
          <w:sz w:val="20"/>
          <w:szCs w:val="20"/>
          <w:lang w:val="en-GB"/>
        </w:rPr>
        <w:t>Cushman &amp; Wakefield.</w:t>
      </w:r>
      <w:r w:rsidR="00071E14" w:rsidRPr="00705F9D">
        <w:rPr>
          <w:sz w:val="20"/>
          <w:szCs w:val="20"/>
          <w:lang w:val="en-GB"/>
        </w:rPr>
        <w:t xml:space="preserve"> </w:t>
      </w:r>
    </w:p>
    <w:p w:rsidR="00071E14" w:rsidRPr="00705F9D" w:rsidRDefault="003C1CD6" w:rsidP="00071E14">
      <w:pPr>
        <w:spacing w:line="240" w:lineRule="auto"/>
        <w:jc w:val="both"/>
        <w:rPr>
          <w:sz w:val="20"/>
          <w:szCs w:val="20"/>
          <w:lang w:val="en-GB"/>
        </w:rPr>
      </w:pPr>
      <w:r w:rsidRPr="00705F9D">
        <w:rPr>
          <w:sz w:val="20"/>
          <w:szCs w:val="20"/>
          <w:lang w:val="en-GB"/>
        </w:rPr>
        <w:t xml:space="preserve">Take-up continued to be dominated by renegotiations, which accounted for 54% of </w:t>
      </w:r>
      <w:r w:rsidR="00D10C07" w:rsidRPr="00705F9D">
        <w:rPr>
          <w:sz w:val="20"/>
          <w:szCs w:val="20"/>
          <w:lang w:val="en-GB"/>
        </w:rPr>
        <w:t xml:space="preserve">total leasing activity. Although their share </w:t>
      </w:r>
      <w:r w:rsidR="008844FB" w:rsidRPr="00705F9D">
        <w:rPr>
          <w:sz w:val="20"/>
          <w:szCs w:val="20"/>
          <w:lang w:val="en-GB"/>
        </w:rPr>
        <w:t>declined slightly</w:t>
      </w:r>
      <w:r w:rsidR="00D10C07" w:rsidRPr="00705F9D">
        <w:rPr>
          <w:sz w:val="20"/>
          <w:szCs w:val="20"/>
          <w:lang w:val="en-GB"/>
        </w:rPr>
        <w:t xml:space="preserve"> over the quarter, from 56% in Q1 to 53% in Q2, this trend aligns with </w:t>
      </w:r>
      <w:r w:rsidR="000A0E83" w:rsidRPr="00705F9D">
        <w:rPr>
          <w:sz w:val="20"/>
          <w:szCs w:val="20"/>
          <w:lang w:val="en-GB"/>
        </w:rPr>
        <w:t xml:space="preserve">the </w:t>
      </w:r>
      <w:r w:rsidR="008D41D8" w:rsidRPr="00705F9D">
        <w:rPr>
          <w:sz w:val="20"/>
          <w:szCs w:val="20"/>
          <w:lang w:val="en-GB"/>
        </w:rPr>
        <w:t xml:space="preserve">increase </w:t>
      </w:r>
      <w:r w:rsidR="000A0E83" w:rsidRPr="00705F9D">
        <w:rPr>
          <w:sz w:val="20"/>
          <w:szCs w:val="20"/>
          <w:lang w:val="en-GB"/>
        </w:rPr>
        <w:t>in renewals from around 30% to 40% between 2023 and 2024</w:t>
      </w:r>
      <w:r w:rsidR="00071E14" w:rsidRPr="00705F9D">
        <w:rPr>
          <w:sz w:val="20"/>
          <w:szCs w:val="20"/>
          <w:lang w:val="en-GB"/>
        </w:rPr>
        <w:t xml:space="preserve">. </w:t>
      </w:r>
    </w:p>
    <w:p w:rsidR="00071E14" w:rsidRPr="00705F9D" w:rsidRDefault="00277A24" w:rsidP="00BE2833">
      <w:pPr>
        <w:spacing w:line="240" w:lineRule="auto"/>
        <w:jc w:val="both"/>
        <w:rPr>
          <w:sz w:val="20"/>
          <w:szCs w:val="20"/>
          <w:lang w:val="en-GB"/>
        </w:rPr>
      </w:pPr>
      <w:r w:rsidRPr="00705F9D">
        <w:rPr>
          <w:i/>
          <w:iCs/>
          <w:sz w:val="20"/>
          <w:szCs w:val="20"/>
          <w:lang w:val="en-GB"/>
        </w:rPr>
        <w:t>“</w:t>
      </w:r>
      <w:r w:rsidR="009D6C9B" w:rsidRPr="00705F9D">
        <w:rPr>
          <w:i/>
          <w:iCs/>
          <w:sz w:val="20"/>
          <w:szCs w:val="20"/>
          <w:lang w:val="en-GB"/>
        </w:rPr>
        <w:t>While we</w:t>
      </w:r>
      <w:r w:rsidR="00AC498C" w:rsidRPr="00705F9D">
        <w:rPr>
          <w:i/>
          <w:iCs/>
          <w:sz w:val="20"/>
          <w:szCs w:val="20"/>
          <w:lang w:val="en-GB"/>
        </w:rPr>
        <w:t xml:space="preserve"> are seeing a high number of enquiries about industrial space</w:t>
      </w:r>
      <w:r w:rsidR="003E7D3D" w:rsidRPr="00705F9D">
        <w:rPr>
          <w:i/>
          <w:iCs/>
          <w:sz w:val="20"/>
          <w:szCs w:val="20"/>
          <w:lang w:val="en-GB"/>
        </w:rPr>
        <w:t>, the take-up structure – dominated by renegotiations – suggest</w:t>
      </w:r>
      <w:r w:rsidRPr="00705F9D">
        <w:rPr>
          <w:i/>
          <w:iCs/>
          <w:sz w:val="20"/>
          <w:szCs w:val="20"/>
          <w:lang w:val="en-GB"/>
        </w:rPr>
        <w:t>s</w:t>
      </w:r>
      <w:r w:rsidR="003E7D3D" w:rsidRPr="00705F9D">
        <w:rPr>
          <w:i/>
          <w:iCs/>
          <w:sz w:val="20"/>
          <w:szCs w:val="20"/>
          <w:lang w:val="en-GB"/>
        </w:rPr>
        <w:t xml:space="preserve"> that many enquiries </w:t>
      </w:r>
      <w:r w:rsidRPr="00705F9D">
        <w:rPr>
          <w:i/>
          <w:iCs/>
          <w:sz w:val="20"/>
          <w:szCs w:val="20"/>
          <w:lang w:val="en-GB"/>
        </w:rPr>
        <w:t xml:space="preserve">are still made for benchmarking </w:t>
      </w:r>
      <w:r w:rsidR="00083043" w:rsidRPr="00705F9D">
        <w:rPr>
          <w:i/>
          <w:iCs/>
          <w:sz w:val="20"/>
          <w:szCs w:val="20"/>
          <w:lang w:val="en-GB"/>
        </w:rPr>
        <w:t xml:space="preserve">purposes, </w:t>
      </w:r>
      <w:r w:rsidRPr="00705F9D">
        <w:rPr>
          <w:i/>
          <w:iCs/>
          <w:sz w:val="20"/>
          <w:szCs w:val="20"/>
          <w:lang w:val="en-GB"/>
        </w:rPr>
        <w:t>with a view to optimising leasing conditions in existing locations.</w:t>
      </w:r>
      <w:r w:rsidR="00606EB3" w:rsidRPr="00705F9D">
        <w:rPr>
          <w:i/>
          <w:iCs/>
          <w:sz w:val="20"/>
          <w:szCs w:val="20"/>
          <w:lang w:val="en-GB"/>
        </w:rPr>
        <w:t xml:space="preserve"> As a result, it remains uncertain whether this </w:t>
      </w:r>
      <w:r w:rsidR="000C6AA8" w:rsidRPr="00705F9D">
        <w:rPr>
          <w:i/>
          <w:iCs/>
          <w:sz w:val="20"/>
          <w:szCs w:val="20"/>
          <w:lang w:val="en-GB"/>
        </w:rPr>
        <w:t xml:space="preserve">uptick in activity will translate into a genuine increase in net take-up or new developments. </w:t>
      </w:r>
      <w:r w:rsidR="00353AF8" w:rsidRPr="00705F9D">
        <w:rPr>
          <w:i/>
          <w:iCs/>
          <w:sz w:val="20"/>
          <w:szCs w:val="20"/>
          <w:lang w:val="en-GB"/>
        </w:rPr>
        <w:t xml:space="preserve">Meanwhile, the growing importance of nearshoring and </w:t>
      </w:r>
      <w:r w:rsidR="00CD282D" w:rsidRPr="00705F9D">
        <w:rPr>
          <w:i/>
          <w:iCs/>
          <w:sz w:val="20"/>
          <w:szCs w:val="20"/>
          <w:lang w:val="en-GB"/>
        </w:rPr>
        <w:t xml:space="preserve">infrastructure projects provides a solid foundation for expectations of a rebound in the second half of the year. </w:t>
      </w:r>
      <w:r w:rsidR="00F43816">
        <w:rPr>
          <w:i/>
          <w:iCs/>
          <w:sz w:val="20"/>
          <w:szCs w:val="20"/>
          <w:lang w:val="en-GB"/>
        </w:rPr>
        <w:t>Although</w:t>
      </w:r>
      <w:r w:rsidR="00BD2F8B" w:rsidRPr="00705F9D">
        <w:rPr>
          <w:i/>
          <w:iCs/>
          <w:sz w:val="20"/>
          <w:szCs w:val="20"/>
          <w:lang w:val="en-GB"/>
        </w:rPr>
        <w:t xml:space="preserve"> the PMI</w:t>
      </w:r>
      <w:r w:rsidR="0009396C" w:rsidRPr="00705F9D">
        <w:rPr>
          <w:i/>
          <w:iCs/>
          <w:sz w:val="20"/>
          <w:szCs w:val="20"/>
          <w:lang w:val="en-GB"/>
        </w:rPr>
        <w:t>, which provides a snapshot of the health of the manufacturing sector</w:t>
      </w:r>
      <w:r w:rsidR="00A81EF6" w:rsidRPr="00705F9D">
        <w:rPr>
          <w:i/>
          <w:iCs/>
          <w:sz w:val="20"/>
          <w:szCs w:val="20"/>
          <w:lang w:val="en-GB"/>
        </w:rPr>
        <w:t xml:space="preserve">, </w:t>
      </w:r>
      <w:r w:rsidR="00DF06F0" w:rsidRPr="00705F9D">
        <w:rPr>
          <w:i/>
          <w:iCs/>
          <w:sz w:val="20"/>
          <w:szCs w:val="20"/>
          <w:lang w:val="en-GB"/>
        </w:rPr>
        <w:t>fell</w:t>
      </w:r>
      <w:r w:rsidR="00A81EF6" w:rsidRPr="00705F9D">
        <w:rPr>
          <w:i/>
          <w:iCs/>
          <w:sz w:val="20"/>
          <w:szCs w:val="20"/>
          <w:lang w:val="en-GB"/>
        </w:rPr>
        <w:t xml:space="preserve"> from 47.1 in May to </w:t>
      </w:r>
      <w:r w:rsidR="00593583" w:rsidRPr="00705F9D">
        <w:rPr>
          <w:i/>
          <w:iCs/>
          <w:sz w:val="20"/>
          <w:szCs w:val="20"/>
          <w:lang w:val="en-GB"/>
        </w:rPr>
        <w:t>44.8 in June</w:t>
      </w:r>
      <w:r w:rsidR="00F43816">
        <w:rPr>
          <w:i/>
          <w:iCs/>
          <w:sz w:val="20"/>
          <w:szCs w:val="20"/>
          <w:lang w:val="en-GB"/>
        </w:rPr>
        <w:t xml:space="preserve"> –</w:t>
      </w:r>
      <w:r w:rsidR="00593583" w:rsidRPr="00705F9D">
        <w:rPr>
          <w:i/>
          <w:iCs/>
          <w:sz w:val="20"/>
          <w:szCs w:val="20"/>
          <w:lang w:val="en-GB"/>
        </w:rPr>
        <w:t xml:space="preserve"> signalling a deterioration of economic conditions and a temporary slowdown in </w:t>
      </w:r>
      <w:r w:rsidR="002462A5" w:rsidRPr="00705F9D">
        <w:rPr>
          <w:i/>
          <w:iCs/>
          <w:sz w:val="20"/>
          <w:szCs w:val="20"/>
          <w:lang w:val="en-GB"/>
        </w:rPr>
        <w:t xml:space="preserve">the </w:t>
      </w:r>
      <w:r w:rsidR="00593583" w:rsidRPr="00705F9D">
        <w:rPr>
          <w:i/>
          <w:iCs/>
          <w:sz w:val="20"/>
          <w:szCs w:val="20"/>
          <w:lang w:val="en-GB"/>
        </w:rPr>
        <w:t>sector</w:t>
      </w:r>
      <w:r w:rsidR="00F43816">
        <w:rPr>
          <w:i/>
          <w:iCs/>
          <w:sz w:val="20"/>
          <w:szCs w:val="20"/>
          <w:lang w:val="en-GB"/>
        </w:rPr>
        <w:t xml:space="preserve"> – </w:t>
      </w:r>
      <w:r w:rsidR="00827CE2" w:rsidRPr="00705F9D">
        <w:rPr>
          <w:i/>
          <w:iCs/>
          <w:sz w:val="20"/>
          <w:szCs w:val="20"/>
          <w:lang w:val="en-GB"/>
        </w:rPr>
        <w:t xml:space="preserve">ongoing and planned investments in energy and digital infrastructure </w:t>
      </w:r>
      <w:r w:rsidR="00A95E89" w:rsidRPr="00705F9D">
        <w:rPr>
          <w:i/>
          <w:iCs/>
          <w:sz w:val="20"/>
          <w:szCs w:val="20"/>
          <w:lang w:val="en-GB"/>
        </w:rPr>
        <w:t>are expected to drive</w:t>
      </w:r>
      <w:r w:rsidR="00A35086" w:rsidRPr="00705F9D">
        <w:rPr>
          <w:i/>
          <w:iCs/>
          <w:sz w:val="20"/>
          <w:szCs w:val="20"/>
          <w:lang w:val="en-GB"/>
        </w:rPr>
        <w:t xml:space="preserve"> additional demand for warehouse and industrial space</w:t>
      </w:r>
      <w:r w:rsidR="006B765B" w:rsidRPr="00705F9D">
        <w:rPr>
          <w:i/>
          <w:iCs/>
          <w:sz w:val="20"/>
          <w:szCs w:val="20"/>
          <w:lang w:val="en-GB"/>
        </w:rPr>
        <w:t>,”</w:t>
      </w:r>
      <w:r w:rsidR="00071E14" w:rsidRPr="00705F9D">
        <w:rPr>
          <w:sz w:val="20"/>
          <w:szCs w:val="20"/>
          <w:lang w:val="en-GB"/>
        </w:rPr>
        <w:t xml:space="preserve"> </w:t>
      </w:r>
      <w:r w:rsidR="006B765B" w:rsidRPr="00705F9D">
        <w:rPr>
          <w:sz w:val="20"/>
          <w:szCs w:val="20"/>
          <w:lang w:val="en-GB"/>
        </w:rPr>
        <w:t>adds</w:t>
      </w:r>
      <w:r w:rsidR="00071E14" w:rsidRPr="00705F9D">
        <w:rPr>
          <w:sz w:val="20"/>
          <w:szCs w:val="20"/>
          <w:lang w:val="en-GB"/>
        </w:rPr>
        <w:t xml:space="preserve"> </w:t>
      </w:r>
      <w:r w:rsidR="00EB6317" w:rsidRPr="00705F9D">
        <w:rPr>
          <w:b/>
          <w:bCs/>
          <w:sz w:val="20"/>
          <w:szCs w:val="20"/>
          <w:lang w:val="en-GB"/>
        </w:rPr>
        <w:t xml:space="preserve">Anita </w:t>
      </w:r>
      <w:proofErr w:type="spellStart"/>
      <w:r w:rsidR="00EB6317" w:rsidRPr="00705F9D">
        <w:rPr>
          <w:b/>
          <w:bCs/>
          <w:sz w:val="20"/>
          <w:szCs w:val="20"/>
          <w:lang w:val="en-GB"/>
        </w:rPr>
        <w:t>Mikusek</w:t>
      </w:r>
      <w:proofErr w:type="spellEnd"/>
      <w:r w:rsidR="00071E14" w:rsidRPr="00705F9D">
        <w:rPr>
          <w:b/>
          <w:bCs/>
          <w:sz w:val="20"/>
          <w:szCs w:val="20"/>
          <w:lang w:val="en-GB"/>
        </w:rPr>
        <w:t xml:space="preserve">, </w:t>
      </w:r>
      <w:r w:rsidR="001A4BAD" w:rsidRPr="00705F9D">
        <w:rPr>
          <w:b/>
          <w:bCs/>
          <w:sz w:val="20"/>
          <w:szCs w:val="20"/>
          <w:lang w:val="en-GB"/>
        </w:rPr>
        <w:t xml:space="preserve">Senior Research Consultant, </w:t>
      </w:r>
      <w:r w:rsidR="00071E14" w:rsidRPr="00705F9D">
        <w:rPr>
          <w:b/>
          <w:bCs/>
          <w:sz w:val="20"/>
          <w:szCs w:val="20"/>
          <w:lang w:val="en-GB"/>
        </w:rPr>
        <w:t>Cushman &amp; Wakefield.</w:t>
      </w:r>
      <w:r w:rsidR="00071E14" w:rsidRPr="00705F9D">
        <w:rPr>
          <w:sz w:val="20"/>
          <w:szCs w:val="20"/>
          <w:lang w:val="en-GB"/>
        </w:rPr>
        <w:t xml:space="preserve">  </w:t>
      </w:r>
    </w:p>
    <w:p w:rsidR="00071E14" w:rsidRPr="00705F9D" w:rsidRDefault="00273B32" w:rsidP="00071E14">
      <w:pPr>
        <w:spacing w:line="240" w:lineRule="auto"/>
        <w:jc w:val="both"/>
        <w:rPr>
          <w:sz w:val="20"/>
          <w:szCs w:val="20"/>
          <w:lang w:val="en-GB"/>
        </w:rPr>
      </w:pPr>
      <w:r w:rsidRPr="00705F9D">
        <w:rPr>
          <w:sz w:val="20"/>
          <w:szCs w:val="20"/>
          <w:lang w:val="en-GB"/>
        </w:rPr>
        <w:t xml:space="preserve">New leases and expansions </w:t>
      </w:r>
      <w:r w:rsidR="0091441D" w:rsidRPr="00705F9D">
        <w:rPr>
          <w:sz w:val="20"/>
          <w:szCs w:val="20"/>
          <w:lang w:val="en-GB"/>
        </w:rPr>
        <w:t>surpassed</w:t>
      </w:r>
      <w:r w:rsidR="00071E14" w:rsidRPr="00705F9D">
        <w:rPr>
          <w:sz w:val="20"/>
          <w:szCs w:val="20"/>
          <w:lang w:val="en-GB"/>
        </w:rPr>
        <w:t xml:space="preserve"> 1</w:t>
      </w:r>
      <w:r w:rsidR="0091441D" w:rsidRPr="00705F9D">
        <w:rPr>
          <w:sz w:val="20"/>
          <w:szCs w:val="20"/>
          <w:lang w:val="en-GB"/>
        </w:rPr>
        <w:t>.</w:t>
      </w:r>
      <w:r w:rsidR="00071E14" w:rsidRPr="00705F9D">
        <w:rPr>
          <w:sz w:val="20"/>
          <w:szCs w:val="20"/>
          <w:lang w:val="en-GB"/>
        </w:rPr>
        <w:t>3 m</w:t>
      </w:r>
      <w:r w:rsidR="0091441D" w:rsidRPr="00705F9D">
        <w:rPr>
          <w:sz w:val="20"/>
          <w:szCs w:val="20"/>
          <w:lang w:val="en-GB"/>
        </w:rPr>
        <w:t>illion sqm</w:t>
      </w:r>
      <w:r w:rsidR="00071E14" w:rsidRPr="00705F9D">
        <w:rPr>
          <w:sz w:val="20"/>
          <w:szCs w:val="20"/>
          <w:lang w:val="en-GB"/>
        </w:rPr>
        <w:t xml:space="preserve">, </w:t>
      </w:r>
      <w:r w:rsidR="0091441D" w:rsidRPr="00705F9D">
        <w:rPr>
          <w:sz w:val="20"/>
          <w:szCs w:val="20"/>
          <w:lang w:val="en-GB"/>
        </w:rPr>
        <w:t xml:space="preserve">with more than </w:t>
      </w:r>
      <w:r w:rsidR="00071E14" w:rsidRPr="00705F9D">
        <w:rPr>
          <w:sz w:val="20"/>
          <w:szCs w:val="20"/>
          <w:lang w:val="en-GB"/>
        </w:rPr>
        <w:t>860</w:t>
      </w:r>
      <w:r w:rsidR="0091441D" w:rsidRPr="00705F9D">
        <w:rPr>
          <w:sz w:val="20"/>
          <w:szCs w:val="20"/>
          <w:lang w:val="en-GB"/>
        </w:rPr>
        <w:t>,</w:t>
      </w:r>
      <w:r w:rsidR="00071E14" w:rsidRPr="00705F9D">
        <w:rPr>
          <w:sz w:val="20"/>
          <w:szCs w:val="20"/>
          <w:lang w:val="en-GB"/>
        </w:rPr>
        <w:t xml:space="preserve">000 </w:t>
      </w:r>
      <w:r w:rsidR="0091441D" w:rsidRPr="00705F9D">
        <w:rPr>
          <w:sz w:val="20"/>
          <w:szCs w:val="20"/>
          <w:lang w:val="en-GB"/>
        </w:rPr>
        <w:t>sq</w:t>
      </w:r>
      <w:r w:rsidR="00071E14" w:rsidRPr="00705F9D">
        <w:rPr>
          <w:sz w:val="20"/>
          <w:szCs w:val="20"/>
          <w:lang w:val="en-GB"/>
        </w:rPr>
        <w:t xml:space="preserve">m </w:t>
      </w:r>
      <w:r w:rsidR="0091441D" w:rsidRPr="00705F9D">
        <w:rPr>
          <w:sz w:val="20"/>
          <w:szCs w:val="20"/>
          <w:lang w:val="en-GB"/>
        </w:rPr>
        <w:t xml:space="preserve">transacted in the </w:t>
      </w:r>
      <w:r w:rsidR="00A842DA" w:rsidRPr="00705F9D">
        <w:rPr>
          <w:sz w:val="20"/>
          <w:szCs w:val="20"/>
          <w:lang w:val="en-GB"/>
        </w:rPr>
        <w:t>second quarter of 2025</w:t>
      </w:r>
      <w:r w:rsidR="00071E14" w:rsidRPr="00705F9D">
        <w:rPr>
          <w:sz w:val="20"/>
          <w:szCs w:val="20"/>
          <w:lang w:val="en-GB"/>
        </w:rPr>
        <w:t xml:space="preserve">. </w:t>
      </w:r>
    </w:p>
    <w:p w:rsidR="00071E14" w:rsidRPr="00705F9D" w:rsidRDefault="00D8488E" w:rsidP="00071E14">
      <w:pPr>
        <w:spacing w:line="240" w:lineRule="auto"/>
        <w:jc w:val="both"/>
        <w:rPr>
          <w:b/>
          <w:bCs/>
          <w:sz w:val="20"/>
          <w:szCs w:val="20"/>
          <w:lang w:val="en-GB"/>
        </w:rPr>
      </w:pPr>
      <w:r w:rsidRPr="00705F9D">
        <w:rPr>
          <w:b/>
          <w:bCs/>
          <w:sz w:val="20"/>
          <w:szCs w:val="20"/>
          <w:lang w:val="en-GB"/>
        </w:rPr>
        <w:t>SUPPLY</w:t>
      </w:r>
      <w:r w:rsidR="00071E14" w:rsidRPr="00705F9D">
        <w:rPr>
          <w:b/>
          <w:bCs/>
          <w:sz w:val="20"/>
          <w:szCs w:val="20"/>
          <w:lang w:val="en-GB"/>
        </w:rPr>
        <w:t xml:space="preserve">: </w:t>
      </w:r>
      <w:r w:rsidRPr="00705F9D">
        <w:rPr>
          <w:b/>
          <w:bCs/>
          <w:sz w:val="20"/>
          <w:szCs w:val="20"/>
          <w:lang w:val="en-GB"/>
        </w:rPr>
        <w:t>Moderate rebound in construction activity</w:t>
      </w:r>
      <w:r w:rsidR="00BE2833" w:rsidRPr="00705F9D">
        <w:rPr>
          <w:b/>
          <w:bCs/>
          <w:sz w:val="20"/>
          <w:szCs w:val="20"/>
          <w:lang w:val="en-GB"/>
        </w:rPr>
        <w:t xml:space="preserve"> </w:t>
      </w:r>
    </w:p>
    <w:p w:rsidR="00863E32" w:rsidRPr="00705F9D" w:rsidRDefault="008A1D36" w:rsidP="00071E14">
      <w:pPr>
        <w:spacing w:line="240" w:lineRule="auto"/>
        <w:jc w:val="both"/>
        <w:rPr>
          <w:sz w:val="20"/>
          <w:szCs w:val="20"/>
          <w:lang w:val="en-GB"/>
        </w:rPr>
      </w:pPr>
      <w:r w:rsidRPr="00705F9D">
        <w:rPr>
          <w:i/>
          <w:iCs/>
          <w:sz w:val="20"/>
          <w:szCs w:val="20"/>
          <w:lang w:val="en-GB"/>
        </w:rPr>
        <w:t>“Approximately 470,000 sqm of new industrial space was complete</w:t>
      </w:r>
      <w:r w:rsidR="00542700" w:rsidRPr="00705F9D">
        <w:rPr>
          <w:i/>
          <w:iCs/>
          <w:sz w:val="20"/>
          <w:szCs w:val="20"/>
          <w:lang w:val="en-GB"/>
        </w:rPr>
        <w:t>d</w:t>
      </w:r>
      <w:r w:rsidRPr="00705F9D">
        <w:rPr>
          <w:i/>
          <w:iCs/>
          <w:sz w:val="20"/>
          <w:szCs w:val="20"/>
          <w:lang w:val="en-GB"/>
        </w:rPr>
        <w:t xml:space="preserve"> during the second quarter of 2025, bringing Poland’s total stock </w:t>
      </w:r>
      <w:r w:rsidR="000C7C22" w:rsidRPr="00705F9D">
        <w:rPr>
          <w:i/>
          <w:iCs/>
          <w:sz w:val="20"/>
          <w:szCs w:val="20"/>
          <w:lang w:val="en-GB"/>
        </w:rPr>
        <w:t>to over</w:t>
      </w:r>
      <w:r w:rsidR="00863E32" w:rsidRPr="00705F9D">
        <w:rPr>
          <w:i/>
          <w:iCs/>
          <w:sz w:val="20"/>
          <w:szCs w:val="20"/>
          <w:lang w:val="en-GB"/>
        </w:rPr>
        <w:t xml:space="preserve"> 36 </w:t>
      </w:r>
      <w:r w:rsidR="000C7C22" w:rsidRPr="00705F9D">
        <w:rPr>
          <w:i/>
          <w:iCs/>
          <w:sz w:val="20"/>
          <w:szCs w:val="20"/>
          <w:lang w:val="en-GB"/>
        </w:rPr>
        <w:t>million sqm</w:t>
      </w:r>
      <w:r w:rsidR="00863E32" w:rsidRPr="00705F9D">
        <w:rPr>
          <w:i/>
          <w:iCs/>
          <w:sz w:val="20"/>
          <w:szCs w:val="20"/>
          <w:lang w:val="en-GB"/>
        </w:rPr>
        <w:t xml:space="preserve">. </w:t>
      </w:r>
      <w:r w:rsidR="009828E3" w:rsidRPr="00705F9D">
        <w:rPr>
          <w:i/>
          <w:iCs/>
          <w:sz w:val="20"/>
          <w:szCs w:val="20"/>
          <w:lang w:val="en-GB"/>
        </w:rPr>
        <w:t xml:space="preserve">The Polish market </w:t>
      </w:r>
      <w:r w:rsidR="00A36030" w:rsidRPr="00705F9D">
        <w:rPr>
          <w:i/>
          <w:iCs/>
          <w:sz w:val="20"/>
          <w:szCs w:val="20"/>
          <w:lang w:val="en-GB"/>
        </w:rPr>
        <w:t xml:space="preserve">has </w:t>
      </w:r>
      <w:r w:rsidR="009828E3" w:rsidRPr="00705F9D">
        <w:rPr>
          <w:i/>
          <w:iCs/>
          <w:sz w:val="20"/>
          <w:szCs w:val="20"/>
          <w:lang w:val="en-GB"/>
        </w:rPr>
        <w:t xml:space="preserve">more than doubled over the </w:t>
      </w:r>
      <w:r w:rsidR="00904F8F" w:rsidRPr="00705F9D">
        <w:rPr>
          <w:i/>
          <w:iCs/>
          <w:sz w:val="20"/>
          <w:szCs w:val="20"/>
          <w:lang w:val="en-GB"/>
        </w:rPr>
        <w:t>past</w:t>
      </w:r>
      <w:r w:rsidR="009828E3" w:rsidRPr="00705F9D">
        <w:rPr>
          <w:i/>
          <w:iCs/>
          <w:sz w:val="20"/>
          <w:szCs w:val="20"/>
          <w:lang w:val="en-GB"/>
        </w:rPr>
        <w:t xml:space="preserve"> six years, reflecting the impressive growth of the logistics sector in Poland. If all industrial and logistics </w:t>
      </w:r>
      <w:r w:rsidR="002D3A44" w:rsidRPr="00705F9D">
        <w:rPr>
          <w:i/>
          <w:iCs/>
          <w:sz w:val="20"/>
          <w:szCs w:val="20"/>
          <w:lang w:val="en-GB"/>
        </w:rPr>
        <w:t>buildings were placed side by side, they would cover an area equivalent to 7% of</w:t>
      </w:r>
      <w:r w:rsidR="00863E32" w:rsidRPr="00705F9D">
        <w:rPr>
          <w:i/>
          <w:iCs/>
          <w:sz w:val="20"/>
          <w:szCs w:val="20"/>
          <w:lang w:val="en-GB"/>
        </w:rPr>
        <w:t xml:space="preserve"> Warsaw, 11% </w:t>
      </w:r>
      <w:r w:rsidR="002D3A44" w:rsidRPr="00705F9D">
        <w:rPr>
          <w:i/>
          <w:iCs/>
          <w:sz w:val="20"/>
          <w:szCs w:val="20"/>
          <w:lang w:val="en-GB"/>
        </w:rPr>
        <w:t xml:space="preserve">of </w:t>
      </w:r>
      <w:r w:rsidR="00863E32" w:rsidRPr="00705F9D">
        <w:rPr>
          <w:i/>
          <w:iCs/>
          <w:sz w:val="20"/>
          <w:szCs w:val="20"/>
          <w:lang w:val="en-GB"/>
        </w:rPr>
        <w:t>Krakow</w:t>
      </w:r>
      <w:r w:rsidR="002D3A44" w:rsidRPr="00705F9D">
        <w:rPr>
          <w:i/>
          <w:iCs/>
          <w:sz w:val="20"/>
          <w:szCs w:val="20"/>
          <w:lang w:val="en-GB"/>
        </w:rPr>
        <w:t xml:space="preserve"> or </w:t>
      </w:r>
      <w:r w:rsidR="00863E32" w:rsidRPr="00705F9D">
        <w:rPr>
          <w:i/>
          <w:iCs/>
          <w:sz w:val="20"/>
          <w:szCs w:val="20"/>
          <w:lang w:val="en-GB"/>
        </w:rPr>
        <w:t xml:space="preserve">12% </w:t>
      </w:r>
      <w:r w:rsidR="002D3A44" w:rsidRPr="00705F9D">
        <w:rPr>
          <w:i/>
          <w:iCs/>
          <w:sz w:val="20"/>
          <w:szCs w:val="20"/>
          <w:lang w:val="en-GB"/>
        </w:rPr>
        <w:t xml:space="preserve">of </w:t>
      </w:r>
      <w:r w:rsidR="00863E32" w:rsidRPr="00705F9D">
        <w:rPr>
          <w:i/>
          <w:iCs/>
          <w:sz w:val="20"/>
          <w:szCs w:val="20"/>
          <w:lang w:val="en-GB"/>
        </w:rPr>
        <w:t>Wrocław</w:t>
      </w:r>
      <w:r w:rsidR="006B765B" w:rsidRPr="00705F9D">
        <w:rPr>
          <w:i/>
          <w:iCs/>
          <w:sz w:val="20"/>
          <w:szCs w:val="20"/>
          <w:lang w:val="en-GB"/>
        </w:rPr>
        <w:t>,”</w:t>
      </w:r>
      <w:r w:rsidR="00863E32" w:rsidRPr="00705F9D">
        <w:rPr>
          <w:sz w:val="20"/>
          <w:szCs w:val="20"/>
          <w:lang w:val="en-GB"/>
        </w:rPr>
        <w:t xml:space="preserve"> </w:t>
      </w:r>
      <w:r w:rsidR="006B765B" w:rsidRPr="00705F9D">
        <w:rPr>
          <w:sz w:val="20"/>
          <w:szCs w:val="20"/>
          <w:lang w:val="en-GB"/>
        </w:rPr>
        <w:t>explains</w:t>
      </w:r>
      <w:r w:rsidR="00863E32" w:rsidRPr="00705F9D">
        <w:rPr>
          <w:sz w:val="20"/>
          <w:szCs w:val="20"/>
          <w:lang w:val="en-GB"/>
        </w:rPr>
        <w:t xml:space="preserve"> </w:t>
      </w:r>
      <w:r w:rsidR="00EB6317" w:rsidRPr="00705F9D">
        <w:rPr>
          <w:b/>
          <w:bCs/>
          <w:sz w:val="20"/>
          <w:szCs w:val="20"/>
          <w:lang w:val="en-GB"/>
        </w:rPr>
        <w:t xml:space="preserve">Anita </w:t>
      </w:r>
      <w:proofErr w:type="spellStart"/>
      <w:r w:rsidR="00EB6317" w:rsidRPr="00705F9D">
        <w:rPr>
          <w:b/>
          <w:bCs/>
          <w:sz w:val="20"/>
          <w:szCs w:val="20"/>
          <w:lang w:val="en-GB"/>
        </w:rPr>
        <w:t>Mikusek</w:t>
      </w:r>
      <w:proofErr w:type="spellEnd"/>
      <w:r w:rsidR="00863E32" w:rsidRPr="00705F9D">
        <w:rPr>
          <w:b/>
          <w:bCs/>
          <w:sz w:val="20"/>
          <w:szCs w:val="20"/>
          <w:lang w:val="en-GB"/>
        </w:rPr>
        <w:t>, Cushman &amp; Wakefield.</w:t>
      </w:r>
      <w:r w:rsidR="00863E32" w:rsidRPr="00705F9D">
        <w:rPr>
          <w:sz w:val="20"/>
          <w:szCs w:val="20"/>
          <w:lang w:val="en-GB"/>
        </w:rPr>
        <w:t xml:space="preserve">  </w:t>
      </w:r>
    </w:p>
    <w:p w:rsidR="00071E14" w:rsidRPr="00705F9D" w:rsidRDefault="00B87756" w:rsidP="00071E14">
      <w:pPr>
        <w:spacing w:line="240" w:lineRule="auto"/>
        <w:jc w:val="both"/>
        <w:rPr>
          <w:sz w:val="20"/>
          <w:szCs w:val="20"/>
          <w:lang w:val="en-GB"/>
        </w:rPr>
      </w:pPr>
      <w:r w:rsidRPr="00705F9D">
        <w:rPr>
          <w:sz w:val="20"/>
          <w:szCs w:val="20"/>
          <w:lang w:val="en-GB"/>
        </w:rPr>
        <w:lastRenderedPageBreak/>
        <w:t xml:space="preserve">The top three provinces </w:t>
      </w:r>
      <w:r w:rsidR="00872EDC" w:rsidRPr="00705F9D">
        <w:rPr>
          <w:sz w:val="20"/>
          <w:szCs w:val="20"/>
          <w:lang w:val="en-GB"/>
        </w:rPr>
        <w:t>in terms of stock are</w:t>
      </w:r>
      <w:r w:rsidR="00071E14" w:rsidRPr="00705F9D">
        <w:rPr>
          <w:sz w:val="20"/>
          <w:szCs w:val="20"/>
          <w:lang w:val="en-GB"/>
        </w:rPr>
        <w:t xml:space="preserve"> </w:t>
      </w:r>
      <w:r w:rsidR="00872EDC" w:rsidRPr="00705F9D">
        <w:rPr>
          <w:sz w:val="20"/>
          <w:szCs w:val="20"/>
          <w:lang w:val="en-GB"/>
        </w:rPr>
        <w:t>M</w:t>
      </w:r>
      <w:r w:rsidR="00071E14" w:rsidRPr="00705F9D">
        <w:rPr>
          <w:sz w:val="20"/>
          <w:szCs w:val="20"/>
          <w:lang w:val="en-GB"/>
        </w:rPr>
        <w:t>azo</w:t>
      </w:r>
      <w:r w:rsidR="00872EDC" w:rsidRPr="00705F9D">
        <w:rPr>
          <w:sz w:val="20"/>
          <w:szCs w:val="20"/>
          <w:lang w:val="en-GB"/>
        </w:rPr>
        <w:t>via</w:t>
      </w:r>
      <w:r w:rsidR="00071E14" w:rsidRPr="00705F9D">
        <w:rPr>
          <w:sz w:val="20"/>
          <w:szCs w:val="20"/>
          <w:lang w:val="en-GB"/>
        </w:rPr>
        <w:t xml:space="preserve"> (</w:t>
      </w:r>
      <w:r w:rsidR="00872EDC" w:rsidRPr="00705F9D">
        <w:rPr>
          <w:sz w:val="20"/>
          <w:szCs w:val="20"/>
          <w:lang w:val="en-GB"/>
        </w:rPr>
        <w:t>approx.</w:t>
      </w:r>
      <w:r w:rsidR="00863E32" w:rsidRPr="00705F9D">
        <w:rPr>
          <w:sz w:val="20"/>
          <w:szCs w:val="20"/>
          <w:lang w:val="en-GB"/>
        </w:rPr>
        <w:t xml:space="preserve"> </w:t>
      </w:r>
      <w:r w:rsidR="00071E14" w:rsidRPr="00705F9D">
        <w:rPr>
          <w:sz w:val="20"/>
          <w:szCs w:val="20"/>
          <w:lang w:val="en-GB"/>
        </w:rPr>
        <w:t>7</w:t>
      </w:r>
      <w:r w:rsidR="00872EDC" w:rsidRPr="00705F9D">
        <w:rPr>
          <w:sz w:val="20"/>
          <w:szCs w:val="20"/>
          <w:lang w:val="en-GB"/>
        </w:rPr>
        <w:t>.</w:t>
      </w:r>
      <w:r w:rsidR="00863E32" w:rsidRPr="00705F9D">
        <w:rPr>
          <w:sz w:val="20"/>
          <w:szCs w:val="20"/>
          <w:lang w:val="en-GB"/>
        </w:rPr>
        <w:t>2</w:t>
      </w:r>
      <w:r w:rsidR="00071E14" w:rsidRPr="00705F9D">
        <w:rPr>
          <w:sz w:val="20"/>
          <w:szCs w:val="20"/>
          <w:lang w:val="en-GB"/>
        </w:rPr>
        <w:t xml:space="preserve"> m</w:t>
      </w:r>
      <w:r w:rsidR="00872EDC" w:rsidRPr="00705F9D">
        <w:rPr>
          <w:sz w:val="20"/>
          <w:szCs w:val="20"/>
          <w:lang w:val="en-GB"/>
        </w:rPr>
        <w:t>illion sqm</w:t>
      </w:r>
      <w:r w:rsidR="00071E14" w:rsidRPr="00705F9D">
        <w:rPr>
          <w:sz w:val="20"/>
          <w:szCs w:val="20"/>
          <w:lang w:val="en-GB"/>
        </w:rPr>
        <w:t xml:space="preserve">), </w:t>
      </w:r>
      <w:r w:rsidR="00654EBE" w:rsidRPr="00705F9D">
        <w:rPr>
          <w:sz w:val="20"/>
          <w:szCs w:val="20"/>
          <w:lang w:val="en-GB"/>
        </w:rPr>
        <w:t>Silesia</w:t>
      </w:r>
      <w:r w:rsidR="00071E14" w:rsidRPr="00705F9D">
        <w:rPr>
          <w:sz w:val="20"/>
          <w:szCs w:val="20"/>
          <w:lang w:val="en-GB"/>
        </w:rPr>
        <w:t xml:space="preserve"> (6</w:t>
      </w:r>
      <w:r w:rsidR="00654EBE" w:rsidRPr="00705F9D">
        <w:rPr>
          <w:sz w:val="20"/>
          <w:szCs w:val="20"/>
          <w:lang w:val="en-GB"/>
        </w:rPr>
        <w:t>.</w:t>
      </w:r>
      <w:r w:rsidR="00071E14" w:rsidRPr="00705F9D">
        <w:rPr>
          <w:sz w:val="20"/>
          <w:szCs w:val="20"/>
          <w:lang w:val="en-GB"/>
        </w:rPr>
        <w:t>1 m</w:t>
      </w:r>
      <w:r w:rsidR="00654EBE" w:rsidRPr="00705F9D">
        <w:rPr>
          <w:sz w:val="20"/>
          <w:szCs w:val="20"/>
          <w:lang w:val="en-GB"/>
        </w:rPr>
        <w:t>illion sqm</w:t>
      </w:r>
      <w:r w:rsidR="00071E14" w:rsidRPr="00705F9D">
        <w:rPr>
          <w:sz w:val="20"/>
          <w:szCs w:val="20"/>
          <w:lang w:val="en-GB"/>
        </w:rPr>
        <w:t xml:space="preserve">) </w:t>
      </w:r>
      <w:r w:rsidR="00654EBE" w:rsidRPr="00705F9D">
        <w:rPr>
          <w:sz w:val="20"/>
          <w:szCs w:val="20"/>
          <w:lang w:val="en-GB"/>
        </w:rPr>
        <w:t>and Lower Silesia</w:t>
      </w:r>
      <w:r w:rsidR="00071E14" w:rsidRPr="00705F9D">
        <w:rPr>
          <w:sz w:val="20"/>
          <w:szCs w:val="20"/>
          <w:lang w:val="en-GB"/>
        </w:rPr>
        <w:t xml:space="preserve"> (5</w:t>
      </w:r>
      <w:r w:rsidR="00654EBE" w:rsidRPr="00705F9D">
        <w:rPr>
          <w:sz w:val="20"/>
          <w:szCs w:val="20"/>
          <w:lang w:val="en-GB"/>
        </w:rPr>
        <w:t>.</w:t>
      </w:r>
      <w:r w:rsidR="00071E14" w:rsidRPr="00705F9D">
        <w:rPr>
          <w:sz w:val="20"/>
          <w:szCs w:val="20"/>
          <w:lang w:val="en-GB"/>
        </w:rPr>
        <w:t>3</w:t>
      </w:r>
      <w:r w:rsidR="00863E32" w:rsidRPr="00705F9D">
        <w:rPr>
          <w:sz w:val="20"/>
          <w:szCs w:val="20"/>
          <w:lang w:val="en-GB"/>
        </w:rPr>
        <w:t xml:space="preserve"> </w:t>
      </w:r>
      <w:r w:rsidR="00071E14" w:rsidRPr="00705F9D">
        <w:rPr>
          <w:sz w:val="20"/>
          <w:szCs w:val="20"/>
          <w:lang w:val="en-GB"/>
        </w:rPr>
        <w:t>m</w:t>
      </w:r>
      <w:r w:rsidR="00654EBE" w:rsidRPr="00705F9D">
        <w:rPr>
          <w:sz w:val="20"/>
          <w:szCs w:val="20"/>
          <w:lang w:val="en-GB"/>
        </w:rPr>
        <w:t>illion sqm</w:t>
      </w:r>
      <w:r w:rsidR="00071E14" w:rsidRPr="00705F9D">
        <w:rPr>
          <w:sz w:val="20"/>
          <w:szCs w:val="20"/>
          <w:lang w:val="en-GB"/>
        </w:rPr>
        <w:t>).</w:t>
      </w:r>
    </w:p>
    <w:p w:rsidR="00071E14" w:rsidRPr="00705F9D" w:rsidRDefault="00F40DEA" w:rsidP="00071E14">
      <w:pPr>
        <w:spacing w:line="240" w:lineRule="auto"/>
        <w:jc w:val="both"/>
        <w:rPr>
          <w:sz w:val="20"/>
          <w:szCs w:val="20"/>
          <w:lang w:val="en-GB"/>
        </w:rPr>
      </w:pPr>
      <w:r w:rsidRPr="00705F9D">
        <w:rPr>
          <w:i/>
          <w:iCs/>
          <w:sz w:val="20"/>
          <w:szCs w:val="20"/>
          <w:lang w:val="en-GB"/>
        </w:rPr>
        <w:t>“In the second quarter of 2025, construction work began on nearly</w:t>
      </w:r>
      <w:r w:rsidR="00863E32" w:rsidRPr="00705F9D">
        <w:rPr>
          <w:i/>
          <w:iCs/>
          <w:sz w:val="20"/>
          <w:szCs w:val="20"/>
          <w:lang w:val="en-GB"/>
        </w:rPr>
        <w:t xml:space="preserve"> 660</w:t>
      </w:r>
      <w:r w:rsidRPr="00705F9D">
        <w:rPr>
          <w:i/>
          <w:iCs/>
          <w:sz w:val="20"/>
          <w:szCs w:val="20"/>
          <w:lang w:val="en-GB"/>
        </w:rPr>
        <w:t>,</w:t>
      </w:r>
      <w:r w:rsidR="00863E32" w:rsidRPr="00705F9D">
        <w:rPr>
          <w:i/>
          <w:iCs/>
          <w:sz w:val="20"/>
          <w:szCs w:val="20"/>
          <w:lang w:val="en-GB"/>
        </w:rPr>
        <w:t xml:space="preserve">000 </w:t>
      </w:r>
      <w:r w:rsidRPr="00705F9D">
        <w:rPr>
          <w:i/>
          <w:iCs/>
          <w:sz w:val="20"/>
          <w:szCs w:val="20"/>
          <w:lang w:val="en-GB"/>
        </w:rPr>
        <w:t>sq</w:t>
      </w:r>
      <w:r w:rsidR="00863E32" w:rsidRPr="00705F9D">
        <w:rPr>
          <w:i/>
          <w:iCs/>
          <w:sz w:val="20"/>
          <w:szCs w:val="20"/>
          <w:lang w:val="en-GB"/>
        </w:rPr>
        <w:t>m</w:t>
      </w:r>
      <w:r w:rsidRPr="00705F9D">
        <w:rPr>
          <w:i/>
          <w:iCs/>
          <w:sz w:val="20"/>
          <w:szCs w:val="20"/>
          <w:lang w:val="en-GB"/>
        </w:rPr>
        <w:t xml:space="preserve"> of industrial space</w:t>
      </w:r>
      <w:r w:rsidR="00542ED3" w:rsidRPr="00705F9D">
        <w:rPr>
          <w:i/>
          <w:iCs/>
          <w:sz w:val="20"/>
          <w:szCs w:val="20"/>
          <w:lang w:val="en-GB"/>
        </w:rPr>
        <w:t xml:space="preserve"> – more</w:t>
      </w:r>
      <w:r w:rsidR="00174435" w:rsidRPr="00705F9D">
        <w:rPr>
          <w:i/>
          <w:iCs/>
          <w:sz w:val="20"/>
          <w:szCs w:val="20"/>
          <w:lang w:val="en-GB"/>
        </w:rPr>
        <w:t xml:space="preserve"> </w:t>
      </w:r>
      <w:r w:rsidR="00542ED3" w:rsidRPr="00705F9D">
        <w:rPr>
          <w:i/>
          <w:iCs/>
          <w:sz w:val="20"/>
          <w:szCs w:val="20"/>
          <w:lang w:val="en-GB"/>
        </w:rPr>
        <w:t>than double the amount in the first quarter</w:t>
      </w:r>
      <w:r w:rsidR="00BB3625" w:rsidRPr="00705F9D">
        <w:rPr>
          <w:i/>
          <w:iCs/>
          <w:sz w:val="20"/>
          <w:szCs w:val="20"/>
          <w:lang w:val="en-GB"/>
        </w:rPr>
        <w:t xml:space="preserve">, bringing </w:t>
      </w:r>
      <w:r w:rsidR="00174435" w:rsidRPr="00705F9D">
        <w:rPr>
          <w:i/>
          <w:iCs/>
          <w:sz w:val="20"/>
          <w:szCs w:val="20"/>
          <w:lang w:val="en-GB"/>
        </w:rPr>
        <w:t>Poland’s total development pipeline to approximately 1.5 million sqm at the end of the first half of 2025</w:t>
      </w:r>
      <w:r w:rsidR="00BB3625" w:rsidRPr="00705F9D">
        <w:rPr>
          <w:i/>
          <w:iCs/>
          <w:sz w:val="20"/>
          <w:szCs w:val="20"/>
          <w:lang w:val="en-GB"/>
        </w:rPr>
        <w:t>. While this</w:t>
      </w:r>
      <w:r w:rsidR="005A12F9" w:rsidRPr="00705F9D">
        <w:rPr>
          <w:i/>
          <w:iCs/>
          <w:sz w:val="20"/>
          <w:szCs w:val="20"/>
          <w:lang w:val="en-GB"/>
        </w:rPr>
        <w:t xml:space="preserve"> indicat</w:t>
      </w:r>
      <w:r w:rsidR="00BB3625" w:rsidRPr="00705F9D">
        <w:rPr>
          <w:i/>
          <w:iCs/>
          <w:sz w:val="20"/>
          <w:szCs w:val="20"/>
          <w:lang w:val="en-GB"/>
        </w:rPr>
        <w:t>es</w:t>
      </w:r>
      <w:r w:rsidR="005A12F9" w:rsidRPr="00705F9D">
        <w:rPr>
          <w:i/>
          <w:iCs/>
          <w:sz w:val="20"/>
          <w:szCs w:val="20"/>
          <w:lang w:val="en-GB"/>
        </w:rPr>
        <w:t xml:space="preserve"> a slight rebound</w:t>
      </w:r>
      <w:r w:rsidR="00AF67AC" w:rsidRPr="00705F9D">
        <w:rPr>
          <w:i/>
          <w:iCs/>
          <w:sz w:val="20"/>
          <w:szCs w:val="20"/>
          <w:lang w:val="en-GB"/>
        </w:rPr>
        <w:t xml:space="preserve"> relative to the first quarter</w:t>
      </w:r>
      <w:r w:rsidR="00FD26BB" w:rsidRPr="00705F9D">
        <w:rPr>
          <w:i/>
          <w:iCs/>
          <w:sz w:val="20"/>
          <w:szCs w:val="20"/>
          <w:lang w:val="en-GB"/>
        </w:rPr>
        <w:t xml:space="preserve">, it is 26% lower year-on-year, </w:t>
      </w:r>
      <w:r w:rsidR="006803A7" w:rsidRPr="00705F9D">
        <w:rPr>
          <w:i/>
          <w:iCs/>
          <w:sz w:val="20"/>
          <w:szCs w:val="20"/>
          <w:lang w:val="en-GB"/>
        </w:rPr>
        <w:t>confirming the ongoing downward trend in</w:t>
      </w:r>
      <w:r w:rsidR="003E39E1" w:rsidRPr="00705F9D">
        <w:rPr>
          <w:i/>
          <w:iCs/>
          <w:sz w:val="20"/>
          <w:szCs w:val="20"/>
          <w:lang w:val="en-GB"/>
        </w:rPr>
        <w:t xml:space="preserve"> development activity. The share of speculative construction remained at </w:t>
      </w:r>
      <w:r w:rsidR="00071E14" w:rsidRPr="00705F9D">
        <w:rPr>
          <w:i/>
          <w:iCs/>
          <w:sz w:val="20"/>
          <w:szCs w:val="20"/>
          <w:lang w:val="en-GB"/>
        </w:rPr>
        <w:t xml:space="preserve">41%, </w:t>
      </w:r>
      <w:r w:rsidR="006766BB" w:rsidRPr="00705F9D">
        <w:rPr>
          <w:i/>
          <w:iCs/>
          <w:sz w:val="20"/>
          <w:szCs w:val="20"/>
          <w:lang w:val="en-GB"/>
        </w:rPr>
        <w:t xml:space="preserve">equivalent to </w:t>
      </w:r>
      <w:r w:rsidR="00071E14" w:rsidRPr="00705F9D">
        <w:rPr>
          <w:i/>
          <w:iCs/>
          <w:sz w:val="20"/>
          <w:szCs w:val="20"/>
          <w:lang w:val="en-GB"/>
        </w:rPr>
        <w:t>603</w:t>
      </w:r>
      <w:r w:rsidR="006766BB" w:rsidRPr="00705F9D">
        <w:rPr>
          <w:i/>
          <w:iCs/>
          <w:sz w:val="20"/>
          <w:szCs w:val="20"/>
          <w:lang w:val="en-GB"/>
        </w:rPr>
        <w:t>,</w:t>
      </w:r>
      <w:r w:rsidR="00863E32" w:rsidRPr="00705F9D">
        <w:rPr>
          <w:i/>
          <w:iCs/>
          <w:sz w:val="20"/>
          <w:szCs w:val="20"/>
          <w:lang w:val="en-GB"/>
        </w:rPr>
        <w:t xml:space="preserve">000 </w:t>
      </w:r>
      <w:r w:rsidR="006766BB" w:rsidRPr="00705F9D">
        <w:rPr>
          <w:i/>
          <w:iCs/>
          <w:sz w:val="20"/>
          <w:szCs w:val="20"/>
          <w:lang w:val="en-GB"/>
        </w:rPr>
        <w:t>sq</w:t>
      </w:r>
      <w:r w:rsidR="00863E32" w:rsidRPr="00705F9D">
        <w:rPr>
          <w:i/>
          <w:iCs/>
          <w:sz w:val="20"/>
          <w:szCs w:val="20"/>
          <w:lang w:val="en-GB"/>
        </w:rPr>
        <w:t xml:space="preserve">m </w:t>
      </w:r>
      <w:r w:rsidR="006766BB" w:rsidRPr="00705F9D">
        <w:rPr>
          <w:i/>
          <w:iCs/>
          <w:sz w:val="20"/>
          <w:szCs w:val="20"/>
          <w:lang w:val="en-GB"/>
        </w:rPr>
        <w:t>available for lease</w:t>
      </w:r>
      <w:r w:rsidR="00E32FB7" w:rsidRPr="00705F9D">
        <w:rPr>
          <w:i/>
          <w:iCs/>
          <w:sz w:val="20"/>
          <w:szCs w:val="20"/>
          <w:lang w:val="en-GB"/>
        </w:rPr>
        <w:t>, reflecting developers’ moderate optimism about future occupier demand</w:t>
      </w:r>
      <w:r w:rsidR="0064283E" w:rsidRPr="00705F9D">
        <w:rPr>
          <w:i/>
          <w:iCs/>
          <w:sz w:val="20"/>
          <w:szCs w:val="20"/>
          <w:lang w:val="en-GB"/>
        </w:rPr>
        <w:t>,”</w:t>
      </w:r>
      <w:r w:rsidR="00863E32" w:rsidRPr="00705F9D">
        <w:rPr>
          <w:sz w:val="20"/>
          <w:szCs w:val="20"/>
          <w:lang w:val="en-GB"/>
        </w:rPr>
        <w:t xml:space="preserve"> </w:t>
      </w:r>
      <w:r w:rsidR="0064283E" w:rsidRPr="00705F9D">
        <w:rPr>
          <w:sz w:val="20"/>
          <w:szCs w:val="20"/>
          <w:lang w:val="en-GB"/>
        </w:rPr>
        <w:t>adds</w:t>
      </w:r>
      <w:r w:rsidR="00863E32" w:rsidRPr="00705F9D">
        <w:rPr>
          <w:sz w:val="20"/>
          <w:szCs w:val="20"/>
          <w:lang w:val="en-GB"/>
        </w:rPr>
        <w:t xml:space="preserve"> </w:t>
      </w:r>
      <w:r w:rsidR="00EB6317" w:rsidRPr="00705F9D">
        <w:rPr>
          <w:b/>
          <w:bCs/>
          <w:sz w:val="20"/>
          <w:szCs w:val="20"/>
          <w:lang w:val="en-GB"/>
        </w:rPr>
        <w:t xml:space="preserve">Anita </w:t>
      </w:r>
      <w:proofErr w:type="spellStart"/>
      <w:r w:rsidR="00EB6317" w:rsidRPr="00705F9D">
        <w:rPr>
          <w:b/>
          <w:bCs/>
          <w:sz w:val="20"/>
          <w:szCs w:val="20"/>
          <w:lang w:val="en-GB"/>
        </w:rPr>
        <w:t>Mikusek</w:t>
      </w:r>
      <w:proofErr w:type="spellEnd"/>
      <w:r w:rsidR="00863E32" w:rsidRPr="00705F9D">
        <w:rPr>
          <w:b/>
          <w:bCs/>
          <w:sz w:val="20"/>
          <w:szCs w:val="20"/>
          <w:lang w:val="en-GB"/>
        </w:rPr>
        <w:t>, Cushman &amp; Wakefield.</w:t>
      </w:r>
      <w:r w:rsidR="00863E32" w:rsidRPr="00705F9D">
        <w:rPr>
          <w:sz w:val="20"/>
          <w:szCs w:val="20"/>
          <w:lang w:val="en-GB"/>
        </w:rPr>
        <w:t xml:space="preserve">  </w:t>
      </w:r>
    </w:p>
    <w:p w:rsidR="00071E14" w:rsidRPr="00705F9D" w:rsidRDefault="00121524" w:rsidP="00071E14">
      <w:pPr>
        <w:spacing w:line="240" w:lineRule="auto"/>
        <w:jc w:val="both"/>
        <w:rPr>
          <w:sz w:val="20"/>
          <w:szCs w:val="20"/>
          <w:lang w:val="en-GB"/>
        </w:rPr>
      </w:pPr>
      <w:r w:rsidRPr="00705F9D">
        <w:rPr>
          <w:sz w:val="20"/>
          <w:szCs w:val="20"/>
          <w:lang w:val="en-GB"/>
        </w:rPr>
        <w:t>Mazovia continues to lead the way for development activity, accounting for 32% of Poland’s total stock under construction. Strong momentum is also seen in Silesia (14%), while Łódzkie and Pomerania were neck and neck in the second quarter in terms of their share of the development pipeline at 12% each, equating to approximately 172,000 sqm of industrial space under way in each of the two regions</w:t>
      </w:r>
      <w:r w:rsidR="00071E14" w:rsidRPr="00705F9D">
        <w:rPr>
          <w:sz w:val="20"/>
          <w:szCs w:val="20"/>
          <w:lang w:val="en-GB"/>
        </w:rPr>
        <w:t>.</w:t>
      </w:r>
    </w:p>
    <w:p w:rsidR="00BE2833" w:rsidRPr="00705F9D" w:rsidRDefault="005D0E8D" w:rsidP="00DE6CAD">
      <w:pPr>
        <w:spacing w:line="240" w:lineRule="auto"/>
        <w:jc w:val="both"/>
        <w:rPr>
          <w:sz w:val="20"/>
          <w:szCs w:val="20"/>
          <w:lang w:val="en-GB"/>
        </w:rPr>
      </w:pPr>
      <w:r w:rsidRPr="00705F9D">
        <w:rPr>
          <w:sz w:val="20"/>
          <w:szCs w:val="20"/>
          <w:lang w:val="en-GB"/>
        </w:rPr>
        <w:t>In the current market environment, new project starts are</w:t>
      </w:r>
      <w:r w:rsidR="003F7ACF" w:rsidRPr="00705F9D">
        <w:rPr>
          <w:sz w:val="20"/>
          <w:szCs w:val="20"/>
          <w:lang w:val="en-GB"/>
        </w:rPr>
        <w:t xml:space="preserve"> increasingly contingent on </w:t>
      </w:r>
      <w:r w:rsidR="002901D7" w:rsidRPr="00705F9D">
        <w:rPr>
          <w:sz w:val="20"/>
          <w:szCs w:val="20"/>
          <w:lang w:val="en-GB"/>
        </w:rPr>
        <w:t xml:space="preserve">securing </w:t>
      </w:r>
      <w:r w:rsidR="003F7ACF" w:rsidRPr="00705F9D">
        <w:rPr>
          <w:sz w:val="20"/>
          <w:szCs w:val="20"/>
          <w:lang w:val="en-GB"/>
        </w:rPr>
        <w:t xml:space="preserve">tenants </w:t>
      </w:r>
      <w:r w:rsidR="002901D7" w:rsidRPr="00705F9D">
        <w:rPr>
          <w:sz w:val="20"/>
          <w:szCs w:val="20"/>
          <w:lang w:val="en-GB"/>
        </w:rPr>
        <w:t xml:space="preserve">in advance </w:t>
      </w:r>
      <w:r w:rsidR="003F7ACF" w:rsidRPr="00705F9D">
        <w:rPr>
          <w:sz w:val="20"/>
          <w:szCs w:val="20"/>
          <w:lang w:val="en-GB"/>
        </w:rPr>
        <w:t xml:space="preserve">– either by </w:t>
      </w:r>
      <w:r w:rsidR="00030800" w:rsidRPr="00705F9D">
        <w:rPr>
          <w:sz w:val="20"/>
          <w:szCs w:val="20"/>
          <w:lang w:val="en-GB"/>
        </w:rPr>
        <w:t xml:space="preserve">increasing occupancy in existing facilities or </w:t>
      </w:r>
      <w:r w:rsidR="00DE6CAD" w:rsidRPr="00705F9D">
        <w:rPr>
          <w:sz w:val="20"/>
          <w:szCs w:val="20"/>
          <w:lang w:val="en-GB"/>
        </w:rPr>
        <w:t>arranging</w:t>
      </w:r>
      <w:r w:rsidR="00BE2833" w:rsidRPr="00705F9D">
        <w:rPr>
          <w:sz w:val="20"/>
          <w:szCs w:val="20"/>
          <w:lang w:val="en-GB"/>
        </w:rPr>
        <w:t xml:space="preserve"> pre-lease</w:t>
      </w:r>
      <w:r w:rsidR="0065729E" w:rsidRPr="00705F9D">
        <w:rPr>
          <w:sz w:val="20"/>
          <w:szCs w:val="20"/>
          <w:lang w:val="en-GB"/>
        </w:rPr>
        <w:t>s</w:t>
      </w:r>
      <w:r w:rsidR="00BE2833" w:rsidRPr="00705F9D">
        <w:rPr>
          <w:sz w:val="20"/>
          <w:szCs w:val="20"/>
          <w:lang w:val="en-GB"/>
        </w:rPr>
        <w:t xml:space="preserve">. </w:t>
      </w:r>
      <w:r w:rsidR="007B5712" w:rsidRPr="00705F9D">
        <w:rPr>
          <w:sz w:val="20"/>
          <w:szCs w:val="20"/>
          <w:lang w:val="en-GB"/>
        </w:rPr>
        <w:t xml:space="preserve">Purely speculative construction remains constrained and </w:t>
      </w:r>
      <w:r w:rsidR="00A84519" w:rsidRPr="00705F9D">
        <w:rPr>
          <w:sz w:val="20"/>
          <w:szCs w:val="20"/>
          <w:lang w:val="en-GB"/>
        </w:rPr>
        <w:t>is la</w:t>
      </w:r>
      <w:r w:rsidR="0058021A" w:rsidRPr="00705F9D">
        <w:rPr>
          <w:sz w:val="20"/>
          <w:szCs w:val="20"/>
          <w:lang w:val="en-GB"/>
        </w:rPr>
        <w:t xml:space="preserve">rgely </w:t>
      </w:r>
      <w:r w:rsidR="007B5712" w:rsidRPr="00705F9D">
        <w:rPr>
          <w:sz w:val="20"/>
          <w:szCs w:val="20"/>
          <w:lang w:val="en-GB"/>
        </w:rPr>
        <w:t xml:space="preserve">concentrated on selected core </w:t>
      </w:r>
      <w:r w:rsidR="00E936BF">
        <w:rPr>
          <w:sz w:val="20"/>
          <w:szCs w:val="20"/>
          <w:lang w:val="en-GB"/>
        </w:rPr>
        <w:t>sub</w:t>
      </w:r>
      <w:r w:rsidR="007B5712" w:rsidRPr="00705F9D">
        <w:rPr>
          <w:sz w:val="20"/>
          <w:szCs w:val="20"/>
          <w:lang w:val="en-GB"/>
        </w:rPr>
        <w:t>markets with low vacancy rates</w:t>
      </w:r>
      <w:r w:rsidR="00BE2833" w:rsidRPr="00705F9D">
        <w:rPr>
          <w:sz w:val="20"/>
          <w:szCs w:val="20"/>
          <w:lang w:val="en-GB"/>
        </w:rPr>
        <w:t xml:space="preserve">. </w:t>
      </w:r>
    </w:p>
    <w:p w:rsidR="00BE2833" w:rsidRPr="00705F9D" w:rsidRDefault="00DE6CAD" w:rsidP="00BE2833">
      <w:pPr>
        <w:spacing w:line="240" w:lineRule="auto"/>
        <w:jc w:val="both"/>
        <w:rPr>
          <w:b/>
          <w:bCs/>
          <w:sz w:val="20"/>
          <w:szCs w:val="20"/>
          <w:lang w:val="en-GB"/>
        </w:rPr>
      </w:pPr>
      <w:r w:rsidRPr="00705F9D">
        <w:rPr>
          <w:b/>
          <w:bCs/>
          <w:sz w:val="20"/>
          <w:szCs w:val="20"/>
          <w:lang w:val="en-GB"/>
        </w:rPr>
        <w:t>VACANCIES</w:t>
      </w:r>
      <w:r w:rsidR="00BE2833" w:rsidRPr="00705F9D">
        <w:rPr>
          <w:b/>
          <w:bCs/>
          <w:sz w:val="20"/>
          <w:szCs w:val="20"/>
          <w:lang w:val="en-GB"/>
        </w:rPr>
        <w:t xml:space="preserve">: </w:t>
      </w:r>
      <w:r w:rsidRPr="00705F9D">
        <w:rPr>
          <w:b/>
          <w:bCs/>
          <w:sz w:val="20"/>
          <w:szCs w:val="20"/>
          <w:lang w:val="en-GB"/>
        </w:rPr>
        <w:t>New supply absorbed, but unevenly</w:t>
      </w:r>
      <w:r w:rsidR="00BE2833" w:rsidRPr="00705F9D">
        <w:rPr>
          <w:b/>
          <w:bCs/>
          <w:sz w:val="20"/>
          <w:szCs w:val="20"/>
          <w:lang w:val="en-GB"/>
        </w:rPr>
        <w:t xml:space="preserve"> </w:t>
      </w:r>
    </w:p>
    <w:p w:rsidR="00BE2833" w:rsidRPr="00705F9D" w:rsidRDefault="00E110C2" w:rsidP="00BE2833">
      <w:pPr>
        <w:spacing w:line="240" w:lineRule="auto"/>
        <w:jc w:val="both"/>
        <w:rPr>
          <w:sz w:val="20"/>
          <w:szCs w:val="20"/>
          <w:lang w:val="en-GB"/>
        </w:rPr>
      </w:pPr>
      <w:r w:rsidRPr="00705F9D">
        <w:rPr>
          <w:sz w:val="20"/>
          <w:szCs w:val="20"/>
          <w:lang w:val="en-GB"/>
        </w:rPr>
        <w:t xml:space="preserve">In the second quarter of </w:t>
      </w:r>
      <w:r w:rsidR="00BE2833" w:rsidRPr="00705F9D">
        <w:rPr>
          <w:sz w:val="20"/>
          <w:szCs w:val="20"/>
          <w:lang w:val="en-GB"/>
        </w:rPr>
        <w:t>2025</w:t>
      </w:r>
      <w:r w:rsidRPr="00705F9D">
        <w:rPr>
          <w:sz w:val="20"/>
          <w:szCs w:val="20"/>
          <w:lang w:val="en-GB"/>
        </w:rPr>
        <w:t>, warehouse and industrial availability across Poland contracted to</w:t>
      </w:r>
      <w:r w:rsidR="00BE2833" w:rsidRPr="00705F9D">
        <w:rPr>
          <w:sz w:val="20"/>
          <w:szCs w:val="20"/>
          <w:lang w:val="en-GB"/>
        </w:rPr>
        <w:t xml:space="preserve"> 2</w:t>
      </w:r>
      <w:r w:rsidRPr="00705F9D">
        <w:rPr>
          <w:sz w:val="20"/>
          <w:szCs w:val="20"/>
          <w:lang w:val="en-GB"/>
        </w:rPr>
        <w:t>.</w:t>
      </w:r>
      <w:r w:rsidR="00BE2833" w:rsidRPr="00705F9D">
        <w:rPr>
          <w:sz w:val="20"/>
          <w:szCs w:val="20"/>
          <w:lang w:val="en-GB"/>
        </w:rPr>
        <w:t xml:space="preserve">95 </w:t>
      </w:r>
      <w:r w:rsidRPr="00705F9D">
        <w:rPr>
          <w:sz w:val="20"/>
          <w:szCs w:val="20"/>
          <w:lang w:val="en-GB"/>
        </w:rPr>
        <w:t>million sqm</w:t>
      </w:r>
      <w:r w:rsidR="007B6793" w:rsidRPr="00705F9D">
        <w:rPr>
          <w:sz w:val="20"/>
          <w:szCs w:val="20"/>
          <w:lang w:val="en-GB"/>
        </w:rPr>
        <w:t>, bringing the overall vacancy rate down to</w:t>
      </w:r>
      <w:r w:rsidR="00BE2833" w:rsidRPr="00705F9D">
        <w:rPr>
          <w:sz w:val="20"/>
          <w:szCs w:val="20"/>
          <w:lang w:val="en-GB"/>
        </w:rPr>
        <w:t xml:space="preserve"> 8</w:t>
      </w:r>
      <w:r w:rsidR="007B6793" w:rsidRPr="00705F9D">
        <w:rPr>
          <w:sz w:val="20"/>
          <w:szCs w:val="20"/>
          <w:lang w:val="en-GB"/>
        </w:rPr>
        <w:t>.</w:t>
      </w:r>
      <w:r w:rsidR="00BE2833" w:rsidRPr="00705F9D">
        <w:rPr>
          <w:sz w:val="20"/>
          <w:szCs w:val="20"/>
          <w:lang w:val="en-GB"/>
        </w:rPr>
        <w:t>2%</w:t>
      </w:r>
      <w:r w:rsidR="00DA09FA" w:rsidRPr="00705F9D">
        <w:rPr>
          <w:sz w:val="20"/>
          <w:szCs w:val="20"/>
          <w:lang w:val="en-GB"/>
        </w:rPr>
        <w:t xml:space="preserve"> – a decline of </w:t>
      </w:r>
      <w:r w:rsidR="00BE2833" w:rsidRPr="00705F9D">
        <w:rPr>
          <w:sz w:val="20"/>
          <w:szCs w:val="20"/>
          <w:lang w:val="en-GB"/>
        </w:rPr>
        <w:t>0</w:t>
      </w:r>
      <w:r w:rsidR="00A63258" w:rsidRPr="00705F9D">
        <w:rPr>
          <w:sz w:val="20"/>
          <w:szCs w:val="20"/>
          <w:lang w:val="en-GB"/>
        </w:rPr>
        <w:t>.</w:t>
      </w:r>
      <w:r w:rsidR="00BE2833" w:rsidRPr="00705F9D">
        <w:rPr>
          <w:sz w:val="20"/>
          <w:szCs w:val="20"/>
          <w:lang w:val="en-GB"/>
        </w:rPr>
        <w:t xml:space="preserve">3 </w:t>
      </w:r>
      <w:r w:rsidR="00A63258" w:rsidRPr="00705F9D">
        <w:rPr>
          <w:sz w:val="20"/>
          <w:szCs w:val="20"/>
          <w:lang w:val="en-GB"/>
        </w:rPr>
        <w:t xml:space="preserve">percentage points </w:t>
      </w:r>
      <w:r w:rsidR="008613D6" w:rsidRPr="00705F9D">
        <w:rPr>
          <w:sz w:val="20"/>
          <w:szCs w:val="20"/>
          <w:lang w:val="en-GB"/>
        </w:rPr>
        <w:t>quarter-on-quarter and</w:t>
      </w:r>
      <w:r w:rsidR="00EB6317" w:rsidRPr="00705F9D">
        <w:rPr>
          <w:sz w:val="20"/>
          <w:szCs w:val="20"/>
          <w:lang w:val="en-GB"/>
        </w:rPr>
        <w:t xml:space="preserve"> 0</w:t>
      </w:r>
      <w:r w:rsidR="003A241B" w:rsidRPr="00705F9D">
        <w:rPr>
          <w:sz w:val="20"/>
          <w:szCs w:val="20"/>
          <w:lang w:val="en-GB"/>
        </w:rPr>
        <w:t>.</w:t>
      </w:r>
      <w:r w:rsidR="00EB6317" w:rsidRPr="00705F9D">
        <w:rPr>
          <w:sz w:val="20"/>
          <w:szCs w:val="20"/>
          <w:lang w:val="en-GB"/>
        </w:rPr>
        <w:t xml:space="preserve">16 </w:t>
      </w:r>
      <w:r w:rsidR="003A241B" w:rsidRPr="00705F9D">
        <w:rPr>
          <w:sz w:val="20"/>
          <w:szCs w:val="20"/>
          <w:lang w:val="en-GB"/>
        </w:rPr>
        <w:t>percentage points year-on-year</w:t>
      </w:r>
      <w:r w:rsidR="00BE2833" w:rsidRPr="00705F9D">
        <w:rPr>
          <w:sz w:val="20"/>
          <w:szCs w:val="20"/>
          <w:lang w:val="en-GB"/>
        </w:rPr>
        <w:t xml:space="preserve">. </w:t>
      </w:r>
    </w:p>
    <w:p w:rsidR="00BE2833" w:rsidRPr="00705F9D" w:rsidRDefault="000D4973" w:rsidP="00BE2833">
      <w:pPr>
        <w:spacing w:line="240" w:lineRule="auto"/>
        <w:jc w:val="both"/>
        <w:rPr>
          <w:sz w:val="20"/>
          <w:szCs w:val="20"/>
          <w:lang w:val="en-GB"/>
        </w:rPr>
      </w:pPr>
      <w:r w:rsidRPr="00705F9D">
        <w:rPr>
          <w:sz w:val="20"/>
          <w:szCs w:val="20"/>
          <w:lang w:val="en-GB"/>
        </w:rPr>
        <w:t>The highest vacancy rate</w:t>
      </w:r>
      <w:r w:rsidR="001B7784">
        <w:rPr>
          <w:sz w:val="20"/>
          <w:szCs w:val="20"/>
          <w:lang w:val="en-GB"/>
        </w:rPr>
        <w:t>s</w:t>
      </w:r>
      <w:r w:rsidRPr="00705F9D">
        <w:rPr>
          <w:sz w:val="20"/>
          <w:szCs w:val="20"/>
          <w:lang w:val="en-GB"/>
        </w:rPr>
        <w:t xml:space="preserve"> were recorded in </w:t>
      </w:r>
      <w:proofErr w:type="spellStart"/>
      <w:r w:rsidRPr="00705F9D">
        <w:rPr>
          <w:sz w:val="20"/>
          <w:szCs w:val="20"/>
          <w:lang w:val="en-GB"/>
        </w:rPr>
        <w:t>L</w:t>
      </w:r>
      <w:r w:rsidR="00BE2833" w:rsidRPr="00705F9D">
        <w:rPr>
          <w:sz w:val="20"/>
          <w:szCs w:val="20"/>
          <w:lang w:val="en-GB"/>
        </w:rPr>
        <w:t>ubuski</w:t>
      </w:r>
      <w:r w:rsidRPr="00705F9D">
        <w:rPr>
          <w:sz w:val="20"/>
          <w:szCs w:val="20"/>
          <w:lang w:val="en-GB"/>
        </w:rPr>
        <w:t>e</w:t>
      </w:r>
      <w:proofErr w:type="spellEnd"/>
      <w:r w:rsidR="00BE2833" w:rsidRPr="00705F9D">
        <w:rPr>
          <w:sz w:val="20"/>
          <w:szCs w:val="20"/>
          <w:lang w:val="en-GB"/>
        </w:rPr>
        <w:t xml:space="preserve"> (18</w:t>
      </w:r>
      <w:r w:rsidRPr="00705F9D">
        <w:rPr>
          <w:sz w:val="20"/>
          <w:szCs w:val="20"/>
          <w:lang w:val="en-GB"/>
        </w:rPr>
        <w:t>.</w:t>
      </w:r>
      <w:r w:rsidR="00BE2833" w:rsidRPr="00705F9D">
        <w:rPr>
          <w:sz w:val="20"/>
          <w:szCs w:val="20"/>
          <w:lang w:val="en-GB"/>
        </w:rPr>
        <w:t xml:space="preserve">4%), </w:t>
      </w:r>
      <w:proofErr w:type="spellStart"/>
      <w:r w:rsidRPr="00705F9D">
        <w:rPr>
          <w:sz w:val="20"/>
          <w:szCs w:val="20"/>
          <w:lang w:val="en-GB"/>
        </w:rPr>
        <w:t>Ś</w:t>
      </w:r>
      <w:r w:rsidR="00BE2833" w:rsidRPr="00705F9D">
        <w:rPr>
          <w:sz w:val="20"/>
          <w:szCs w:val="20"/>
          <w:lang w:val="en-GB"/>
        </w:rPr>
        <w:t>więtokrzyski</w:t>
      </w:r>
      <w:r w:rsidRPr="00705F9D">
        <w:rPr>
          <w:sz w:val="20"/>
          <w:szCs w:val="20"/>
          <w:lang w:val="en-GB"/>
        </w:rPr>
        <w:t>e</w:t>
      </w:r>
      <w:proofErr w:type="spellEnd"/>
      <w:r w:rsidR="00BE2833" w:rsidRPr="00705F9D">
        <w:rPr>
          <w:sz w:val="20"/>
          <w:szCs w:val="20"/>
          <w:lang w:val="en-GB"/>
        </w:rPr>
        <w:t xml:space="preserve"> (17</w:t>
      </w:r>
      <w:r w:rsidRPr="00705F9D">
        <w:rPr>
          <w:sz w:val="20"/>
          <w:szCs w:val="20"/>
          <w:lang w:val="en-GB"/>
        </w:rPr>
        <w:t>.</w:t>
      </w:r>
      <w:r w:rsidR="00BE2833" w:rsidRPr="00705F9D">
        <w:rPr>
          <w:sz w:val="20"/>
          <w:szCs w:val="20"/>
          <w:lang w:val="en-GB"/>
        </w:rPr>
        <w:t xml:space="preserve">2%) </w:t>
      </w:r>
      <w:r w:rsidRPr="00705F9D">
        <w:rPr>
          <w:sz w:val="20"/>
          <w:szCs w:val="20"/>
          <w:lang w:val="en-GB"/>
        </w:rPr>
        <w:t>and Pomerania</w:t>
      </w:r>
      <w:r w:rsidR="00BE2833" w:rsidRPr="00705F9D">
        <w:rPr>
          <w:sz w:val="20"/>
          <w:szCs w:val="20"/>
          <w:lang w:val="en-GB"/>
        </w:rPr>
        <w:t xml:space="preserve"> (10</w:t>
      </w:r>
      <w:r w:rsidRPr="00705F9D">
        <w:rPr>
          <w:sz w:val="20"/>
          <w:szCs w:val="20"/>
          <w:lang w:val="en-GB"/>
        </w:rPr>
        <w:t>.</w:t>
      </w:r>
      <w:r w:rsidR="00BE2833" w:rsidRPr="00705F9D">
        <w:rPr>
          <w:sz w:val="20"/>
          <w:szCs w:val="20"/>
          <w:lang w:val="en-GB"/>
        </w:rPr>
        <w:t xml:space="preserve">7%). </w:t>
      </w:r>
      <w:r w:rsidR="00CD106C" w:rsidRPr="00705F9D">
        <w:rPr>
          <w:sz w:val="20"/>
          <w:szCs w:val="20"/>
          <w:lang w:val="en-GB"/>
        </w:rPr>
        <w:t xml:space="preserve">At the other end of the spectrum, supply-constrained regions such as </w:t>
      </w:r>
      <w:proofErr w:type="spellStart"/>
      <w:r w:rsidR="00CD106C" w:rsidRPr="00705F9D">
        <w:rPr>
          <w:sz w:val="20"/>
          <w:szCs w:val="20"/>
          <w:lang w:val="en-GB"/>
        </w:rPr>
        <w:t>Podlaskie</w:t>
      </w:r>
      <w:proofErr w:type="spellEnd"/>
      <w:r w:rsidR="00CD106C" w:rsidRPr="00705F9D">
        <w:rPr>
          <w:sz w:val="20"/>
          <w:szCs w:val="20"/>
          <w:lang w:val="en-GB"/>
        </w:rPr>
        <w:t xml:space="preserve"> and </w:t>
      </w:r>
      <w:proofErr w:type="spellStart"/>
      <w:r w:rsidR="00CD106C" w:rsidRPr="00705F9D">
        <w:rPr>
          <w:sz w:val="20"/>
          <w:szCs w:val="20"/>
          <w:lang w:val="en-GB"/>
        </w:rPr>
        <w:t>Warmia</w:t>
      </w:r>
      <w:proofErr w:type="spellEnd"/>
      <w:r w:rsidR="00CD106C" w:rsidRPr="00705F9D">
        <w:rPr>
          <w:sz w:val="20"/>
          <w:szCs w:val="20"/>
          <w:lang w:val="en-GB"/>
        </w:rPr>
        <w:t xml:space="preserve">-Masuria reported zero vacancies, while </w:t>
      </w:r>
      <w:proofErr w:type="spellStart"/>
      <w:r w:rsidR="00CD106C" w:rsidRPr="00705F9D">
        <w:rPr>
          <w:sz w:val="20"/>
          <w:szCs w:val="20"/>
          <w:lang w:val="en-GB"/>
        </w:rPr>
        <w:t>Opolskie</w:t>
      </w:r>
      <w:proofErr w:type="spellEnd"/>
      <w:r w:rsidR="00CD106C" w:rsidRPr="00705F9D">
        <w:rPr>
          <w:sz w:val="20"/>
          <w:szCs w:val="20"/>
          <w:lang w:val="en-GB"/>
        </w:rPr>
        <w:t xml:space="preserve"> stood at 1.7%.</w:t>
      </w:r>
      <w:r w:rsidR="00BE2833" w:rsidRPr="00705F9D">
        <w:rPr>
          <w:sz w:val="20"/>
          <w:szCs w:val="20"/>
          <w:lang w:val="en-GB"/>
        </w:rPr>
        <w:t xml:space="preserve"> </w:t>
      </w:r>
    </w:p>
    <w:p w:rsidR="00BE2833" w:rsidRPr="00705F9D" w:rsidRDefault="00054EFF" w:rsidP="00BE2833">
      <w:pPr>
        <w:spacing w:line="240" w:lineRule="auto"/>
        <w:jc w:val="both"/>
        <w:rPr>
          <w:sz w:val="20"/>
          <w:szCs w:val="20"/>
          <w:lang w:val="en-GB"/>
        </w:rPr>
      </w:pPr>
      <w:r w:rsidRPr="00705F9D">
        <w:rPr>
          <w:sz w:val="20"/>
          <w:szCs w:val="20"/>
          <w:lang w:val="en-GB"/>
        </w:rPr>
        <w:t>Looking ahead, the current slowdown in speculative construction is expected to keep vacancy rates in check, helping to stabili</w:t>
      </w:r>
      <w:r w:rsidR="001B7784">
        <w:rPr>
          <w:sz w:val="20"/>
          <w:szCs w:val="20"/>
          <w:lang w:val="en-GB"/>
        </w:rPr>
        <w:t>s</w:t>
      </w:r>
      <w:r w:rsidRPr="00705F9D">
        <w:rPr>
          <w:sz w:val="20"/>
          <w:szCs w:val="20"/>
          <w:lang w:val="en-GB"/>
        </w:rPr>
        <w:t>e the market and support a balanced dynamic in the coming quarters</w:t>
      </w:r>
      <w:r w:rsidR="00BE2833" w:rsidRPr="00705F9D">
        <w:rPr>
          <w:sz w:val="20"/>
          <w:szCs w:val="20"/>
          <w:lang w:val="en-GB"/>
        </w:rPr>
        <w:t>.</w:t>
      </w:r>
    </w:p>
    <w:p w:rsidR="00BE2833" w:rsidRPr="00705F9D" w:rsidRDefault="0065637C" w:rsidP="00BE2833">
      <w:pPr>
        <w:spacing w:line="240" w:lineRule="auto"/>
        <w:jc w:val="both"/>
        <w:rPr>
          <w:b/>
          <w:bCs/>
          <w:sz w:val="20"/>
          <w:szCs w:val="20"/>
          <w:lang w:val="en-GB"/>
        </w:rPr>
      </w:pPr>
      <w:r w:rsidRPr="00705F9D">
        <w:rPr>
          <w:b/>
          <w:bCs/>
          <w:sz w:val="20"/>
          <w:szCs w:val="20"/>
          <w:lang w:val="en-GB"/>
        </w:rPr>
        <w:t>RENTS</w:t>
      </w:r>
      <w:r w:rsidR="00BE2833" w:rsidRPr="00705F9D">
        <w:rPr>
          <w:b/>
          <w:bCs/>
          <w:sz w:val="20"/>
          <w:szCs w:val="20"/>
          <w:lang w:val="en-GB"/>
        </w:rPr>
        <w:t xml:space="preserve">: </w:t>
      </w:r>
      <w:r w:rsidR="00054EFF" w:rsidRPr="00705F9D">
        <w:rPr>
          <w:b/>
          <w:bCs/>
          <w:sz w:val="20"/>
          <w:szCs w:val="20"/>
          <w:lang w:val="en-GB"/>
        </w:rPr>
        <w:t>Market holds steady, but pressur</w:t>
      </w:r>
      <w:r w:rsidR="000A35E8" w:rsidRPr="00705F9D">
        <w:rPr>
          <w:b/>
          <w:bCs/>
          <w:sz w:val="20"/>
          <w:szCs w:val="20"/>
          <w:lang w:val="en-GB"/>
        </w:rPr>
        <w:t>e</w:t>
      </w:r>
      <w:r w:rsidR="00054EFF" w:rsidRPr="00705F9D">
        <w:rPr>
          <w:b/>
          <w:bCs/>
          <w:sz w:val="20"/>
          <w:szCs w:val="20"/>
          <w:lang w:val="en-GB"/>
        </w:rPr>
        <w:t>s linger</w:t>
      </w:r>
    </w:p>
    <w:p w:rsidR="00BE2833" w:rsidRPr="00705F9D" w:rsidRDefault="000A35E8" w:rsidP="00BE2833">
      <w:pPr>
        <w:spacing w:line="240" w:lineRule="auto"/>
        <w:jc w:val="both"/>
        <w:rPr>
          <w:sz w:val="20"/>
          <w:szCs w:val="20"/>
          <w:lang w:val="en-GB"/>
        </w:rPr>
      </w:pPr>
      <w:r w:rsidRPr="00705F9D">
        <w:rPr>
          <w:sz w:val="20"/>
          <w:szCs w:val="20"/>
          <w:lang w:val="en-GB"/>
        </w:rPr>
        <w:t>Rental rates remained largely unchanged during the second quarter of 2025, though some locations saw slight downward adjustments. Headline rents stood at EUR 3.60-5.75 per sqm for big-box warehouses and EUR 4.00-8.25 per sqm for SBU/City Logistics projects</w:t>
      </w:r>
      <w:r w:rsidR="00BE2833" w:rsidRPr="00705F9D">
        <w:rPr>
          <w:sz w:val="20"/>
          <w:szCs w:val="20"/>
          <w:lang w:val="en-GB"/>
        </w:rPr>
        <w:t>.</w:t>
      </w:r>
    </w:p>
    <w:p w:rsidR="00BE2833" w:rsidRDefault="009D2885" w:rsidP="00071E14">
      <w:pPr>
        <w:spacing w:line="240" w:lineRule="auto"/>
        <w:jc w:val="both"/>
        <w:rPr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>“</w:t>
      </w:r>
      <w:r w:rsidR="009C4489" w:rsidRPr="00705F9D">
        <w:rPr>
          <w:i/>
          <w:iCs/>
          <w:sz w:val="20"/>
          <w:szCs w:val="20"/>
          <w:lang w:val="en-GB"/>
        </w:rPr>
        <w:t xml:space="preserve">The outlook for the </w:t>
      </w:r>
      <w:r w:rsidR="0065637C" w:rsidRPr="00705F9D">
        <w:rPr>
          <w:i/>
          <w:iCs/>
          <w:sz w:val="20"/>
          <w:szCs w:val="20"/>
          <w:lang w:val="en-GB"/>
        </w:rPr>
        <w:t xml:space="preserve">coming </w:t>
      </w:r>
      <w:r w:rsidR="009C4489" w:rsidRPr="00705F9D">
        <w:rPr>
          <w:i/>
          <w:iCs/>
          <w:sz w:val="20"/>
          <w:szCs w:val="20"/>
          <w:lang w:val="en-GB"/>
        </w:rPr>
        <w:t xml:space="preserve">months points to continued stability in both rental rates and leasing activity. The market holds steady, with </w:t>
      </w:r>
      <w:r w:rsidR="00571459">
        <w:rPr>
          <w:i/>
          <w:iCs/>
          <w:sz w:val="20"/>
          <w:szCs w:val="20"/>
          <w:lang w:val="en-GB"/>
        </w:rPr>
        <w:t xml:space="preserve">pressure on </w:t>
      </w:r>
      <w:r w:rsidR="003E5396" w:rsidRPr="00705F9D">
        <w:rPr>
          <w:i/>
          <w:iCs/>
          <w:sz w:val="20"/>
          <w:szCs w:val="20"/>
          <w:lang w:val="en-GB"/>
        </w:rPr>
        <w:t xml:space="preserve">price </w:t>
      </w:r>
      <w:r w:rsidR="00546810" w:rsidRPr="00705F9D">
        <w:rPr>
          <w:i/>
          <w:iCs/>
          <w:sz w:val="20"/>
          <w:szCs w:val="20"/>
          <w:lang w:val="en-GB"/>
        </w:rPr>
        <w:t xml:space="preserve">adjustments </w:t>
      </w:r>
      <w:r w:rsidR="0065637C" w:rsidRPr="00705F9D">
        <w:rPr>
          <w:i/>
          <w:iCs/>
          <w:sz w:val="20"/>
          <w:szCs w:val="20"/>
          <w:lang w:val="en-GB"/>
        </w:rPr>
        <w:t>limited</w:t>
      </w:r>
      <w:r w:rsidR="009C4489" w:rsidRPr="00705F9D">
        <w:rPr>
          <w:i/>
          <w:iCs/>
          <w:sz w:val="20"/>
          <w:szCs w:val="20"/>
          <w:lang w:val="en-GB"/>
        </w:rPr>
        <w:t xml:space="preserve"> to locations with elevated vacancy levels</w:t>
      </w:r>
      <w:r w:rsidR="0064283E" w:rsidRPr="00705F9D">
        <w:rPr>
          <w:i/>
          <w:iCs/>
          <w:sz w:val="20"/>
          <w:szCs w:val="20"/>
          <w:lang w:val="en-GB"/>
        </w:rPr>
        <w:t>,”</w:t>
      </w:r>
      <w:r w:rsidR="00BE2833" w:rsidRPr="00705F9D">
        <w:rPr>
          <w:sz w:val="20"/>
          <w:szCs w:val="20"/>
          <w:lang w:val="en-GB"/>
        </w:rPr>
        <w:t xml:space="preserve"> </w:t>
      </w:r>
      <w:r w:rsidR="0064283E" w:rsidRPr="00705F9D">
        <w:rPr>
          <w:sz w:val="20"/>
          <w:szCs w:val="20"/>
          <w:lang w:val="en-GB"/>
        </w:rPr>
        <w:t>concludes</w:t>
      </w:r>
      <w:r w:rsidR="00BE2833" w:rsidRPr="00705F9D">
        <w:rPr>
          <w:sz w:val="20"/>
          <w:szCs w:val="20"/>
          <w:lang w:val="en-GB"/>
        </w:rPr>
        <w:t xml:space="preserve"> </w:t>
      </w:r>
      <w:r w:rsidR="00DC02B9" w:rsidRPr="00705F9D">
        <w:rPr>
          <w:b/>
          <w:bCs/>
          <w:sz w:val="20"/>
          <w:szCs w:val="20"/>
          <w:lang w:val="en-GB"/>
        </w:rPr>
        <w:t xml:space="preserve">Anita </w:t>
      </w:r>
      <w:proofErr w:type="spellStart"/>
      <w:r w:rsidR="00DC02B9" w:rsidRPr="00705F9D">
        <w:rPr>
          <w:b/>
          <w:bCs/>
          <w:sz w:val="20"/>
          <w:szCs w:val="20"/>
          <w:lang w:val="en-GB"/>
        </w:rPr>
        <w:t>Mikusek</w:t>
      </w:r>
      <w:proofErr w:type="spellEnd"/>
      <w:r w:rsidR="00BE2833" w:rsidRPr="00705F9D">
        <w:rPr>
          <w:b/>
          <w:bCs/>
          <w:sz w:val="20"/>
          <w:szCs w:val="20"/>
          <w:lang w:val="en-GB"/>
        </w:rPr>
        <w:t>, Cushman &amp; Wakefield.</w:t>
      </w:r>
      <w:r w:rsidR="00BE2833" w:rsidRPr="00705F9D">
        <w:rPr>
          <w:sz w:val="20"/>
          <w:szCs w:val="20"/>
          <w:lang w:val="en-GB"/>
        </w:rPr>
        <w:t xml:space="preserve">  </w:t>
      </w:r>
    </w:p>
    <w:p w:rsidR="00571459" w:rsidRPr="00705F9D" w:rsidRDefault="00571459" w:rsidP="00071E14">
      <w:pPr>
        <w:spacing w:line="240" w:lineRule="auto"/>
        <w:jc w:val="both"/>
        <w:rPr>
          <w:sz w:val="20"/>
          <w:szCs w:val="20"/>
          <w:lang w:val="en-GB"/>
        </w:rPr>
      </w:pPr>
    </w:p>
    <w:p w:rsidR="00712689" w:rsidRPr="00705F9D" w:rsidRDefault="0065637C" w:rsidP="00712689">
      <w:pPr>
        <w:spacing w:line="240" w:lineRule="auto"/>
        <w:jc w:val="both"/>
        <w:rPr>
          <w:b/>
          <w:bCs/>
          <w:sz w:val="20"/>
          <w:szCs w:val="20"/>
          <w:lang w:val="en-GB"/>
        </w:rPr>
      </w:pPr>
      <w:r w:rsidRPr="00705F9D">
        <w:rPr>
          <w:b/>
          <w:bCs/>
          <w:sz w:val="20"/>
          <w:szCs w:val="20"/>
          <w:lang w:val="en-GB"/>
        </w:rPr>
        <w:lastRenderedPageBreak/>
        <w:t>LABOUR MARKET</w:t>
      </w:r>
      <w:r w:rsidR="00712689" w:rsidRPr="00705F9D">
        <w:rPr>
          <w:b/>
          <w:bCs/>
          <w:sz w:val="20"/>
          <w:szCs w:val="20"/>
          <w:lang w:val="en-GB"/>
        </w:rPr>
        <w:t xml:space="preserve">: </w:t>
      </w:r>
      <w:r w:rsidR="00B13E44" w:rsidRPr="00705F9D">
        <w:rPr>
          <w:b/>
          <w:bCs/>
          <w:sz w:val="20"/>
          <w:szCs w:val="20"/>
          <w:lang w:val="en-GB"/>
        </w:rPr>
        <w:t>H1</w:t>
      </w:r>
      <w:r w:rsidR="00712689" w:rsidRPr="00705F9D">
        <w:rPr>
          <w:b/>
          <w:bCs/>
          <w:sz w:val="20"/>
          <w:szCs w:val="20"/>
          <w:lang w:val="en-GB"/>
        </w:rPr>
        <w:t xml:space="preserve"> 2025 </w:t>
      </w:r>
      <w:r w:rsidR="00B13E44" w:rsidRPr="00705F9D">
        <w:rPr>
          <w:b/>
          <w:bCs/>
          <w:sz w:val="20"/>
          <w:szCs w:val="20"/>
          <w:lang w:val="en-GB"/>
        </w:rPr>
        <w:t>in the blue-collar sector</w:t>
      </w:r>
    </w:p>
    <w:p w:rsidR="00712689" w:rsidRPr="00705F9D" w:rsidRDefault="00020BC9" w:rsidP="00712689">
      <w:pPr>
        <w:spacing w:line="240" w:lineRule="auto"/>
        <w:jc w:val="both"/>
        <w:rPr>
          <w:sz w:val="20"/>
          <w:szCs w:val="20"/>
          <w:lang w:val="en-GB"/>
        </w:rPr>
      </w:pPr>
      <w:r w:rsidRPr="00705F9D">
        <w:rPr>
          <w:sz w:val="20"/>
          <w:szCs w:val="20"/>
          <w:lang w:val="en-GB"/>
        </w:rPr>
        <w:t xml:space="preserve">According to data from </w:t>
      </w:r>
      <w:proofErr w:type="spellStart"/>
      <w:r w:rsidR="00B62B94" w:rsidRPr="00705F9D">
        <w:rPr>
          <w:sz w:val="20"/>
          <w:szCs w:val="20"/>
          <w:lang w:val="en-GB"/>
        </w:rPr>
        <w:t>Ranstad</w:t>
      </w:r>
      <w:proofErr w:type="spellEnd"/>
      <w:r w:rsidR="00B62B94" w:rsidRPr="00705F9D">
        <w:rPr>
          <w:sz w:val="20"/>
          <w:szCs w:val="20"/>
          <w:lang w:val="en-GB"/>
        </w:rPr>
        <w:t xml:space="preserve"> Polska</w:t>
      </w:r>
      <w:r w:rsidR="00712689" w:rsidRPr="00705F9D">
        <w:rPr>
          <w:sz w:val="20"/>
          <w:szCs w:val="20"/>
          <w:lang w:val="en-GB"/>
        </w:rPr>
        <w:t xml:space="preserve">, </w:t>
      </w:r>
      <w:r w:rsidR="00575F62" w:rsidRPr="00705F9D">
        <w:rPr>
          <w:sz w:val="20"/>
          <w:szCs w:val="20"/>
          <w:lang w:val="en-GB"/>
        </w:rPr>
        <w:t>in the second quarter of 2025, the highest base labour rates for blue</w:t>
      </w:r>
      <w:r w:rsidR="0090417D" w:rsidRPr="00705F9D">
        <w:rPr>
          <w:sz w:val="20"/>
          <w:szCs w:val="20"/>
          <w:lang w:val="en-GB"/>
        </w:rPr>
        <w:t>-collar workers</w:t>
      </w:r>
      <w:r w:rsidR="00712689" w:rsidRPr="00705F9D">
        <w:rPr>
          <w:sz w:val="20"/>
          <w:szCs w:val="20"/>
          <w:lang w:val="en-GB"/>
        </w:rPr>
        <w:t xml:space="preserve"> (</w:t>
      </w:r>
      <w:r w:rsidR="0090417D" w:rsidRPr="00705F9D">
        <w:rPr>
          <w:sz w:val="20"/>
          <w:szCs w:val="20"/>
          <w:lang w:val="en-GB"/>
        </w:rPr>
        <w:t>both skill</w:t>
      </w:r>
      <w:r w:rsidR="00594205" w:rsidRPr="00705F9D">
        <w:rPr>
          <w:sz w:val="20"/>
          <w:szCs w:val="20"/>
          <w:lang w:val="en-GB"/>
        </w:rPr>
        <w:t>e</w:t>
      </w:r>
      <w:r w:rsidR="0090417D" w:rsidRPr="00705F9D">
        <w:rPr>
          <w:sz w:val="20"/>
          <w:szCs w:val="20"/>
          <w:lang w:val="en-GB"/>
        </w:rPr>
        <w:t>d and non-skilled</w:t>
      </w:r>
      <w:r w:rsidR="00712689" w:rsidRPr="00705F9D">
        <w:rPr>
          <w:sz w:val="20"/>
          <w:szCs w:val="20"/>
          <w:lang w:val="en-GB"/>
        </w:rPr>
        <w:t>)</w:t>
      </w:r>
      <w:r w:rsidR="00712689" w:rsidRPr="00705F9D">
        <w:rPr>
          <w:rStyle w:val="Odwoanieprzypisudolnego"/>
          <w:sz w:val="20"/>
          <w:szCs w:val="20"/>
          <w:lang w:val="en-GB"/>
        </w:rPr>
        <w:footnoteReference w:id="2"/>
      </w:r>
      <w:r w:rsidR="00EB6317" w:rsidRPr="00705F9D">
        <w:rPr>
          <w:sz w:val="20"/>
          <w:szCs w:val="20"/>
          <w:lang w:val="en-GB"/>
        </w:rPr>
        <w:t xml:space="preserve"> </w:t>
      </w:r>
      <w:r w:rsidR="0090417D" w:rsidRPr="00705F9D">
        <w:rPr>
          <w:sz w:val="20"/>
          <w:szCs w:val="20"/>
          <w:lang w:val="en-GB"/>
        </w:rPr>
        <w:t xml:space="preserve">were recorded in </w:t>
      </w:r>
      <w:proofErr w:type="spellStart"/>
      <w:r w:rsidR="0090417D" w:rsidRPr="00705F9D">
        <w:rPr>
          <w:sz w:val="20"/>
          <w:szCs w:val="20"/>
          <w:lang w:val="en-GB"/>
        </w:rPr>
        <w:t>Ś</w:t>
      </w:r>
      <w:r w:rsidR="00712689" w:rsidRPr="00705F9D">
        <w:rPr>
          <w:sz w:val="20"/>
          <w:szCs w:val="20"/>
          <w:lang w:val="en-GB"/>
        </w:rPr>
        <w:t>więtokrzyski</w:t>
      </w:r>
      <w:r w:rsidR="0090417D" w:rsidRPr="00705F9D">
        <w:rPr>
          <w:sz w:val="20"/>
          <w:szCs w:val="20"/>
          <w:lang w:val="en-GB"/>
        </w:rPr>
        <w:t>e</w:t>
      </w:r>
      <w:proofErr w:type="spellEnd"/>
      <w:r w:rsidR="00712689" w:rsidRPr="00705F9D">
        <w:rPr>
          <w:sz w:val="20"/>
          <w:szCs w:val="20"/>
          <w:lang w:val="en-GB"/>
        </w:rPr>
        <w:t xml:space="preserve"> </w:t>
      </w:r>
      <w:r w:rsidR="0090417D" w:rsidRPr="00705F9D">
        <w:rPr>
          <w:sz w:val="20"/>
          <w:szCs w:val="20"/>
          <w:lang w:val="en-GB"/>
        </w:rPr>
        <w:t>and Lesser Poland</w:t>
      </w:r>
      <w:r w:rsidR="003A68E6" w:rsidRPr="00705F9D">
        <w:rPr>
          <w:sz w:val="20"/>
          <w:szCs w:val="20"/>
          <w:lang w:val="en-GB"/>
        </w:rPr>
        <w:t xml:space="preserve"> at nearly PLN </w:t>
      </w:r>
      <w:r w:rsidR="00712689" w:rsidRPr="00705F9D">
        <w:rPr>
          <w:sz w:val="20"/>
          <w:szCs w:val="20"/>
          <w:lang w:val="en-GB"/>
        </w:rPr>
        <w:t xml:space="preserve">40 </w:t>
      </w:r>
      <w:r w:rsidR="003A68E6" w:rsidRPr="00705F9D">
        <w:rPr>
          <w:sz w:val="20"/>
          <w:szCs w:val="20"/>
          <w:lang w:val="en-GB"/>
        </w:rPr>
        <w:t>per hour</w:t>
      </w:r>
      <w:r w:rsidR="00712689" w:rsidRPr="00705F9D">
        <w:rPr>
          <w:sz w:val="20"/>
          <w:szCs w:val="20"/>
          <w:lang w:val="en-GB"/>
        </w:rPr>
        <w:t xml:space="preserve">. </w:t>
      </w:r>
      <w:r w:rsidR="003A68E6" w:rsidRPr="00705F9D">
        <w:rPr>
          <w:sz w:val="20"/>
          <w:szCs w:val="20"/>
          <w:lang w:val="en-GB"/>
        </w:rPr>
        <w:t>Hourly rates in Lower Silesia, previously the costliest region,</w:t>
      </w:r>
      <w:r w:rsidR="009C3478" w:rsidRPr="00705F9D">
        <w:rPr>
          <w:sz w:val="20"/>
          <w:szCs w:val="20"/>
          <w:lang w:val="en-GB"/>
        </w:rPr>
        <w:t xml:space="preserve"> stood at over PLN</w:t>
      </w:r>
      <w:r w:rsidR="00712689" w:rsidRPr="00705F9D">
        <w:rPr>
          <w:sz w:val="20"/>
          <w:szCs w:val="20"/>
          <w:lang w:val="en-GB"/>
        </w:rPr>
        <w:t xml:space="preserve"> 37.</w:t>
      </w:r>
    </w:p>
    <w:p w:rsidR="00712689" w:rsidRPr="00705F9D" w:rsidRDefault="00A35A5C" w:rsidP="00712689">
      <w:pPr>
        <w:spacing w:line="240" w:lineRule="auto"/>
        <w:jc w:val="both"/>
        <w:rPr>
          <w:sz w:val="20"/>
          <w:szCs w:val="20"/>
          <w:lang w:val="en-GB"/>
        </w:rPr>
      </w:pPr>
      <w:r w:rsidRPr="00705F9D">
        <w:rPr>
          <w:sz w:val="20"/>
          <w:szCs w:val="20"/>
          <w:lang w:val="en-GB"/>
        </w:rPr>
        <w:t>By contrast, the lowest labour rates for production workers were in W</w:t>
      </w:r>
      <w:r w:rsidR="00712689" w:rsidRPr="00705F9D">
        <w:rPr>
          <w:sz w:val="20"/>
          <w:szCs w:val="20"/>
          <w:lang w:val="en-GB"/>
        </w:rPr>
        <w:t>armi</w:t>
      </w:r>
      <w:r w:rsidRPr="00705F9D">
        <w:rPr>
          <w:sz w:val="20"/>
          <w:szCs w:val="20"/>
          <w:lang w:val="en-GB"/>
        </w:rPr>
        <w:t>a</w:t>
      </w:r>
      <w:r w:rsidR="00712689" w:rsidRPr="00705F9D">
        <w:rPr>
          <w:sz w:val="20"/>
          <w:szCs w:val="20"/>
          <w:lang w:val="en-GB"/>
        </w:rPr>
        <w:t>-</w:t>
      </w:r>
      <w:r w:rsidRPr="00705F9D">
        <w:rPr>
          <w:sz w:val="20"/>
          <w:szCs w:val="20"/>
          <w:lang w:val="en-GB"/>
        </w:rPr>
        <w:t>M</w:t>
      </w:r>
      <w:r w:rsidR="00712689" w:rsidRPr="00705F9D">
        <w:rPr>
          <w:sz w:val="20"/>
          <w:szCs w:val="20"/>
          <w:lang w:val="en-GB"/>
        </w:rPr>
        <w:t>a</w:t>
      </w:r>
      <w:r w:rsidRPr="00705F9D">
        <w:rPr>
          <w:sz w:val="20"/>
          <w:szCs w:val="20"/>
          <w:lang w:val="en-GB"/>
        </w:rPr>
        <w:t>suria</w:t>
      </w:r>
      <w:r w:rsidR="00712689" w:rsidRPr="00705F9D">
        <w:rPr>
          <w:sz w:val="20"/>
          <w:szCs w:val="20"/>
          <w:lang w:val="en-GB"/>
        </w:rPr>
        <w:t xml:space="preserve">, </w:t>
      </w:r>
      <w:r w:rsidR="0077408A" w:rsidRPr="00705F9D">
        <w:rPr>
          <w:sz w:val="20"/>
          <w:szCs w:val="20"/>
          <w:lang w:val="en-GB"/>
        </w:rPr>
        <w:t xml:space="preserve">at just over PLN </w:t>
      </w:r>
      <w:r w:rsidR="00712689" w:rsidRPr="00705F9D">
        <w:rPr>
          <w:sz w:val="20"/>
          <w:szCs w:val="20"/>
          <w:lang w:val="en-GB"/>
        </w:rPr>
        <w:t xml:space="preserve">31 </w:t>
      </w:r>
      <w:r w:rsidR="0077408A" w:rsidRPr="00705F9D">
        <w:rPr>
          <w:sz w:val="20"/>
          <w:szCs w:val="20"/>
          <w:lang w:val="en-GB"/>
        </w:rPr>
        <w:t>per hour</w:t>
      </w:r>
      <w:r w:rsidR="00712689" w:rsidRPr="00705F9D">
        <w:rPr>
          <w:sz w:val="20"/>
          <w:szCs w:val="20"/>
          <w:lang w:val="en-GB"/>
        </w:rPr>
        <w:t xml:space="preserve">. </w:t>
      </w:r>
      <w:r w:rsidR="0077408A" w:rsidRPr="00705F9D">
        <w:rPr>
          <w:sz w:val="20"/>
          <w:szCs w:val="20"/>
          <w:lang w:val="en-GB"/>
        </w:rPr>
        <w:t>The average gross base rate for all the provinces</w:t>
      </w:r>
      <w:r w:rsidR="00D00259" w:rsidRPr="00705F9D">
        <w:rPr>
          <w:sz w:val="20"/>
          <w:szCs w:val="20"/>
          <w:lang w:val="en-GB"/>
        </w:rPr>
        <w:t xml:space="preserve"> amounted to PLN </w:t>
      </w:r>
      <w:r w:rsidR="00712689" w:rsidRPr="00705F9D">
        <w:rPr>
          <w:sz w:val="20"/>
          <w:szCs w:val="20"/>
          <w:lang w:val="en-GB"/>
        </w:rPr>
        <w:t>36</w:t>
      </w:r>
      <w:r w:rsidR="00D00259" w:rsidRPr="00705F9D">
        <w:rPr>
          <w:sz w:val="20"/>
          <w:szCs w:val="20"/>
          <w:lang w:val="en-GB"/>
        </w:rPr>
        <w:t>.</w:t>
      </w:r>
      <w:r w:rsidR="00712689" w:rsidRPr="00705F9D">
        <w:rPr>
          <w:sz w:val="20"/>
          <w:szCs w:val="20"/>
          <w:lang w:val="en-GB"/>
        </w:rPr>
        <w:t xml:space="preserve">19 </w:t>
      </w:r>
      <w:r w:rsidR="00D00259" w:rsidRPr="00705F9D">
        <w:rPr>
          <w:sz w:val="20"/>
          <w:szCs w:val="20"/>
          <w:lang w:val="en-GB"/>
        </w:rPr>
        <w:t>per hour</w:t>
      </w:r>
      <w:r w:rsidR="00712689" w:rsidRPr="00705F9D">
        <w:rPr>
          <w:sz w:val="20"/>
          <w:szCs w:val="20"/>
          <w:lang w:val="en-GB"/>
        </w:rPr>
        <w:t xml:space="preserve">. </w:t>
      </w:r>
    </w:p>
    <w:p w:rsidR="00FA2244" w:rsidRPr="00705F9D" w:rsidRDefault="00594205" w:rsidP="00FA2244">
      <w:pPr>
        <w:spacing w:line="240" w:lineRule="auto"/>
        <w:jc w:val="both"/>
        <w:rPr>
          <w:b/>
          <w:bCs/>
          <w:sz w:val="20"/>
          <w:szCs w:val="20"/>
          <w:lang w:val="en-GB"/>
        </w:rPr>
      </w:pPr>
      <w:r w:rsidRPr="00705F9D">
        <w:rPr>
          <w:i/>
          <w:iCs/>
          <w:sz w:val="20"/>
          <w:szCs w:val="20"/>
          <w:lang w:val="en-GB"/>
        </w:rPr>
        <w:t xml:space="preserve">“Wage disparities across regions are </w:t>
      </w:r>
      <w:r w:rsidR="000A0382" w:rsidRPr="00705F9D">
        <w:rPr>
          <w:i/>
          <w:iCs/>
          <w:sz w:val="20"/>
          <w:szCs w:val="20"/>
          <w:lang w:val="en-GB"/>
        </w:rPr>
        <w:t>driven</w:t>
      </w:r>
      <w:r w:rsidRPr="00705F9D">
        <w:rPr>
          <w:i/>
          <w:iCs/>
          <w:sz w:val="20"/>
          <w:szCs w:val="20"/>
          <w:lang w:val="en-GB"/>
        </w:rPr>
        <w:t xml:space="preserve">, among other factors, </w:t>
      </w:r>
      <w:r w:rsidR="000A0382" w:rsidRPr="00705F9D">
        <w:rPr>
          <w:i/>
          <w:iCs/>
          <w:sz w:val="20"/>
          <w:szCs w:val="20"/>
          <w:lang w:val="en-GB"/>
        </w:rPr>
        <w:t xml:space="preserve">by </w:t>
      </w:r>
      <w:r w:rsidRPr="00705F9D">
        <w:rPr>
          <w:i/>
          <w:iCs/>
          <w:sz w:val="20"/>
          <w:szCs w:val="20"/>
          <w:lang w:val="en-GB"/>
        </w:rPr>
        <w:t>the level and pace of regional growth</w:t>
      </w:r>
      <w:r w:rsidR="00835D74" w:rsidRPr="00705F9D">
        <w:rPr>
          <w:i/>
          <w:iCs/>
          <w:sz w:val="20"/>
          <w:szCs w:val="20"/>
          <w:lang w:val="en-GB"/>
        </w:rPr>
        <w:t xml:space="preserve"> and </w:t>
      </w:r>
      <w:r w:rsidRPr="00705F9D">
        <w:rPr>
          <w:i/>
          <w:iCs/>
          <w:sz w:val="20"/>
          <w:szCs w:val="20"/>
          <w:lang w:val="en-GB"/>
        </w:rPr>
        <w:t>population density</w:t>
      </w:r>
      <w:r w:rsidR="00692274" w:rsidRPr="00705F9D">
        <w:rPr>
          <w:i/>
          <w:iCs/>
          <w:sz w:val="20"/>
          <w:szCs w:val="20"/>
          <w:lang w:val="en-GB"/>
        </w:rPr>
        <w:t xml:space="preserve">. </w:t>
      </w:r>
      <w:r w:rsidR="000A0382" w:rsidRPr="00705F9D">
        <w:rPr>
          <w:i/>
          <w:iCs/>
          <w:sz w:val="20"/>
          <w:szCs w:val="20"/>
          <w:lang w:val="en-GB"/>
        </w:rPr>
        <w:t>N</w:t>
      </w:r>
      <w:r w:rsidR="00692274" w:rsidRPr="00705F9D">
        <w:rPr>
          <w:i/>
          <w:iCs/>
          <w:sz w:val="20"/>
          <w:szCs w:val="20"/>
          <w:lang w:val="en-GB"/>
        </w:rPr>
        <w:t>otably, registered employee turnover remains st</w:t>
      </w:r>
      <w:r w:rsidR="0039005A" w:rsidRPr="00705F9D">
        <w:rPr>
          <w:i/>
          <w:iCs/>
          <w:sz w:val="20"/>
          <w:szCs w:val="20"/>
          <w:lang w:val="en-GB"/>
        </w:rPr>
        <w:t>able</w:t>
      </w:r>
      <w:r w:rsidR="00692274" w:rsidRPr="00705F9D">
        <w:rPr>
          <w:i/>
          <w:iCs/>
          <w:sz w:val="20"/>
          <w:szCs w:val="20"/>
          <w:lang w:val="en-GB"/>
        </w:rPr>
        <w:t xml:space="preserve">. However, this stability is not </w:t>
      </w:r>
      <w:r w:rsidR="008B5787" w:rsidRPr="00705F9D">
        <w:rPr>
          <w:i/>
          <w:iCs/>
          <w:sz w:val="20"/>
          <w:szCs w:val="20"/>
          <w:lang w:val="en-GB"/>
        </w:rPr>
        <w:t xml:space="preserve">a result of </w:t>
      </w:r>
      <w:r w:rsidR="00692274" w:rsidRPr="00705F9D">
        <w:rPr>
          <w:i/>
          <w:iCs/>
          <w:sz w:val="20"/>
          <w:szCs w:val="20"/>
          <w:lang w:val="en-GB"/>
        </w:rPr>
        <w:t xml:space="preserve">overall satisfaction with employment conditions, as might be expected, but rather </w:t>
      </w:r>
      <w:r w:rsidR="008B5787" w:rsidRPr="00705F9D">
        <w:rPr>
          <w:i/>
          <w:iCs/>
          <w:sz w:val="20"/>
          <w:szCs w:val="20"/>
          <w:lang w:val="en-GB"/>
        </w:rPr>
        <w:t>reflects</w:t>
      </w:r>
      <w:r w:rsidR="00692274" w:rsidRPr="00705F9D">
        <w:rPr>
          <w:i/>
          <w:iCs/>
          <w:sz w:val="20"/>
          <w:szCs w:val="20"/>
          <w:lang w:val="en-GB"/>
        </w:rPr>
        <w:t xml:space="preserve"> a limited number of job opportunities and the conditions offered by employers. </w:t>
      </w:r>
      <w:r w:rsidR="000C23C8" w:rsidRPr="00705F9D">
        <w:rPr>
          <w:i/>
          <w:iCs/>
          <w:sz w:val="20"/>
          <w:szCs w:val="20"/>
          <w:lang w:val="en-GB"/>
        </w:rPr>
        <w:t>According to Q1 data,</w:t>
      </w:r>
      <w:r w:rsidR="00692274" w:rsidRPr="00705F9D">
        <w:rPr>
          <w:i/>
          <w:iCs/>
          <w:sz w:val="20"/>
          <w:szCs w:val="20"/>
          <w:lang w:val="en-GB"/>
        </w:rPr>
        <w:t xml:space="preserve"> the average job search duration reached a record high of 3.3 months</w:t>
      </w:r>
      <w:r w:rsidR="0064283E" w:rsidRPr="00705F9D">
        <w:rPr>
          <w:i/>
          <w:iCs/>
          <w:sz w:val="20"/>
          <w:szCs w:val="20"/>
          <w:lang w:val="en-GB"/>
        </w:rPr>
        <w:t>,”</w:t>
      </w:r>
      <w:r w:rsidR="00FA2244" w:rsidRPr="00705F9D">
        <w:rPr>
          <w:sz w:val="20"/>
          <w:szCs w:val="20"/>
          <w:lang w:val="en-GB"/>
        </w:rPr>
        <w:t xml:space="preserve"> </w:t>
      </w:r>
      <w:r w:rsidR="0064283E" w:rsidRPr="00705F9D">
        <w:rPr>
          <w:sz w:val="20"/>
          <w:szCs w:val="20"/>
          <w:lang w:val="en-GB"/>
        </w:rPr>
        <w:t>comments</w:t>
      </w:r>
      <w:r w:rsidR="00FA2244" w:rsidRPr="00705F9D">
        <w:rPr>
          <w:sz w:val="20"/>
          <w:szCs w:val="20"/>
          <w:lang w:val="en-GB"/>
        </w:rPr>
        <w:t xml:space="preserve"> </w:t>
      </w:r>
      <w:r w:rsidR="00FA2244" w:rsidRPr="00705F9D">
        <w:rPr>
          <w:b/>
          <w:bCs/>
          <w:sz w:val="20"/>
          <w:szCs w:val="20"/>
          <w:lang w:val="en-GB"/>
        </w:rPr>
        <w:t xml:space="preserve">Dagmara </w:t>
      </w:r>
      <w:proofErr w:type="spellStart"/>
      <w:r w:rsidR="00FA2244" w:rsidRPr="00705F9D">
        <w:rPr>
          <w:b/>
          <w:bCs/>
          <w:sz w:val="20"/>
          <w:szCs w:val="20"/>
          <w:lang w:val="en-GB"/>
        </w:rPr>
        <w:t>Żuromska</w:t>
      </w:r>
      <w:proofErr w:type="spellEnd"/>
      <w:r w:rsidR="00FA2244" w:rsidRPr="00705F9D">
        <w:rPr>
          <w:b/>
          <w:bCs/>
          <w:sz w:val="20"/>
          <w:szCs w:val="20"/>
          <w:lang w:val="en-GB"/>
        </w:rPr>
        <w:t xml:space="preserve">, </w:t>
      </w:r>
      <w:r w:rsidR="00B62B94" w:rsidRPr="00705F9D">
        <w:rPr>
          <w:b/>
          <w:bCs/>
          <w:sz w:val="20"/>
          <w:szCs w:val="20"/>
          <w:lang w:val="en-GB"/>
        </w:rPr>
        <w:t xml:space="preserve">National Sales and Key Account </w:t>
      </w:r>
      <w:r w:rsidR="00FA2244" w:rsidRPr="00705F9D">
        <w:rPr>
          <w:b/>
          <w:bCs/>
          <w:sz w:val="20"/>
          <w:szCs w:val="20"/>
          <w:lang w:val="en-GB"/>
        </w:rPr>
        <w:t>Manager, Randstad</w:t>
      </w:r>
      <w:r w:rsidR="00B62B94" w:rsidRPr="00705F9D">
        <w:rPr>
          <w:b/>
          <w:bCs/>
          <w:sz w:val="20"/>
          <w:szCs w:val="20"/>
          <w:lang w:val="en-GB"/>
        </w:rPr>
        <w:t xml:space="preserve"> Polska</w:t>
      </w:r>
      <w:r w:rsidR="00FA2244" w:rsidRPr="00705F9D">
        <w:rPr>
          <w:b/>
          <w:bCs/>
          <w:sz w:val="20"/>
          <w:szCs w:val="20"/>
          <w:lang w:val="en-GB"/>
        </w:rPr>
        <w:t xml:space="preserve">. </w:t>
      </w:r>
    </w:p>
    <w:p w:rsidR="00712689" w:rsidRPr="00705F9D" w:rsidRDefault="00712689" w:rsidP="00712689">
      <w:pPr>
        <w:spacing w:line="240" w:lineRule="auto"/>
        <w:jc w:val="both"/>
        <w:rPr>
          <w:sz w:val="20"/>
          <w:szCs w:val="20"/>
          <w:lang w:val="en-GB"/>
        </w:rPr>
      </w:pPr>
    </w:p>
    <w:p w:rsidR="00712689" w:rsidRPr="00705F9D" w:rsidRDefault="00712689" w:rsidP="00712689">
      <w:pPr>
        <w:spacing w:line="240" w:lineRule="auto"/>
        <w:jc w:val="both"/>
        <w:rPr>
          <w:sz w:val="20"/>
          <w:szCs w:val="20"/>
          <w:lang w:val="en-GB"/>
        </w:rPr>
      </w:pPr>
    </w:p>
    <w:p w:rsidR="00712689" w:rsidRPr="00705F9D" w:rsidRDefault="00712689" w:rsidP="00071E14">
      <w:pPr>
        <w:spacing w:line="240" w:lineRule="auto"/>
        <w:jc w:val="both"/>
        <w:rPr>
          <w:sz w:val="20"/>
          <w:szCs w:val="20"/>
          <w:lang w:val="en-GB"/>
        </w:rPr>
      </w:pPr>
    </w:p>
    <w:p w:rsidR="005D02A0" w:rsidRPr="00705F9D" w:rsidRDefault="005D02A0" w:rsidP="00E8250A">
      <w:pPr>
        <w:spacing w:line="240" w:lineRule="auto"/>
        <w:jc w:val="both"/>
        <w:rPr>
          <w:sz w:val="20"/>
          <w:szCs w:val="20"/>
          <w:lang w:val="en-GB"/>
        </w:rPr>
      </w:pPr>
    </w:p>
    <w:p w:rsidR="00AC62A5" w:rsidRPr="00705F9D" w:rsidRDefault="00AC62A5" w:rsidP="00AC62A5">
      <w:pPr>
        <w:jc w:val="center"/>
        <w:rPr>
          <w:sz w:val="16"/>
          <w:szCs w:val="16"/>
          <w:lang w:val="en-GB"/>
        </w:rPr>
      </w:pPr>
      <w:r w:rsidRPr="00705F9D">
        <w:rPr>
          <w:rFonts w:eastAsia="Times New Roman"/>
          <w:sz w:val="16"/>
          <w:szCs w:val="16"/>
          <w:lang w:val="en-GB" w:eastAsia="en-US"/>
        </w:rPr>
        <w:t xml:space="preserve">- </w:t>
      </w:r>
      <w:r w:rsidR="0064283E" w:rsidRPr="00705F9D">
        <w:rPr>
          <w:rFonts w:eastAsia="Times New Roman"/>
          <w:b/>
          <w:bCs/>
          <w:sz w:val="16"/>
          <w:szCs w:val="16"/>
          <w:lang w:val="en-GB" w:eastAsia="en-US"/>
        </w:rPr>
        <w:t>ENDS</w:t>
      </w:r>
      <w:r w:rsidRPr="00705F9D">
        <w:rPr>
          <w:rFonts w:eastAsia="Times New Roman"/>
          <w:b/>
          <w:bCs/>
          <w:sz w:val="16"/>
          <w:szCs w:val="16"/>
          <w:lang w:val="en-GB" w:eastAsia="en-US"/>
        </w:rPr>
        <w:t xml:space="preserve"> -</w:t>
      </w:r>
    </w:p>
    <w:p w:rsidR="00AC62A5" w:rsidRPr="00705F9D" w:rsidRDefault="00AC62A5" w:rsidP="008C6651">
      <w:pPr>
        <w:spacing w:line="240" w:lineRule="auto"/>
        <w:jc w:val="both"/>
        <w:rPr>
          <w:rFonts w:eastAsia="Times New Roman"/>
          <w:b/>
          <w:bCs/>
          <w:sz w:val="20"/>
          <w:szCs w:val="20"/>
          <w:lang w:val="en-GB" w:eastAsia="en-US"/>
        </w:rPr>
      </w:pPr>
    </w:p>
    <w:p w:rsidR="004B3D1A" w:rsidRPr="00705F9D" w:rsidRDefault="0064283E" w:rsidP="00AC62A5">
      <w:pPr>
        <w:spacing w:line="240" w:lineRule="auto"/>
        <w:jc w:val="both"/>
        <w:rPr>
          <w:rFonts w:eastAsia="Times New Roman"/>
          <w:b/>
          <w:bCs/>
          <w:sz w:val="20"/>
          <w:szCs w:val="20"/>
          <w:lang w:val="en-GB" w:eastAsia="en-US"/>
        </w:rPr>
      </w:pPr>
      <w:r w:rsidRPr="00705F9D">
        <w:rPr>
          <w:b/>
          <w:sz w:val="16"/>
          <w:szCs w:val="16"/>
          <w:lang w:val="en-GB"/>
        </w:rPr>
        <w:t>About</w:t>
      </w:r>
      <w:r w:rsidR="004B3D1A" w:rsidRPr="00705F9D">
        <w:rPr>
          <w:b/>
          <w:sz w:val="16"/>
          <w:szCs w:val="16"/>
          <w:lang w:val="en-GB"/>
        </w:rPr>
        <w:t xml:space="preserve"> Cushman &amp; Wakefiel</w:t>
      </w:r>
      <w:r w:rsidR="00AC6DF8" w:rsidRPr="00705F9D">
        <w:rPr>
          <w:b/>
          <w:sz w:val="16"/>
          <w:szCs w:val="16"/>
          <w:lang w:val="en-GB"/>
        </w:rPr>
        <w:t>d</w:t>
      </w:r>
    </w:p>
    <w:p w:rsidR="00AC62A5" w:rsidRPr="00705F9D" w:rsidRDefault="00A4791B" w:rsidP="00AC62A5">
      <w:pPr>
        <w:jc w:val="both"/>
        <w:rPr>
          <w:bCs/>
          <w:sz w:val="16"/>
          <w:szCs w:val="16"/>
          <w:lang w:val="en-GB"/>
        </w:rPr>
      </w:pPr>
      <w:r w:rsidRPr="00705F9D">
        <w:rPr>
          <w:sz w:val="16"/>
          <w:szCs w:val="16"/>
          <w:lang w:val="en-GB"/>
        </w:rPr>
        <w:t xml:space="preserve">Cushman &amp; Wakefield (NYSE: </w:t>
      </w:r>
      <w:proofErr w:type="spellStart"/>
      <w:r w:rsidRPr="00705F9D">
        <w:rPr>
          <w:sz w:val="16"/>
          <w:szCs w:val="16"/>
          <w:lang w:val="en-GB"/>
        </w:rPr>
        <w:t>CWK</w:t>
      </w:r>
      <w:proofErr w:type="spellEnd"/>
      <w:r w:rsidRPr="00705F9D">
        <w:rPr>
          <w:sz w:val="16"/>
          <w:szCs w:val="16"/>
          <w:lang w:val="en-GB"/>
        </w:rPr>
        <w:t>) is a leading global commercial real estate services firm for property owners and occupiers with approximately 52,000 employees in nearly 400 offices and 60 countries. In 2024, the firm reported revenue of $9.4 billion across its core service lines of Services, Leasing, Capital markets, and Valuation and other. Built around the belief that </w:t>
      </w:r>
      <w:r w:rsidRPr="00705F9D">
        <w:rPr>
          <w:i/>
          <w:iCs/>
          <w:sz w:val="16"/>
          <w:szCs w:val="16"/>
          <w:lang w:val="en-GB"/>
        </w:rPr>
        <w:t>Better never settles</w:t>
      </w:r>
      <w:r w:rsidRPr="00705F9D">
        <w:rPr>
          <w:sz w:val="16"/>
          <w:szCs w:val="16"/>
          <w:lang w:val="en-GB"/>
        </w:rPr>
        <w:t xml:space="preserve">, the firm receives numerous industry and business accolades for its award-winning culture. For additional information, visit </w:t>
      </w:r>
      <w:hyperlink r:id="rId11" w:tgtFrame="_blank" w:tooltip="http://www.cushmanwakefield.com" w:history="1">
        <w:r w:rsidR="00AC62A5" w:rsidRPr="00705F9D">
          <w:rPr>
            <w:rStyle w:val="Hipercze"/>
            <w:bCs/>
            <w:sz w:val="16"/>
            <w:szCs w:val="16"/>
            <w:lang w:val="en-GB"/>
          </w:rPr>
          <w:t>www.cushmanwakefield.com</w:t>
        </w:r>
      </w:hyperlink>
      <w:r w:rsidR="00AC62A5" w:rsidRPr="00705F9D">
        <w:rPr>
          <w:bCs/>
          <w:sz w:val="16"/>
          <w:szCs w:val="16"/>
          <w:lang w:val="en-GB"/>
        </w:rPr>
        <w:t>.</w:t>
      </w:r>
    </w:p>
    <w:p w:rsidR="00BC2537" w:rsidRPr="00705F9D" w:rsidRDefault="00BC2537" w:rsidP="0017521E">
      <w:pPr>
        <w:jc w:val="center"/>
        <w:rPr>
          <w:sz w:val="16"/>
          <w:szCs w:val="16"/>
          <w:lang w:val="en-GB"/>
        </w:rPr>
      </w:pPr>
    </w:p>
    <w:sectPr w:rsidR="00BC2537" w:rsidRPr="00705F9D" w:rsidSect="00541DEF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3600" w:right="1008" w:bottom="2880" w:left="1224" w:header="1800" w:footer="432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28D" w:rsidRDefault="0012028D">
      <w:pPr>
        <w:spacing w:after="0" w:line="240" w:lineRule="auto"/>
      </w:pPr>
      <w:r>
        <w:separator/>
      </w:r>
    </w:p>
  </w:endnote>
  <w:endnote w:type="continuationSeparator" w:id="0">
    <w:p w:rsidR="0012028D" w:rsidRDefault="0012028D">
      <w:pPr>
        <w:spacing w:after="0" w:line="240" w:lineRule="auto"/>
      </w:pPr>
      <w:r>
        <w:continuationSeparator/>
      </w:r>
    </w:p>
  </w:endnote>
  <w:endnote w:type="continuationNotice" w:id="1">
    <w:p w:rsidR="0012028D" w:rsidRDefault="0012028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0" w:type="dxa"/>
      <w:tblLayout w:type="fixed"/>
      <w:tblCellMar>
        <w:left w:w="0" w:type="dxa"/>
        <w:right w:w="0" w:type="dxa"/>
      </w:tblCellMar>
      <w:tblLook w:val="04A0"/>
    </w:tblPr>
    <w:tblGrid>
      <w:gridCol w:w="9000"/>
    </w:tblGrid>
    <w:tr w:rsidR="00C8277A" w:rsidRPr="005B2397" w:rsidTr="00B924E3">
      <w:trPr>
        <w:trHeight w:val="630"/>
      </w:trPr>
      <w:tc>
        <w:tcPr>
          <w:tcW w:w="8931" w:type="dxa"/>
          <w:vAlign w:val="bottom"/>
        </w:tcPr>
        <w:p w:rsidR="00025C81" w:rsidRPr="00C8277A" w:rsidRDefault="006B765B" w:rsidP="00B924E3">
          <w:pPr>
            <w:pStyle w:val="Nagwek2"/>
            <w:rPr>
              <w:rFonts w:ascii="Arial" w:hAnsi="Arial" w:cs="Arial"/>
              <w:color w:val="000000" w:themeColor="text1"/>
            </w:rPr>
          </w:pPr>
          <w:r w:rsidRPr="006B765B">
            <w:rPr>
              <w:rFonts w:ascii="Arial" w:hAnsi="Arial" w:cs="Arial"/>
              <w:color w:val="000000" w:themeColor="text1"/>
              <w:lang w:val="en-GB"/>
            </w:rPr>
            <w:t>For Further Information Contact</w:t>
          </w:r>
          <w:r w:rsidR="001A4929" w:rsidRPr="00C8277A">
            <w:rPr>
              <w:rFonts w:ascii="Arial" w:hAnsi="Arial" w:cs="Arial"/>
              <w:color w:val="000000" w:themeColor="text1"/>
            </w:rPr>
            <w:t>:</w:t>
          </w:r>
        </w:p>
      </w:tc>
    </w:tr>
    <w:tr w:rsidR="00C8277A" w:rsidRPr="00BF3C8A" w:rsidTr="00B924E3">
      <w:trPr>
        <w:trHeight w:val="1260"/>
      </w:trPr>
      <w:tc>
        <w:tcPr>
          <w:tcW w:w="8931" w:type="dxa"/>
        </w:tcPr>
        <w:tbl>
          <w:tblPr>
            <w:tblStyle w:val="PlainTable41"/>
            <w:tblW w:w="10095" w:type="dxa"/>
            <w:tblLayout w:type="fixed"/>
            <w:tblLook w:val="04A0"/>
          </w:tblPr>
          <w:tblGrid>
            <w:gridCol w:w="3467"/>
            <w:gridCol w:w="3763"/>
            <w:gridCol w:w="2865"/>
          </w:tblGrid>
          <w:tr w:rsidR="00C8277A" w:rsidRPr="00BF3C8A" w:rsidTr="00265F1D">
            <w:trPr>
              <w:cnfStyle w:val="100000000000"/>
              <w:trHeight w:val="1164"/>
            </w:trPr>
            <w:tc>
              <w:tcPr>
                <w:cnfStyle w:val="001000000000"/>
                <w:tcW w:w="3467" w:type="dxa"/>
              </w:tcPr>
              <w:tbl>
                <w:tblPr>
                  <w:tblStyle w:val="Tabela-Siatka"/>
                  <w:tblW w:w="24344" w:type="dxa"/>
                  <w:tblInd w:w="27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/>
                </w:tblPr>
                <w:tblGrid>
                  <w:gridCol w:w="6086"/>
                  <w:gridCol w:w="6086"/>
                  <w:gridCol w:w="6086"/>
                  <w:gridCol w:w="6086"/>
                </w:tblGrid>
                <w:tr w:rsidR="00C8277A" w:rsidRPr="00BF3C8A" w:rsidTr="00B77D91">
                  <w:trPr>
                    <w:trHeight w:val="738"/>
                  </w:trPr>
                  <w:tc>
                    <w:tcPr>
                      <w:tcW w:w="6086" w:type="dxa"/>
                    </w:tcPr>
                    <w:p w:rsidR="00025C81" w:rsidRPr="00BF3C8A" w:rsidRDefault="00AF11EE" w:rsidP="00B924E3">
                      <w:pPr>
                        <w:pStyle w:val="ContactName"/>
                        <w:spacing w:line="240" w:lineRule="auto"/>
                        <w:rPr>
                          <w:color w:val="696B6B"/>
                          <w:szCs w:val="18"/>
                          <w:u w:color="696B6B"/>
                          <w:lang w:val="en-US"/>
                        </w:rPr>
                      </w:pPr>
                      <w:r w:rsidRPr="00BF3C8A">
                        <w:rPr>
                          <w:color w:val="696B6B"/>
                          <w:szCs w:val="18"/>
                          <w:u w:color="696B6B"/>
                          <w:lang w:val="en-US"/>
                        </w:rPr>
                        <w:t>Karolina Samczyńska-Fiślak</w:t>
                      </w:r>
                    </w:p>
                    <w:p w:rsidR="00025C81" w:rsidRPr="00BF3C8A" w:rsidRDefault="001A4929" w:rsidP="00B924E3">
                      <w:pPr>
                        <w:pStyle w:val="ContactName"/>
                        <w:spacing w:line="240" w:lineRule="auto"/>
                        <w:rPr>
                          <w:b w:val="0"/>
                          <w:bCs w:val="0"/>
                          <w:color w:val="696B6B"/>
                          <w:szCs w:val="18"/>
                          <w:u w:color="696B6B"/>
                          <w:lang w:val="en-US"/>
                        </w:rPr>
                      </w:pPr>
                      <w:r w:rsidRPr="00BF3C8A">
                        <w:rPr>
                          <w:b w:val="0"/>
                          <w:bCs w:val="0"/>
                          <w:color w:val="696B6B"/>
                          <w:szCs w:val="18"/>
                          <w:u w:color="696B6B"/>
                          <w:lang w:val="en-US"/>
                        </w:rPr>
                        <w:t xml:space="preserve">Cushman &amp; Wakefield </w:t>
                      </w:r>
                    </w:p>
                    <w:p w:rsidR="00025C81" w:rsidRPr="00BF3C8A" w:rsidRDefault="001A4929" w:rsidP="00B924E3">
                      <w:pPr>
                        <w:rPr>
                          <w:rFonts w:ascii="Calibri" w:eastAsia="Times New Roman" w:hAnsi="Calibri"/>
                          <w:sz w:val="18"/>
                          <w:szCs w:val="18"/>
                        </w:rPr>
                      </w:pPr>
                      <w:r w:rsidRPr="00BF3C8A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 xml:space="preserve">Tel: + 48 22 820 20 20; </w:t>
                      </w:r>
                      <w:r w:rsidR="00AF11EE" w:rsidRPr="00BF3C8A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>691 060 202</w:t>
                      </w:r>
                    </w:p>
                    <w:p w:rsidR="00025C81" w:rsidRPr="009D1ABC" w:rsidRDefault="001A4929" w:rsidP="00B924E3">
                      <w:pPr>
                        <w:pStyle w:val="ContactName"/>
                        <w:tabs>
                          <w:tab w:val="right" w:pos="4688"/>
                        </w:tabs>
                        <w:spacing w:line="240" w:lineRule="auto"/>
                        <w:rPr>
                          <w:color w:val="696B6B"/>
                          <w:u w:color="696B6B"/>
                          <w:lang w:val="de-DE"/>
                        </w:rPr>
                      </w:pPr>
                      <w:r w:rsidRPr="009D1ABC">
                        <w:rPr>
                          <w:color w:val="696B6B"/>
                          <w:u w:color="696B6B"/>
                          <w:lang w:val="de-DE"/>
                        </w:rPr>
                        <w:t>e-</w:t>
                      </w:r>
                      <w:proofErr w:type="spellStart"/>
                      <w:r w:rsidRPr="009D1ABC">
                        <w:rPr>
                          <w:color w:val="696B6B"/>
                          <w:u w:color="696B6B"/>
                          <w:lang w:val="de-DE"/>
                        </w:rPr>
                        <w:t>mail</w:t>
                      </w:r>
                      <w:proofErr w:type="spellEnd"/>
                      <w:r w:rsidRPr="009D1ABC">
                        <w:rPr>
                          <w:color w:val="696B6B"/>
                          <w:u w:color="696B6B"/>
                          <w:lang w:val="de-DE"/>
                        </w:rPr>
                        <w:t xml:space="preserve">: </w:t>
                      </w:r>
                      <w:hyperlink r:id="rId1" w:history="1">
                        <w:r w:rsidRPr="009D1ABC">
                          <w:rPr>
                            <w:rStyle w:val="Hyperlink0"/>
                            <w:lang w:val="de-AT"/>
                          </w:rPr>
                          <w:t>media.poland@cushwake.pl</w:t>
                        </w:r>
                      </w:hyperlink>
                    </w:p>
                  </w:tc>
                  <w:tc>
                    <w:tcPr>
                      <w:tcW w:w="6086" w:type="dxa"/>
                    </w:tcPr>
                    <w:p w:rsidR="00025C81" w:rsidRPr="009D1ABC" w:rsidRDefault="00025C81" w:rsidP="00B924E3">
                      <w:pPr>
                        <w:pStyle w:val="ContactDetail"/>
                        <w:spacing w:line="240" w:lineRule="auto"/>
                        <w:rPr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:rsidR="00025C81" w:rsidRPr="00167436" w:rsidRDefault="00025C81" w:rsidP="00B924E3">
                      <w:pPr>
                        <w:pStyle w:val="ContactName"/>
                        <w:spacing w:line="240" w:lineRule="auto"/>
                        <w:rPr>
                          <w:rStyle w:val="Brak"/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:rsidR="00025C81" w:rsidRPr="00167436" w:rsidRDefault="00025C81" w:rsidP="00B924E3">
                      <w:pPr>
                        <w:pStyle w:val="ContactName"/>
                        <w:spacing w:line="240" w:lineRule="auto"/>
                        <w:rPr>
                          <w:rStyle w:val="Brak"/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</w:tr>
              </w:tbl>
              <w:p w:rsidR="00025C81" w:rsidRPr="009D1ABC" w:rsidRDefault="00025C81" w:rsidP="00B924E3">
                <w:pPr>
                  <w:pStyle w:val="ContactDetail"/>
                  <w:rPr>
                    <w:rFonts w:asciiTheme="minorHAnsi" w:hAnsiTheme="minorHAnsi" w:cstheme="minorHAnsi"/>
                    <w:color w:val="000000" w:themeColor="text1"/>
                    <w:lang w:val="es-ES_tradnl"/>
                  </w:rPr>
                </w:pPr>
              </w:p>
            </w:tc>
            <w:tc>
              <w:tcPr>
                <w:tcW w:w="3763" w:type="dxa"/>
              </w:tcPr>
              <w:p w:rsidR="00025C81" w:rsidRPr="006B765B" w:rsidRDefault="00025C81" w:rsidP="00580984">
                <w:pPr>
                  <w:pStyle w:val="ContactDetail"/>
                  <w:spacing w:line="240" w:lineRule="auto"/>
                  <w:cnfStyle w:val="100000000000"/>
                  <w:rPr>
                    <w:rStyle w:val="Brak"/>
                    <w:color w:val="696B6B"/>
                    <w:u w:color="696B6B"/>
                    <w:lang w:val="de-DE"/>
                  </w:rPr>
                </w:pPr>
              </w:p>
            </w:tc>
            <w:tc>
              <w:tcPr>
                <w:tcW w:w="2865" w:type="dxa"/>
              </w:tcPr>
              <w:p w:rsidR="00025C81" w:rsidRPr="006B765B" w:rsidRDefault="00025C81" w:rsidP="00B924E3">
                <w:pPr>
                  <w:pStyle w:val="ContactDetail"/>
                  <w:spacing w:line="240" w:lineRule="auto"/>
                  <w:cnfStyle w:val="100000000000"/>
                  <w:rPr>
                    <w:lang w:val="de-DE"/>
                  </w:rPr>
                </w:pPr>
              </w:p>
              <w:p w:rsidR="00025C81" w:rsidRPr="006B765B" w:rsidRDefault="00025C81" w:rsidP="00B924E3">
                <w:pPr>
                  <w:pStyle w:val="ContactDetail"/>
                  <w:cnfStyle w:val="100000000000"/>
                  <w:rPr>
                    <w:rFonts w:asciiTheme="minorHAnsi" w:hAnsiTheme="minorHAnsi" w:cstheme="minorHAnsi"/>
                    <w:color w:val="000000" w:themeColor="text1"/>
                    <w:lang w:val="de-DE"/>
                  </w:rPr>
                </w:pPr>
              </w:p>
            </w:tc>
          </w:tr>
        </w:tbl>
        <w:p w:rsidR="00025C81" w:rsidRPr="006B765B" w:rsidRDefault="00025C81" w:rsidP="00B924E3">
          <w:pPr>
            <w:pStyle w:val="ContactDetail"/>
            <w:rPr>
              <w:rFonts w:asciiTheme="minorHAnsi" w:hAnsiTheme="minorHAnsi" w:cstheme="minorHAnsi"/>
              <w:color w:val="000000" w:themeColor="text1"/>
              <w:lang w:val="de-DE"/>
            </w:rPr>
          </w:pPr>
        </w:p>
      </w:tc>
    </w:tr>
  </w:tbl>
  <w:p w:rsidR="00025C81" w:rsidRPr="006B765B" w:rsidRDefault="00025C81">
    <w:pPr>
      <w:pStyle w:val="Stopka"/>
      <w:rPr>
        <w:lang w:val="de-DE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C81" w:rsidRDefault="00025C8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W w:w="9000" w:type="dxa"/>
      <w:tblLayout w:type="fixed"/>
      <w:tblLook w:val="0400"/>
    </w:tblPr>
    <w:tblGrid>
      <w:gridCol w:w="5670"/>
      <w:gridCol w:w="3330"/>
    </w:tblGrid>
    <w:tr w:rsidR="00F67554">
      <w:trPr>
        <w:trHeight w:val="630"/>
      </w:trPr>
      <w:tc>
        <w:tcPr>
          <w:tcW w:w="5670" w:type="dxa"/>
          <w:vAlign w:val="bottom"/>
        </w:tcPr>
        <w:p w:rsidR="00025C81" w:rsidRDefault="001A4929">
          <w:pPr>
            <w:pStyle w:val="Nagwek2"/>
            <w:rPr>
              <w:rFonts w:ascii="Arial" w:eastAsia="Arial" w:hAnsi="Arial" w:cs="Arial"/>
              <w:color w:val="696B6B"/>
            </w:rPr>
          </w:pPr>
          <w:r>
            <w:rPr>
              <w:rFonts w:ascii="Arial" w:eastAsia="Arial" w:hAnsi="Arial" w:cs="Arial"/>
              <w:color w:val="696B6B"/>
            </w:rPr>
            <w:t>Media Contact:</w:t>
          </w:r>
        </w:p>
      </w:tc>
      <w:tc>
        <w:tcPr>
          <w:tcW w:w="3330" w:type="dxa"/>
          <w:vAlign w:val="bottom"/>
        </w:tcPr>
        <w:p w:rsidR="00025C81" w:rsidRDefault="00025C81">
          <w:pPr>
            <w:spacing w:after="100" w:line="240" w:lineRule="auto"/>
            <w:rPr>
              <w:b/>
              <w:color w:val="696B6B"/>
              <w:sz w:val="18"/>
              <w:szCs w:val="18"/>
            </w:rPr>
          </w:pPr>
        </w:p>
      </w:tc>
    </w:tr>
    <w:tr w:rsidR="00F67554" w:rsidRPr="00BF3C8A">
      <w:trPr>
        <w:trHeight w:val="1260"/>
      </w:trPr>
      <w:tc>
        <w:tcPr>
          <w:tcW w:w="5670" w:type="dxa"/>
          <w:vAlign w:val="bottom"/>
        </w:tcPr>
        <w:p w:rsidR="00025C81" w:rsidRPr="00C8277A" w:rsidRDefault="001A4929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696B6B"/>
              <w:sz w:val="18"/>
              <w:szCs w:val="18"/>
              <w:lang w:val="en-GB"/>
            </w:rPr>
          </w:pPr>
          <w:r w:rsidRPr="00C8277A">
            <w:rPr>
              <w:b/>
              <w:color w:val="696B6B"/>
              <w:sz w:val="18"/>
              <w:szCs w:val="18"/>
              <w:lang w:val="en-GB"/>
            </w:rPr>
            <w:t>Name</w:t>
          </w:r>
        </w:p>
        <w:p w:rsidR="00025C81" w:rsidRPr="00C8277A" w:rsidRDefault="001A492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r w:rsidRPr="00C8277A">
            <w:rPr>
              <w:color w:val="696B6B"/>
              <w:sz w:val="18"/>
              <w:szCs w:val="18"/>
              <w:lang w:val="en-GB"/>
            </w:rPr>
            <w:t>Title</w:t>
          </w:r>
        </w:p>
        <w:p w:rsidR="00025C81" w:rsidRPr="00C8277A" w:rsidRDefault="001A492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r w:rsidRPr="00C8277A">
            <w:rPr>
              <w:color w:val="696B6B"/>
              <w:sz w:val="18"/>
              <w:szCs w:val="18"/>
              <w:lang w:val="en-GB"/>
            </w:rPr>
            <w:t>+1 000 000 0000</w:t>
          </w:r>
        </w:p>
        <w:p w:rsidR="00025C81" w:rsidRPr="00C8277A" w:rsidRDefault="00B04D4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r>
            <w:fldChar w:fldCharType="begin"/>
          </w:r>
          <w:r w:rsidRPr="00BF3C8A">
            <w:rPr>
              <w:lang w:val="en-US"/>
            </w:rPr>
            <w:instrText>HYPERLINK "mailto:first.last@cushwake.com"</w:instrText>
          </w:r>
          <w:r>
            <w:fldChar w:fldCharType="separate"/>
          </w:r>
          <w:r w:rsidR="00B77D91" w:rsidRPr="00D4241D">
            <w:rPr>
              <w:rStyle w:val="Hipercze"/>
              <w:sz w:val="18"/>
              <w:szCs w:val="18"/>
              <w:lang w:val="en-GB"/>
            </w:rPr>
            <w:t>first.last@cushwake.com</w:t>
          </w:r>
          <w:r>
            <w:fldChar w:fldCharType="end"/>
          </w:r>
          <w:r w:rsidR="001A4929" w:rsidRPr="00C8277A">
            <w:rPr>
              <w:color w:val="696B6B"/>
              <w:sz w:val="18"/>
              <w:szCs w:val="18"/>
              <w:lang w:val="en-GB"/>
            </w:rPr>
            <w:t xml:space="preserve"> </w:t>
          </w:r>
        </w:p>
      </w:tc>
      <w:tc>
        <w:tcPr>
          <w:tcW w:w="3330" w:type="dxa"/>
          <w:vAlign w:val="bottom"/>
        </w:tcPr>
        <w:p w:rsidR="00025C81" w:rsidRPr="00C8277A" w:rsidRDefault="00025C8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</w:p>
      </w:tc>
    </w:tr>
  </w:tbl>
  <w:p w:rsidR="00025C81" w:rsidRPr="00C8277A" w:rsidRDefault="00025C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28D" w:rsidRDefault="0012028D">
      <w:pPr>
        <w:spacing w:after="0" w:line="240" w:lineRule="auto"/>
      </w:pPr>
      <w:r>
        <w:separator/>
      </w:r>
    </w:p>
  </w:footnote>
  <w:footnote w:type="continuationSeparator" w:id="0">
    <w:p w:rsidR="0012028D" w:rsidRDefault="0012028D">
      <w:pPr>
        <w:spacing w:after="0" w:line="240" w:lineRule="auto"/>
      </w:pPr>
      <w:r>
        <w:continuationSeparator/>
      </w:r>
    </w:p>
  </w:footnote>
  <w:footnote w:type="continuationNotice" w:id="1">
    <w:p w:rsidR="0012028D" w:rsidRDefault="0012028D">
      <w:pPr>
        <w:spacing w:after="0" w:line="240" w:lineRule="auto"/>
      </w:pPr>
    </w:p>
  </w:footnote>
  <w:footnote w:id="2">
    <w:p w:rsidR="00712689" w:rsidRPr="00117BD0" w:rsidRDefault="00712689" w:rsidP="00712689">
      <w:pPr>
        <w:pStyle w:val="Tekstprzypisudolnego"/>
        <w:rPr>
          <w:rFonts w:ascii="Arial" w:hAnsi="Arial" w:cs="Arial"/>
          <w:lang w:val="en-US"/>
        </w:rPr>
      </w:pPr>
      <w:r>
        <w:rPr>
          <w:rStyle w:val="Odwoanieprzypisudolnego"/>
        </w:rPr>
        <w:footnoteRef/>
      </w:r>
      <w:r w:rsidRPr="00117BD0">
        <w:rPr>
          <w:rFonts w:ascii="Arial" w:hAnsi="Arial" w:cs="Arial"/>
          <w:lang w:val="en-US"/>
        </w:rPr>
        <w:t xml:space="preserve"> </w:t>
      </w:r>
      <w:r w:rsidR="0000026C">
        <w:rPr>
          <w:rFonts w:ascii="Arial" w:hAnsi="Arial" w:cs="Arial"/>
          <w:lang w:val="en-US"/>
        </w:rPr>
        <w:t>For o</w:t>
      </w:r>
      <w:r w:rsidR="004825BB" w:rsidRPr="00117BD0">
        <w:rPr>
          <w:rFonts w:ascii="Arial" w:hAnsi="Arial" w:cs="Arial"/>
          <w:lang w:val="en-US"/>
        </w:rPr>
        <w:t>ccupational groups (as defined by the Social Security Institution’s job codes): industrial workers and artisans, machine and equipment operators and installers, and employees performing simple tasks</w:t>
      </w:r>
      <w:r w:rsidRPr="00117BD0">
        <w:rPr>
          <w:rFonts w:ascii="Arial" w:hAnsi="Arial" w:cs="Arial"/>
          <w:lang w:val="en-US"/>
        </w:rPr>
        <w:t>.</w:t>
      </w:r>
    </w:p>
    <w:p w:rsidR="00712689" w:rsidRPr="00117BD0" w:rsidRDefault="00712689">
      <w:pPr>
        <w:pStyle w:val="Tekstprzypisudolnego"/>
        <w:rPr>
          <w:lang w:val="en-US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C81" w:rsidRDefault="001A49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43133</wp:posOffset>
          </wp:positionH>
          <wp:positionV relativeFrom="paragraph">
            <wp:posOffset>-154975</wp:posOffset>
          </wp:positionV>
          <wp:extent cx="1933575" cy="40767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C81" w:rsidRDefault="001A49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3811</wp:posOffset>
          </wp:positionH>
          <wp:positionV relativeFrom="paragraph">
            <wp:posOffset>-201294</wp:posOffset>
          </wp:positionV>
          <wp:extent cx="1933575" cy="40767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968"/>
    <w:multiLevelType w:val="hybridMultilevel"/>
    <w:tmpl w:val="C66CC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14EDF"/>
    <w:multiLevelType w:val="hybridMultilevel"/>
    <w:tmpl w:val="FA123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647D9"/>
    <w:multiLevelType w:val="hybridMultilevel"/>
    <w:tmpl w:val="0F6AB3AE"/>
    <w:lvl w:ilvl="0" w:tplc="A4142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7A8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8E64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2C6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8A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960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E1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60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047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A5947FE"/>
    <w:multiLevelType w:val="hybridMultilevel"/>
    <w:tmpl w:val="41ACBDF0"/>
    <w:lvl w:ilvl="0" w:tplc="25EC35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5070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FA81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90E8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5A01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FA2B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98A9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725F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FCA4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6922B5"/>
    <w:multiLevelType w:val="hybridMultilevel"/>
    <w:tmpl w:val="EEF01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974D6"/>
    <w:multiLevelType w:val="hybridMultilevel"/>
    <w:tmpl w:val="4D4E3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57CBE"/>
    <w:multiLevelType w:val="hybridMultilevel"/>
    <w:tmpl w:val="D198449E"/>
    <w:lvl w:ilvl="0" w:tplc="B28664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24F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0CE0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52C0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0CE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B0E5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096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BA01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AECC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84A2D"/>
    <w:rsid w:val="0000026C"/>
    <w:rsid w:val="00001D62"/>
    <w:rsid w:val="00003988"/>
    <w:rsid w:val="00005FD5"/>
    <w:rsid w:val="00007243"/>
    <w:rsid w:val="00013F59"/>
    <w:rsid w:val="00014ACA"/>
    <w:rsid w:val="000203A2"/>
    <w:rsid w:val="00020BC9"/>
    <w:rsid w:val="00022B42"/>
    <w:rsid w:val="000251E4"/>
    <w:rsid w:val="00025C81"/>
    <w:rsid w:val="00027F57"/>
    <w:rsid w:val="00030800"/>
    <w:rsid w:val="0003245E"/>
    <w:rsid w:val="00040FBF"/>
    <w:rsid w:val="000423C3"/>
    <w:rsid w:val="00044C5B"/>
    <w:rsid w:val="000500D7"/>
    <w:rsid w:val="00054EFF"/>
    <w:rsid w:val="000666EE"/>
    <w:rsid w:val="00067FD0"/>
    <w:rsid w:val="000700E2"/>
    <w:rsid w:val="00071183"/>
    <w:rsid w:val="00071E14"/>
    <w:rsid w:val="000720F5"/>
    <w:rsid w:val="00083043"/>
    <w:rsid w:val="0008371E"/>
    <w:rsid w:val="00083F43"/>
    <w:rsid w:val="00086C80"/>
    <w:rsid w:val="0008772D"/>
    <w:rsid w:val="00092C27"/>
    <w:rsid w:val="00093540"/>
    <w:rsid w:val="0009396C"/>
    <w:rsid w:val="000944C7"/>
    <w:rsid w:val="00095F46"/>
    <w:rsid w:val="00096548"/>
    <w:rsid w:val="000A0382"/>
    <w:rsid w:val="000A0E83"/>
    <w:rsid w:val="000A21C0"/>
    <w:rsid w:val="000A35E8"/>
    <w:rsid w:val="000A3B4C"/>
    <w:rsid w:val="000A54A7"/>
    <w:rsid w:val="000A622E"/>
    <w:rsid w:val="000B142D"/>
    <w:rsid w:val="000B29DE"/>
    <w:rsid w:val="000B57CB"/>
    <w:rsid w:val="000B64D4"/>
    <w:rsid w:val="000C23C8"/>
    <w:rsid w:val="000C30AD"/>
    <w:rsid w:val="000C4210"/>
    <w:rsid w:val="000C4294"/>
    <w:rsid w:val="000C585C"/>
    <w:rsid w:val="000C6AA8"/>
    <w:rsid w:val="000C7C22"/>
    <w:rsid w:val="000D4656"/>
    <w:rsid w:val="000D4973"/>
    <w:rsid w:val="000D5790"/>
    <w:rsid w:val="000D5FED"/>
    <w:rsid w:val="000D68FD"/>
    <w:rsid w:val="000D7839"/>
    <w:rsid w:val="000E71D0"/>
    <w:rsid w:val="000F64E0"/>
    <w:rsid w:val="000F7964"/>
    <w:rsid w:val="001013AF"/>
    <w:rsid w:val="001062D1"/>
    <w:rsid w:val="00111135"/>
    <w:rsid w:val="001141D8"/>
    <w:rsid w:val="001146DD"/>
    <w:rsid w:val="001147FB"/>
    <w:rsid w:val="00114AF8"/>
    <w:rsid w:val="0011559A"/>
    <w:rsid w:val="00117BD0"/>
    <w:rsid w:val="0012028D"/>
    <w:rsid w:val="0012061A"/>
    <w:rsid w:val="00121524"/>
    <w:rsid w:val="00122668"/>
    <w:rsid w:val="00124F62"/>
    <w:rsid w:val="00132CB9"/>
    <w:rsid w:val="00132F07"/>
    <w:rsid w:val="001347BD"/>
    <w:rsid w:val="00135B14"/>
    <w:rsid w:val="00140D8B"/>
    <w:rsid w:val="00144415"/>
    <w:rsid w:val="00150F3F"/>
    <w:rsid w:val="00156C9B"/>
    <w:rsid w:val="00156F9C"/>
    <w:rsid w:val="0016097B"/>
    <w:rsid w:val="001635F6"/>
    <w:rsid w:val="00166861"/>
    <w:rsid w:val="00166F71"/>
    <w:rsid w:val="00167436"/>
    <w:rsid w:val="00174435"/>
    <w:rsid w:val="00174EBA"/>
    <w:rsid w:val="0017521E"/>
    <w:rsid w:val="00175FB4"/>
    <w:rsid w:val="00182C4F"/>
    <w:rsid w:val="00182D8E"/>
    <w:rsid w:val="00185967"/>
    <w:rsid w:val="0018688B"/>
    <w:rsid w:val="00190FB3"/>
    <w:rsid w:val="001A4929"/>
    <w:rsid w:val="001A4BAD"/>
    <w:rsid w:val="001A56D9"/>
    <w:rsid w:val="001B5F5F"/>
    <w:rsid w:val="001B5FA0"/>
    <w:rsid w:val="001B7784"/>
    <w:rsid w:val="001B7AE3"/>
    <w:rsid w:val="001C0591"/>
    <w:rsid w:val="001C1929"/>
    <w:rsid w:val="001C58F1"/>
    <w:rsid w:val="001C7005"/>
    <w:rsid w:val="001C75FB"/>
    <w:rsid w:val="001D08F3"/>
    <w:rsid w:val="001D25D1"/>
    <w:rsid w:val="001D401E"/>
    <w:rsid w:val="001D7B3D"/>
    <w:rsid w:val="001E06FB"/>
    <w:rsid w:val="001E0E42"/>
    <w:rsid w:val="001E16E8"/>
    <w:rsid w:val="001E3C79"/>
    <w:rsid w:val="001E4E45"/>
    <w:rsid w:val="001E56EB"/>
    <w:rsid w:val="001E5B77"/>
    <w:rsid w:val="001E6618"/>
    <w:rsid w:val="001F406E"/>
    <w:rsid w:val="001F7E37"/>
    <w:rsid w:val="00204C52"/>
    <w:rsid w:val="00206001"/>
    <w:rsid w:val="002117B9"/>
    <w:rsid w:val="002125FE"/>
    <w:rsid w:val="00212E0F"/>
    <w:rsid w:val="00217BD6"/>
    <w:rsid w:val="002213BF"/>
    <w:rsid w:val="002240B1"/>
    <w:rsid w:val="00236B04"/>
    <w:rsid w:val="002426EF"/>
    <w:rsid w:val="0024400C"/>
    <w:rsid w:val="00246115"/>
    <w:rsid w:val="002462A5"/>
    <w:rsid w:val="00251824"/>
    <w:rsid w:val="00251F00"/>
    <w:rsid w:val="002520C3"/>
    <w:rsid w:val="00252DCA"/>
    <w:rsid w:val="00254581"/>
    <w:rsid w:val="00257ED3"/>
    <w:rsid w:val="0026004F"/>
    <w:rsid w:val="00260C7D"/>
    <w:rsid w:val="00261AA0"/>
    <w:rsid w:val="00261FD7"/>
    <w:rsid w:val="002621CA"/>
    <w:rsid w:val="00265F1D"/>
    <w:rsid w:val="0026615D"/>
    <w:rsid w:val="00266AA6"/>
    <w:rsid w:val="002730A2"/>
    <w:rsid w:val="00273B32"/>
    <w:rsid w:val="00275982"/>
    <w:rsid w:val="00275F1E"/>
    <w:rsid w:val="00275FDC"/>
    <w:rsid w:val="00277A24"/>
    <w:rsid w:val="0028046B"/>
    <w:rsid w:val="00281BFB"/>
    <w:rsid w:val="0028223D"/>
    <w:rsid w:val="00282FB7"/>
    <w:rsid w:val="00284E92"/>
    <w:rsid w:val="00285282"/>
    <w:rsid w:val="00286DC7"/>
    <w:rsid w:val="002901D7"/>
    <w:rsid w:val="00293086"/>
    <w:rsid w:val="00293E07"/>
    <w:rsid w:val="00293ED2"/>
    <w:rsid w:val="002958EB"/>
    <w:rsid w:val="0029652C"/>
    <w:rsid w:val="002967FF"/>
    <w:rsid w:val="002A197E"/>
    <w:rsid w:val="002A37FC"/>
    <w:rsid w:val="002A43B7"/>
    <w:rsid w:val="002B381B"/>
    <w:rsid w:val="002B461F"/>
    <w:rsid w:val="002B4716"/>
    <w:rsid w:val="002B4A31"/>
    <w:rsid w:val="002B6B39"/>
    <w:rsid w:val="002C06D5"/>
    <w:rsid w:val="002C1DFF"/>
    <w:rsid w:val="002C2E57"/>
    <w:rsid w:val="002C480C"/>
    <w:rsid w:val="002C5887"/>
    <w:rsid w:val="002D0B42"/>
    <w:rsid w:val="002D3A44"/>
    <w:rsid w:val="002D4EC6"/>
    <w:rsid w:val="002D5829"/>
    <w:rsid w:val="002D7779"/>
    <w:rsid w:val="002E0BB0"/>
    <w:rsid w:val="002E1729"/>
    <w:rsid w:val="002E2D30"/>
    <w:rsid w:val="002E6FC9"/>
    <w:rsid w:val="002E7D77"/>
    <w:rsid w:val="002E7F16"/>
    <w:rsid w:val="002F0666"/>
    <w:rsid w:val="002F08E1"/>
    <w:rsid w:val="002F0F48"/>
    <w:rsid w:val="002F447F"/>
    <w:rsid w:val="00300BC4"/>
    <w:rsid w:val="003018B3"/>
    <w:rsid w:val="003025B5"/>
    <w:rsid w:val="00302886"/>
    <w:rsid w:val="00306BFA"/>
    <w:rsid w:val="00310D2A"/>
    <w:rsid w:val="003154DC"/>
    <w:rsid w:val="003173B5"/>
    <w:rsid w:val="0032157F"/>
    <w:rsid w:val="0032389F"/>
    <w:rsid w:val="0033522E"/>
    <w:rsid w:val="0034418D"/>
    <w:rsid w:val="00345D04"/>
    <w:rsid w:val="00345D09"/>
    <w:rsid w:val="0035396B"/>
    <w:rsid w:val="00353AF8"/>
    <w:rsid w:val="00364117"/>
    <w:rsid w:val="00371AFD"/>
    <w:rsid w:val="00374DB8"/>
    <w:rsid w:val="00385CB8"/>
    <w:rsid w:val="0038604F"/>
    <w:rsid w:val="00387CAF"/>
    <w:rsid w:val="0039005A"/>
    <w:rsid w:val="0039064E"/>
    <w:rsid w:val="003936DF"/>
    <w:rsid w:val="003A241B"/>
    <w:rsid w:val="003A24D4"/>
    <w:rsid w:val="003A68E6"/>
    <w:rsid w:val="003A693E"/>
    <w:rsid w:val="003A70E2"/>
    <w:rsid w:val="003B2048"/>
    <w:rsid w:val="003B3560"/>
    <w:rsid w:val="003B78C7"/>
    <w:rsid w:val="003C1BBA"/>
    <w:rsid w:val="003C1CD6"/>
    <w:rsid w:val="003C1E58"/>
    <w:rsid w:val="003C360C"/>
    <w:rsid w:val="003C5B29"/>
    <w:rsid w:val="003C791A"/>
    <w:rsid w:val="003D3844"/>
    <w:rsid w:val="003E003A"/>
    <w:rsid w:val="003E0201"/>
    <w:rsid w:val="003E39E1"/>
    <w:rsid w:val="003E3F99"/>
    <w:rsid w:val="003E406F"/>
    <w:rsid w:val="003E5396"/>
    <w:rsid w:val="003E56B1"/>
    <w:rsid w:val="003E7D3D"/>
    <w:rsid w:val="003F4AAD"/>
    <w:rsid w:val="003F60EA"/>
    <w:rsid w:val="003F7ACF"/>
    <w:rsid w:val="004001BC"/>
    <w:rsid w:val="00400CE3"/>
    <w:rsid w:val="00403626"/>
    <w:rsid w:val="00410D62"/>
    <w:rsid w:val="004112C0"/>
    <w:rsid w:val="0042183C"/>
    <w:rsid w:val="0042255F"/>
    <w:rsid w:val="004329C4"/>
    <w:rsid w:val="00432ACA"/>
    <w:rsid w:val="00433DA4"/>
    <w:rsid w:val="004375A1"/>
    <w:rsid w:val="0043767F"/>
    <w:rsid w:val="00440D65"/>
    <w:rsid w:val="00441803"/>
    <w:rsid w:val="00443EFE"/>
    <w:rsid w:val="00450389"/>
    <w:rsid w:val="00451C25"/>
    <w:rsid w:val="00452FD6"/>
    <w:rsid w:val="00454311"/>
    <w:rsid w:val="00457545"/>
    <w:rsid w:val="00461B2F"/>
    <w:rsid w:val="00462B62"/>
    <w:rsid w:val="004636E3"/>
    <w:rsid w:val="00464434"/>
    <w:rsid w:val="00464B72"/>
    <w:rsid w:val="00466300"/>
    <w:rsid w:val="00466ABC"/>
    <w:rsid w:val="004678CA"/>
    <w:rsid w:val="00471A22"/>
    <w:rsid w:val="004825BB"/>
    <w:rsid w:val="00486394"/>
    <w:rsid w:val="004900F3"/>
    <w:rsid w:val="00490581"/>
    <w:rsid w:val="00491EA1"/>
    <w:rsid w:val="0049367E"/>
    <w:rsid w:val="00497908"/>
    <w:rsid w:val="004A01E8"/>
    <w:rsid w:val="004A5B66"/>
    <w:rsid w:val="004B0979"/>
    <w:rsid w:val="004B3D1A"/>
    <w:rsid w:val="004B5A43"/>
    <w:rsid w:val="004C2C37"/>
    <w:rsid w:val="004D07CC"/>
    <w:rsid w:val="004D14A3"/>
    <w:rsid w:val="004D16D5"/>
    <w:rsid w:val="004D62D2"/>
    <w:rsid w:val="004D68AD"/>
    <w:rsid w:val="004D6A3C"/>
    <w:rsid w:val="004D7C3B"/>
    <w:rsid w:val="004E0237"/>
    <w:rsid w:val="004E0A16"/>
    <w:rsid w:val="004E46E9"/>
    <w:rsid w:val="004E5A7E"/>
    <w:rsid w:val="004E7185"/>
    <w:rsid w:val="004F64D6"/>
    <w:rsid w:val="00502E72"/>
    <w:rsid w:val="00503159"/>
    <w:rsid w:val="0050412F"/>
    <w:rsid w:val="00512047"/>
    <w:rsid w:val="00512ADF"/>
    <w:rsid w:val="0051329D"/>
    <w:rsid w:val="005136A0"/>
    <w:rsid w:val="0051644B"/>
    <w:rsid w:val="00517B59"/>
    <w:rsid w:val="00520076"/>
    <w:rsid w:val="005229AB"/>
    <w:rsid w:val="00531CF4"/>
    <w:rsid w:val="00531D93"/>
    <w:rsid w:val="005323BE"/>
    <w:rsid w:val="005323FD"/>
    <w:rsid w:val="005352C0"/>
    <w:rsid w:val="005369D7"/>
    <w:rsid w:val="00537747"/>
    <w:rsid w:val="00541459"/>
    <w:rsid w:val="00541512"/>
    <w:rsid w:val="00541D5B"/>
    <w:rsid w:val="00541DEF"/>
    <w:rsid w:val="00542700"/>
    <w:rsid w:val="00542ED3"/>
    <w:rsid w:val="00546810"/>
    <w:rsid w:val="00552477"/>
    <w:rsid w:val="00552FCF"/>
    <w:rsid w:val="00553AB6"/>
    <w:rsid w:val="0055434C"/>
    <w:rsid w:val="00561829"/>
    <w:rsid w:val="005631C3"/>
    <w:rsid w:val="0056426D"/>
    <w:rsid w:val="00566AB7"/>
    <w:rsid w:val="00567E3E"/>
    <w:rsid w:val="00571459"/>
    <w:rsid w:val="00575F62"/>
    <w:rsid w:val="00577005"/>
    <w:rsid w:val="0058021A"/>
    <w:rsid w:val="00580984"/>
    <w:rsid w:val="00580A25"/>
    <w:rsid w:val="0058421C"/>
    <w:rsid w:val="00585A4F"/>
    <w:rsid w:val="005860D9"/>
    <w:rsid w:val="005878DD"/>
    <w:rsid w:val="00591DBB"/>
    <w:rsid w:val="00592299"/>
    <w:rsid w:val="00593583"/>
    <w:rsid w:val="00594205"/>
    <w:rsid w:val="005A12F9"/>
    <w:rsid w:val="005A3A4C"/>
    <w:rsid w:val="005A4560"/>
    <w:rsid w:val="005B1299"/>
    <w:rsid w:val="005B4D77"/>
    <w:rsid w:val="005B6282"/>
    <w:rsid w:val="005B7FD9"/>
    <w:rsid w:val="005C01D2"/>
    <w:rsid w:val="005C2765"/>
    <w:rsid w:val="005C3C3C"/>
    <w:rsid w:val="005C4360"/>
    <w:rsid w:val="005C6332"/>
    <w:rsid w:val="005C6C24"/>
    <w:rsid w:val="005C72CD"/>
    <w:rsid w:val="005C7D27"/>
    <w:rsid w:val="005D02A0"/>
    <w:rsid w:val="005D05E5"/>
    <w:rsid w:val="005D06CC"/>
    <w:rsid w:val="005D0E8D"/>
    <w:rsid w:val="005D3204"/>
    <w:rsid w:val="005D42D7"/>
    <w:rsid w:val="005D4DD1"/>
    <w:rsid w:val="005D5A9A"/>
    <w:rsid w:val="005D5EEB"/>
    <w:rsid w:val="005E0A93"/>
    <w:rsid w:val="005E2C9B"/>
    <w:rsid w:val="005E2EC7"/>
    <w:rsid w:val="005E36C1"/>
    <w:rsid w:val="005E49BA"/>
    <w:rsid w:val="005F0297"/>
    <w:rsid w:val="005F6BFB"/>
    <w:rsid w:val="005F709A"/>
    <w:rsid w:val="00600BB5"/>
    <w:rsid w:val="00601B86"/>
    <w:rsid w:val="006020AF"/>
    <w:rsid w:val="00603782"/>
    <w:rsid w:val="00606E7D"/>
    <w:rsid w:val="00606EB3"/>
    <w:rsid w:val="00606F29"/>
    <w:rsid w:val="00607408"/>
    <w:rsid w:val="00612A79"/>
    <w:rsid w:val="00617929"/>
    <w:rsid w:val="00624E73"/>
    <w:rsid w:val="00625117"/>
    <w:rsid w:val="00625DBC"/>
    <w:rsid w:val="0062606A"/>
    <w:rsid w:val="00626706"/>
    <w:rsid w:val="00627867"/>
    <w:rsid w:val="00634853"/>
    <w:rsid w:val="00634A82"/>
    <w:rsid w:val="00635784"/>
    <w:rsid w:val="006367C0"/>
    <w:rsid w:val="0064283E"/>
    <w:rsid w:val="00646044"/>
    <w:rsid w:val="00647BF0"/>
    <w:rsid w:val="00654588"/>
    <w:rsid w:val="00654EBE"/>
    <w:rsid w:val="00655594"/>
    <w:rsid w:val="0065637C"/>
    <w:rsid w:val="0065729E"/>
    <w:rsid w:val="00657885"/>
    <w:rsid w:val="00661892"/>
    <w:rsid w:val="00662194"/>
    <w:rsid w:val="006635C4"/>
    <w:rsid w:val="00670CB1"/>
    <w:rsid w:val="006714A0"/>
    <w:rsid w:val="00674476"/>
    <w:rsid w:val="0067480E"/>
    <w:rsid w:val="00674AAF"/>
    <w:rsid w:val="00675B1B"/>
    <w:rsid w:val="0067607F"/>
    <w:rsid w:val="006766BB"/>
    <w:rsid w:val="006803A7"/>
    <w:rsid w:val="006807CC"/>
    <w:rsid w:val="00681940"/>
    <w:rsid w:val="00682152"/>
    <w:rsid w:val="00682F1F"/>
    <w:rsid w:val="00683345"/>
    <w:rsid w:val="0068616F"/>
    <w:rsid w:val="00686CF4"/>
    <w:rsid w:val="00686FDB"/>
    <w:rsid w:val="00692274"/>
    <w:rsid w:val="0069258A"/>
    <w:rsid w:val="00694C2E"/>
    <w:rsid w:val="00695E5E"/>
    <w:rsid w:val="006A32B9"/>
    <w:rsid w:val="006A3351"/>
    <w:rsid w:val="006B114D"/>
    <w:rsid w:val="006B3391"/>
    <w:rsid w:val="006B635B"/>
    <w:rsid w:val="006B6EBE"/>
    <w:rsid w:val="006B765B"/>
    <w:rsid w:val="006C3D4A"/>
    <w:rsid w:val="006C449A"/>
    <w:rsid w:val="006C62BD"/>
    <w:rsid w:val="006D189F"/>
    <w:rsid w:val="006D1A87"/>
    <w:rsid w:val="006D1EF1"/>
    <w:rsid w:val="006D68E0"/>
    <w:rsid w:val="006E2861"/>
    <w:rsid w:val="006E2DCD"/>
    <w:rsid w:val="006E5816"/>
    <w:rsid w:val="006F06A0"/>
    <w:rsid w:val="007014E6"/>
    <w:rsid w:val="00703171"/>
    <w:rsid w:val="00705F9D"/>
    <w:rsid w:val="00706617"/>
    <w:rsid w:val="00706A7F"/>
    <w:rsid w:val="00710F25"/>
    <w:rsid w:val="00711D86"/>
    <w:rsid w:val="00712689"/>
    <w:rsid w:val="00717324"/>
    <w:rsid w:val="00725E13"/>
    <w:rsid w:val="007326D4"/>
    <w:rsid w:val="00736585"/>
    <w:rsid w:val="00742036"/>
    <w:rsid w:val="007434AC"/>
    <w:rsid w:val="00743878"/>
    <w:rsid w:val="00747126"/>
    <w:rsid w:val="0075095C"/>
    <w:rsid w:val="00751E88"/>
    <w:rsid w:val="00753387"/>
    <w:rsid w:val="00754C88"/>
    <w:rsid w:val="00757A3F"/>
    <w:rsid w:val="0076279C"/>
    <w:rsid w:val="007640FE"/>
    <w:rsid w:val="00765472"/>
    <w:rsid w:val="00765998"/>
    <w:rsid w:val="00770B4C"/>
    <w:rsid w:val="00771251"/>
    <w:rsid w:val="007726CC"/>
    <w:rsid w:val="00773AAB"/>
    <w:rsid w:val="0077408A"/>
    <w:rsid w:val="00775E16"/>
    <w:rsid w:val="00781238"/>
    <w:rsid w:val="00781D70"/>
    <w:rsid w:val="00782A9B"/>
    <w:rsid w:val="00790531"/>
    <w:rsid w:val="00790E9B"/>
    <w:rsid w:val="0079250E"/>
    <w:rsid w:val="00792ECE"/>
    <w:rsid w:val="00792F37"/>
    <w:rsid w:val="007A354E"/>
    <w:rsid w:val="007A6E6F"/>
    <w:rsid w:val="007B0283"/>
    <w:rsid w:val="007B1B45"/>
    <w:rsid w:val="007B20DD"/>
    <w:rsid w:val="007B2567"/>
    <w:rsid w:val="007B2741"/>
    <w:rsid w:val="007B54E0"/>
    <w:rsid w:val="007B5712"/>
    <w:rsid w:val="007B6793"/>
    <w:rsid w:val="007B6E2A"/>
    <w:rsid w:val="007B7606"/>
    <w:rsid w:val="007C69D0"/>
    <w:rsid w:val="007D2192"/>
    <w:rsid w:val="007D4408"/>
    <w:rsid w:val="007D5516"/>
    <w:rsid w:val="007D74D5"/>
    <w:rsid w:val="007E0A4B"/>
    <w:rsid w:val="007E6493"/>
    <w:rsid w:val="007E6CDD"/>
    <w:rsid w:val="007F13AB"/>
    <w:rsid w:val="007F2FE9"/>
    <w:rsid w:val="007F5890"/>
    <w:rsid w:val="007F7F38"/>
    <w:rsid w:val="008014DA"/>
    <w:rsid w:val="00802ECA"/>
    <w:rsid w:val="0081370C"/>
    <w:rsid w:val="0081778B"/>
    <w:rsid w:val="0082036C"/>
    <w:rsid w:val="00821380"/>
    <w:rsid w:val="00824654"/>
    <w:rsid w:val="00824D18"/>
    <w:rsid w:val="00827CE2"/>
    <w:rsid w:val="0083179A"/>
    <w:rsid w:val="00831B7D"/>
    <w:rsid w:val="00835D74"/>
    <w:rsid w:val="00842064"/>
    <w:rsid w:val="00842687"/>
    <w:rsid w:val="0084290C"/>
    <w:rsid w:val="00842B2E"/>
    <w:rsid w:val="00843BB8"/>
    <w:rsid w:val="0085202E"/>
    <w:rsid w:val="00856BE4"/>
    <w:rsid w:val="008613D6"/>
    <w:rsid w:val="00863E32"/>
    <w:rsid w:val="00865458"/>
    <w:rsid w:val="00866DDD"/>
    <w:rsid w:val="008716DD"/>
    <w:rsid w:val="00871766"/>
    <w:rsid w:val="00872092"/>
    <w:rsid w:val="00872873"/>
    <w:rsid w:val="00872EDC"/>
    <w:rsid w:val="00874BB3"/>
    <w:rsid w:val="008753CF"/>
    <w:rsid w:val="008772B7"/>
    <w:rsid w:val="00880E20"/>
    <w:rsid w:val="00881769"/>
    <w:rsid w:val="00882E1D"/>
    <w:rsid w:val="008844FB"/>
    <w:rsid w:val="008848B1"/>
    <w:rsid w:val="00885E0C"/>
    <w:rsid w:val="00892DCD"/>
    <w:rsid w:val="00895739"/>
    <w:rsid w:val="00895809"/>
    <w:rsid w:val="00895F80"/>
    <w:rsid w:val="008972B1"/>
    <w:rsid w:val="008974F3"/>
    <w:rsid w:val="008A1D36"/>
    <w:rsid w:val="008A26A0"/>
    <w:rsid w:val="008A3A39"/>
    <w:rsid w:val="008A3F07"/>
    <w:rsid w:val="008B26B4"/>
    <w:rsid w:val="008B352B"/>
    <w:rsid w:val="008B4539"/>
    <w:rsid w:val="008B5787"/>
    <w:rsid w:val="008C14E5"/>
    <w:rsid w:val="008C390B"/>
    <w:rsid w:val="008C42CD"/>
    <w:rsid w:val="008C4F0F"/>
    <w:rsid w:val="008C5675"/>
    <w:rsid w:val="008C6651"/>
    <w:rsid w:val="008D009F"/>
    <w:rsid w:val="008D41D8"/>
    <w:rsid w:val="008D4FB5"/>
    <w:rsid w:val="008E34FB"/>
    <w:rsid w:val="008E5B6C"/>
    <w:rsid w:val="008F01FC"/>
    <w:rsid w:val="008F034B"/>
    <w:rsid w:val="008F0AAC"/>
    <w:rsid w:val="008F1B4D"/>
    <w:rsid w:val="008F2C02"/>
    <w:rsid w:val="008F2CFF"/>
    <w:rsid w:val="008F7EA7"/>
    <w:rsid w:val="00901841"/>
    <w:rsid w:val="0090417D"/>
    <w:rsid w:val="00904E04"/>
    <w:rsid w:val="00904F8F"/>
    <w:rsid w:val="00905A21"/>
    <w:rsid w:val="00911FF4"/>
    <w:rsid w:val="0091441D"/>
    <w:rsid w:val="00914465"/>
    <w:rsid w:val="00915181"/>
    <w:rsid w:val="0091784B"/>
    <w:rsid w:val="00920635"/>
    <w:rsid w:val="00920BE7"/>
    <w:rsid w:val="00921FC7"/>
    <w:rsid w:val="00927365"/>
    <w:rsid w:val="009322DC"/>
    <w:rsid w:val="00935219"/>
    <w:rsid w:val="00941B66"/>
    <w:rsid w:val="00941EB9"/>
    <w:rsid w:val="00943336"/>
    <w:rsid w:val="00945854"/>
    <w:rsid w:val="00946C47"/>
    <w:rsid w:val="009522F7"/>
    <w:rsid w:val="00953475"/>
    <w:rsid w:val="00956547"/>
    <w:rsid w:val="00962A05"/>
    <w:rsid w:val="00965609"/>
    <w:rsid w:val="0096608A"/>
    <w:rsid w:val="0096799A"/>
    <w:rsid w:val="00967B91"/>
    <w:rsid w:val="00971AF5"/>
    <w:rsid w:val="0097409A"/>
    <w:rsid w:val="00976C95"/>
    <w:rsid w:val="00977641"/>
    <w:rsid w:val="00977AE0"/>
    <w:rsid w:val="0098288E"/>
    <w:rsid w:val="009828E3"/>
    <w:rsid w:val="00983E80"/>
    <w:rsid w:val="00987E9D"/>
    <w:rsid w:val="009902A1"/>
    <w:rsid w:val="00993D91"/>
    <w:rsid w:val="00994AF6"/>
    <w:rsid w:val="00997139"/>
    <w:rsid w:val="009A1D96"/>
    <w:rsid w:val="009A57CA"/>
    <w:rsid w:val="009A7442"/>
    <w:rsid w:val="009B0753"/>
    <w:rsid w:val="009B11D8"/>
    <w:rsid w:val="009B1704"/>
    <w:rsid w:val="009B1C9E"/>
    <w:rsid w:val="009B7F16"/>
    <w:rsid w:val="009C075D"/>
    <w:rsid w:val="009C3478"/>
    <w:rsid w:val="009C4489"/>
    <w:rsid w:val="009C5621"/>
    <w:rsid w:val="009C7F14"/>
    <w:rsid w:val="009D025D"/>
    <w:rsid w:val="009D233E"/>
    <w:rsid w:val="009D2885"/>
    <w:rsid w:val="009D31EC"/>
    <w:rsid w:val="009D6C9B"/>
    <w:rsid w:val="009E408E"/>
    <w:rsid w:val="009E4572"/>
    <w:rsid w:val="009E7575"/>
    <w:rsid w:val="009E7EA0"/>
    <w:rsid w:val="009F15E7"/>
    <w:rsid w:val="009F196F"/>
    <w:rsid w:val="009F274E"/>
    <w:rsid w:val="009F35CD"/>
    <w:rsid w:val="009F7D1E"/>
    <w:rsid w:val="00A06149"/>
    <w:rsid w:val="00A0629B"/>
    <w:rsid w:val="00A068F5"/>
    <w:rsid w:val="00A10255"/>
    <w:rsid w:val="00A12517"/>
    <w:rsid w:val="00A12551"/>
    <w:rsid w:val="00A12BAB"/>
    <w:rsid w:val="00A13F0B"/>
    <w:rsid w:val="00A1678D"/>
    <w:rsid w:val="00A17001"/>
    <w:rsid w:val="00A176AA"/>
    <w:rsid w:val="00A201A3"/>
    <w:rsid w:val="00A2466A"/>
    <w:rsid w:val="00A24875"/>
    <w:rsid w:val="00A27354"/>
    <w:rsid w:val="00A27372"/>
    <w:rsid w:val="00A31C14"/>
    <w:rsid w:val="00A31F0C"/>
    <w:rsid w:val="00A33E4A"/>
    <w:rsid w:val="00A344ED"/>
    <w:rsid w:val="00A35086"/>
    <w:rsid w:val="00A35A5C"/>
    <w:rsid w:val="00A36030"/>
    <w:rsid w:val="00A425AB"/>
    <w:rsid w:val="00A4481B"/>
    <w:rsid w:val="00A44A37"/>
    <w:rsid w:val="00A46E16"/>
    <w:rsid w:val="00A4791B"/>
    <w:rsid w:val="00A47FCD"/>
    <w:rsid w:val="00A54E85"/>
    <w:rsid w:val="00A54FA6"/>
    <w:rsid w:val="00A55BAF"/>
    <w:rsid w:val="00A63258"/>
    <w:rsid w:val="00A63543"/>
    <w:rsid w:val="00A66644"/>
    <w:rsid w:val="00A714B6"/>
    <w:rsid w:val="00A73BB9"/>
    <w:rsid w:val="00A74CD5"/>
    <w:rsid w:val="00A74D49"/>
    <w:rsid w:val="00A758B5"/>
    <w:rsid w:val="00A77A0A"/>
    <w:rsid w:val="00A81EF6"/>
    <w:rsid w:val="00A840D5"/>
    <w:rsid w:val="00A842DA"/>
    <w:rsid w:val="00A84519"/>
    <w:rsid w:val="00A91E08"/>
    <w:rsid w:val="00A93515"/>
    <w:rsid w:val="00A959F1"/>
    <w:rsid w:val="00A95E89"/>
    <w:rsid w:val="00A97129"/>
    <w:rsid w:val="00A97D53"/>
    <w:rsid w:val="00AA15B2"/>
    <w:rsid w:val="00AA2003"/>
    <w:rsid w:val="00AA27B6"/>
    <w:rsid w:val="00AA3E59"/>
    <w:rsid w:val="00AA69D2"/>
    <w:rsid w:val="00AB0698"/>
    <w:rsid w:val="00AB1473"/>
    <w:rsid w:val="00AB6253"/>
    <w:rsid w:val="00AB6698"/>
    <w:rsid w:val="00AB6E9C"/>
    <w:rsid w:val="00AB7DB1"/>
    <w:rsid w:val="00AC201F"/>
    <w:rsid w:val="00AC2A87"/>
    <w:rsid w:val="00AC3A00"/>
    <w:rsid w:val="00AC498C"/>
    <w:rsid w:val="00AC5B79"/>
    <w:rsid w:val="00AC62A5"/>
    <w:rsid w:val="00AC6DF8"/>
    <w:rsid w:val="00AD08F0"/>
    <w:rsid w:val="00AD1D8B"/>
    <w:rsid w:val="00AD30C6"/>
    <w:rsid w:val="00AD3963"/>
    <w:rsid w:val="00AD4DD9"/>
    <w:rsid w:val="00AD781C"/>
    <w:rsid w:val="00AF11EE"/>
    <w:rsid w:val="00AF254B"/>
    <w:rsid w:val="00AF3577"/>
    <w:rsid w:val="00AF67AC"/>
    <w:rsid w:val="00AF6B27"/>
    <w:rsid w:val="00B01460"/>
    <w:rsid w:val="00B0179B"/>
    <w:rsid w:val="00B022DB"/>
    <w:rsid w:val="00B02DB5"/>
    <w:rsid w:val="00B04B1D"/>
    <w:rsid w:val="00B04D4B"/>
    <w:rsid w:val="00B077A8"/>
    <w:rsid w:val="00B133BB"/>
    <w:rsid w:val="00B13E44"/>
    <w:rsid w:val="00B1434B"/>
    <w:rsid w:val="00B14FED"/>
    <w:rsid w:val="00B15D9B"/>
    <w:rsid w:val="00B15EE3"/>
    <w:rsid w:val="00B2047D"/>
    <w:rsid w:val="00B22689"/>
    <w:rsid w:val="00B26C07"/>
    <w:rsid w:val="00B27B61"/>
    <w:rsid w:val="00B3629E"/>
    <w:rsid w:val="00B37EEB"/>
    <w:rsid w:val="00B44499"/>
    <w:rsid w:val="00B4722F"/>
    <w:rsid w:val="00B53CF6"/>
    <w:rsid w:val="00B57D96"/>
    <w:rsid w:val="00B60C5B"/>
    <w:rsid w:val="00B60EBB"/>
    <w:rsid w:val="00B62B94"/>
    <w:rsid w:val="00B62C50"/>
    <w:rsid w:val="00B6594B"/>
    <w:rsid w:val="00B6706E"/>
    <w:rsid w:val="00B70FF6"/>
    <w:rsid w:val="00B77D91"/>
    <w:rsid w:val="00B807B3"/>
    <w:rsid w:val="00B807FC"/>
    <w:rsid w:val="00B812E5"/>
    <w:rsid w:val="00B834FC"/>
    <w:rsid w:val="00B83758"/>
    <w:rsid w:val="00B85996"/>
    <w:rsid w:val="00B86C86"/>
    <w:rsid w:val="00B87756"/>
    <w:rsid w:val="00B91170"/>
    <w:rsid w:val="00B930BE"/>
    <w:rsid w:val="00B95B93"/>
    <w:rsid w:val="00B970B4"/>
    <w:rsid w:val="00BA307F"/>
    <w:rsid w:val="00BB3625"/>
    <w:rsid w:val="00BB5E4C"/>
    <w:rsid w:val="00BC1E2F"/>
    <w:rsid w:val="00BC2537"/>
    <w:rsid w:val="00BC40B8"/>
    <w:rsid w:val="00BD1331"/>
    <w:rsid w:val="00BD14D7"/>
    <w:rsid w:val="00BD2944"/>
    <w:rsid w:val="00BD2F8B"/>
    <w:rsid w:val="00BD36A0"/>
    <w:rsid w:val="00BE0588"/>
    <w:rsid w:val="00BE1BE1"/>
    <w:rsid w:val="00BE2833"/>
    <w:rsid w:val="00BE3533"/>
    <w:rsid w:val="00BE4E4B"/>
    <w:rsid w:val="00BE65D4"/>
    <w:rsid w:val="00BE7960"/>
    <w:rsid w:val="00BE7EEB"/>
    <w:rsid w:val="00BF1FC1"/>
    <w:rsid w:val="00BF3C8A"/>
    <w:rsid w:val="00BF4150"/>
    <w:rsid w:val="00C01F9F"/>
    <w:rsid w:val="00C02E1C"/>
    <w:rsid w:val="00C0604F"/>
    <w:rsid w:val="00C06706"/>
    <w:rsid w:val="00C073DC"/>
    <w:rsid w:val="00C11029"/>
    <w:rsid w:val="00C11181"/>
    <w:rsid w:val="00C12505"/>
    <w:rsid w:val="00C166DD"/>
    <w:rsid w:val="00C22606"/>
    <w:rsid w:val="00C238C5"/>
    <w:rsid w:val="00C247D4"/>
    <w:rsid w:val="00C303DB"/>
    <w:rsid w:val="00C308E0"/>
    <w:rsid w:val="00C31642"/>
    <w:rsid w:val="00C33DDD"/>
    <w:rsid w:val="00C40209"/>
    <w:rsid w:val="00C402D9"/>
    <w:rsid w:val="00C44C77"/>
    <w:rsid w:val="00C45FBA"/>
    <w:rsid w:val="00C473D1"/>
    <w:rsid w:val="00C50CBE"/>
    <w:rsid w:val="00C54EBE"/>
    <w:rsid w:val="00C566FF"/>
    <w:rsid w:val="00C57B80"/>
    <w:rsid w:val="00C61185"/>
    <w:rsid w:val="00C61D1F"/>
    <w:rsid w:val="00C679F5"/>
    <w:rsid w:val="00C75D9E"/>
    <w:rsid w:val="00C80B91"/>
    <w:rsid w:val="00C8288B"/>
    <w:rsid w:val="00C84B50"/>
    <w:rsid w:val="00C85469"/>
    <w:rsid w:val="00C859F9"/>
    <w:rsid w:val="00C86FFA"/>
    <w:rsid w:val="00C92A7E"/>
    <w:rsid w:val="00C93DDE"/>
    <w:rsid w:val="00C979E0"/>
    <w:rsid w:val="00CA19DF"/>
    <w:rsid w:val="00CA4389"/>
    <w:rsid w:val="00CB2FB2"/>
    <w:rsid w:val="00CB3CE8"/>
    <w:rsid w:val="00CB7946"/>
    <w:rsid w:val="00CB7A18"/>
    <w:rsid w:val="00CC13BB"/>
    <w:rsid w:val="00CC60E7"/>
    <w:rsid w:val="00CC7487"/>
    <w:rsid w:val="00CD106C"/>
    <w:rsid w:val="00CD1D6B"/>
    <w:rsid w:val="00CD282D"/>
    <w:rsid w:val="00CD34FC"/>
    <w:rsid w:val="00CD4A7A"/>
    <w:rsid w:val="00CD706B"/>
    <w:rsid w:val="00CE1EF8"/>
    <w:rsid w:val="00CE213B"/>
    <w:rsid w:val="00CE5F49"/>
    <w:rsid w:val="00CF0AA6"/>
    <w:rsid w:val="00CF59BB"/>
    <w:rsid w:val="00CF5A2C"/>
    <w:rsid w:val="00CF6633"/>
    <w:rsid w:val="00D00259"/>
    <w:rsid w:val="00D03E2A"/>
    <w:rsid w:val="00D076D0"/>
    <w:rsid w:val="00D10C07"/>
    <w:rsid w:val="00D134B7"/>
    <w:rsid w:val="00D13894"/>
    <w:rsid w:val="00D20FAA"/>
    <w:rsid w:val="00D21D09"/>
    <w:rsid w:val="00D30573"/>
    <w:rsid w:val="00D34BAD"/>
    <w:rsid w:val="00D36A8C"/>
    <w:rsid w:val="00D428F4"/>
    <w:rsid w:val="00D43181"/>
    <w:rsid w:val="00D43DF0"/>
    <w:rsid w:val="00D44D7F"/>
    <w:rsid w:val="00D4536C"/>
    <w:rsid w:val="00D45C41"/>
    <w:rsid w:val="00D461DE"/>
    <w:rsid w:val="00D50DE5"/>
    <w:rsid w:val="00D54B27"/>
    <w:rsid w:val="00D54CC0"/>
    <w:rsid w:val="00D60976"/>
    <w:rsid w:val="00D63173"/>
    <w:rsid w:val="00D63DA8"/>
    <w:rsid w:val="00D64921"/>
    <w:rsid w:val="00D73A86"/>
    <w:rsid w:val="00D74B1F"/>
    <w:rsid w:val="00D74BA3"/>
    <w:rsid w:val="00D804D2"/>
    <w:rsid w:val="00D81E2F"/>
    <w:rsid w:val="00D83060"/>
    <w:rsid w:val="00D8488E"/>
    <w:rsid w:val="00D84A2D"/>
    <w:rsid w:val="00D87426"/>
    <w:rsid w:val="00D8749B"/>
    <w:rsid w:val="00DA09FA"/>
    <w:rsid w:val="00DA4CF2"/>
    <w:rsid w:val="00DA73FE"/>
    <w:rsid w:val="00DB11D4"/>
    <w:rsid w:val="00DB227F"/>
    <w:rsid w:val="00DB61A6"/>
    <w:rsid w:val="00DC02B9"/>
    <w:rsid w:val="00DC3AC1"/>
    <w:rsid w:val="00DC4D4D"/>
    <w:rsid w:val="00DC5105"/>
    <w:rsid w:val="00DD20D1"/>
    <w:rsid w:val="00DD51F8"/>
    <w:rsid w:val="00DD64C5"/>
    <w:rsid w:val="00DE14E2"/>
    <w:rsid w:val="00DE14F9"/>
    <w:rsid w:val="00DE15AC"/>
    <w:rsid w:val="00DE2C36"/>
    <w:rsid w:val="00DE2F94"/>
    <w:rsid w:val="00DE3500"/>
    <w:rsid w:val="00DE4430"/>
    <w:rsid w:val="00DE4595"/>
    <w:rsid w:val="00DE6B35"/>
    <w:rsid w:val="00DE6CAD"/>
    <w:rsid w:val="00DE70C2"/>
    <w:rsid w:val="00DF0675"/>
    <w:rsid w:val="00DF06F0"/>
    <w:rsid w:val="00DF4FE6"/>
    <w:rsid w:val="00DF580D"/>
    <w:rsid w:val="00DF6FDA"/>
    <w:rsid w:val="00DF7E2B"/>
    <w:rsid w:val="00E05885"/>
    <w:rsid w:val="00E06BC9"/>
    <w:rsid w:val="00E10BFB"/>
    <w:rsid w:val="00E110C2"/>
    <w:rsid w:val="00E1249A"/>
    <w:rsid w:val="00E12880"/>
    <w:rsid w:val="00E14D9E"/>
    <w:rsid w:val="00E16DA6"/>
    <w:rsid w:val="00E20799"/>
    <w:rsid w:val="00E21287"/>
    <w:rsid w:val="00E21904"/>
    <w:rsid w:val="00E21E99"/>
    <w:rsid w:val="00E2228E"/>
    <w:rsid w:val="00E23E56"/>
    <w:rsid w:val="00E30FFC"/>
    <w:rsid w:val="00E327A1"/>
    <w:rsid w:val="00E32FB7"/>
    <w:rsid w:val="00E33EF0"/>
    <w:rsid w:val="00E370BF"/>
    <w:rsid w:val="00E37CB8"/>
    <w:rsid w:val="00E4016D"/>
    <w:rsid w:val="00E50D24"/>
    <w:rsid w:val="00E510C4"/>
    <w:rsid w:val="00E530B7"/>
    <w:rsid w:val="00E5347D"/>
    <w:rsid w:val="00E54066"/>
    <w:rsid w:val="00E57168"/>
    <w:rsid w:val="00E611A2"/>
    <w:rsid w:val="00E61BAB"/>
    <w:rsid w:val="00E61C6F"/>
    <w:rsid w:val="00E729CB"/>
    <w:rsid w:val="00E73C50"/>
    <w:rsid w:val="00E777C8"/>
    <w:rsid w:val="00E8011B"/>
    <w:rsid w:val="00E81EE4"/>
    <w:rsid w:val="00E8250A"/>
    <w:rsid w:val="00E8276E"/>
    <w:rsid w:val="00E82DCD"/>
    <w:rsid w:val="00E83444"/>
    <w:rsid w:val="00E8496A"/>
    <w:rsid w:val="00E849E6"/>
    <w:rsid w:val="00E84DD9"/>
    <w:rsid w:val="00E870C1"/>
    <w:rsid w:val="00E909E6"/>
    <w:rsid w:val="00E90B70"/>
    <w:rsid w:val="00E924EC"/>
    <w:rsid w:val="00E93300"/>
    <w:rsid w:val="00E936BF"/>
    <w:rsid w:val="00E93BB0"/>
    <w:rsid w:val="00EA27C3"/>
    <w:rsid w:val="00EA2BEE"/>
    <w:rsid w:val="00EA370F"/>
    <w:rsid w:val="00EA440F"/>
    <w:rsid w:val="00EA5F36"/>
    <w:rsid w:val="00EA7A70"/>
    <w:rsid w:val="00EB15F9"/>
    <w:rsid w:val="00EB2AAE"/>
    <w:rsid w:val="00EB57CA"/>
    <w:rsid w:val="00EB6317"/>
    <w:rsid w:val="00EB6D45"/>
    <w:rsid w:val="00EC07F6"/>
    <w:rsid w:val="00EC07FA"/>
    <w:rsid w:val="00EC5B03"/>
    <w:rsid w:val="00ED5E20"/>
    <w:rsid w:val="00ED7B42"/>
    <w:rsid w:val="00ED7B80"/>
    <w:rsid w:val="00EE087B"/>
    <w:rsid w:val="00EE094E"/>
    <w:rsid w:val="00EE0CC2"/>
    <w:rsid w:val="00EE18F8"/>
    <w:rsid w:val="00EE1DDC"/>
    <w:rsid w:val="00EE31D9"/>
    <w:rsid w:val="00EE47A2"/>
    <w:rsid w:val="00EE5179"/>
    <w:rsid w:val="00EF0C53"/>
    <w:rsid w:val="00EF2D32"/>
    <w:rsid w:val="00EF368A"/>
    <w:rsid w:val="00EF4FE0"/>
    <w:rsid w:val="00EF6F9D"/>
    <w:rsid w:val="00EF7495"/>
    <w:rsid w:val="00F038F0"/>
    <w:rsid w:val="00F04E2C"/>
    <w:rsid w:val="00F06CE8"/>
    <w:rsid w:val="00F0783D"/>
    <w:rsid w:val="00F1223A"/>
    <w:rsid w:val="00F12E5F"/>
    <w:rsid w:val="00F14E08"/>
    <w:rsid w:val="00F203B0"/>
    <w:rsid w:val="00F20CD7"/>
    <w:rsid w:val="00F210E9"/>
    <w:rsid w:val="00F2150A"/>
    <w:rsid w:val="00F22AF0"/>
    <w:rsid w:val="00F33929"/>
    <w:rsid w:val="00F35767"/>
    <w:rsid w:val="00F35BB4"/>
    <w:rsid w:val="00F40DEA"/>
    <w:rsid w:val="00F42C1C"/>
    <w:rsid w:val="00F43816"/>
    <w:rsid w:val="00F4744B"/>
    <w:rsid w:val="00F504FB"/>
    <w:rsid w:val="00F55691"/>
    <w:rsid w:val="00F55B87"/>
    <w:rsid w:val="00F6361F"/>
    <w:rsid w:val="00F65724"/>
    <w:rsid w:val="00F66561"/>
    <w:rsid w:val="00F71390"/>
    <w:rsid w:val="00F72F62"/>
    <w:rsid w:val="00F73E1F"/>
    <w:rsid w:val="00F75F73"/>
    <w:rsid w:val="00F77059"/>
    <w:rsid w:val="00F77459"/>
    <w:rsid w:val="00F809EE"/>
    <w:rsid w:val="00F8201F"/>
    <w:rsid w:val="00F844E6"/>
    <w:rsid w:val="00F849DE"/>
    <w:rsid w:val="00F84BE4"/>
    <w:rsid w:val="00F865A3"/>
    <w:rsid w:val="00F909DB"/>
    <w:rsid w:val="00F9314E"/>
    <w:rsid w:val="00F9432D"/>
    <w:rsid w:val="00F9475F"/>
    <w:rsid w:val="00F951BA"/>
    <w:rsid w:val="00F955FB"/>
    <w:rsid w:val="00FA2244"/>
    <w:rsid w:val="00FA2531"/>
    <w:rsid w:val="00FA4C1B"/>
    <w:rsid w:val="00FA5355"/>
    <w:rsid w:val="00FB35B4"/>
    <w:rsid w:val="00FB4542"/>
    <w:rsid w:val="00FB6C2F"/>
    <w:rsid w:val="00FC0091"/>
    <w:rsid w:val="00FC10E9"/>
    <w:rsid w:val="00FC23CC"/>
    <w:rsid w:val="00FC4FF0"/>
    <w:rsid w:val="00FC57BC"/>
    <w:rsid w:val="00FC5D7E"/>
    <w:rsid w:val="00FD01DC"/>
    <w:rsid w:val="00FD01E1"/>
    <w:rsid w:val="00FD13B2"/>
    <w:rsid w:val="00FD26BB"/>
    <w:rsid w:val="00FD4DFC"/>
    <w:rsid w:val="00FD6173"/>
    <w:rsid w:val="00FE0A40"/>
    <w:rsid w:val="00FE3132"/>
    <w:rsid w:val="00FE47F2"/>
    <w:rsid w:val="00FE64F7"/>
    <w:rsid w:val="00FE6C0D"/>
    <w:rsid w:val="00FF10DD"/>
    <w:rsid w:val="00FF3240"/>
    <w:rsid w:val="00FF3C70"/>
    <w:rsid w:val="00FF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BF"/>
    <w:pPr>
      <w:spacing w:after="20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31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A2D"/>
    <w:pPr>
      <w:keepNext/>
      <w:keepLines/>
      <w:spacing w:after="100"/>
      <w:outlineLvl w:val="1"/>
    </w:pPr>
    <w:rPr>
      <w:rFonts w:ascii="Calibri" w:eastAsia="Calibri" w:hAnsi="Calibri" w:cs="Calibri"/>
      <w:b/>
      <w:smallCaps/>
      <w:color w:val="008B98"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4A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84A2D"/>
    <w:rPr>
      <w:rFonts w:ascii="Calibri" w:eastAsia="Calibri" w:hAnsi="Calibri" w:cs="Calibri"/>
      <w:b/>
      <w:smallCaps/>
      <w:color w:val="008B98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A2D"/>
    <w:rPr>
      <w:rFonts w:ascii="Arial" w:eastAsia="Arial" w:hAnsi="Arial" w:cs="Arial"/>
      <w:lang w:eastAsia="pl-PL"/>
    </w:rPr>
  </w:style>
  <w:style w:type="character" w:styleId="Hipercze">
    <w:name w:val="Hyperlink"/>
    <w:basedOn w:val="Domylnaczcionkaakapitu"/>
    <w:unhideWhenUsed/>
    <w:qFormat/>
    <w:rsid w:val="00D84A2D"/>
    <w:rPr>
      <w:color w:val="4472C4" w:themeColor="accent1"/>
      <w:u w:val="single"/>
    </w:rPr>
  </w:style>
  <w:style w:type="table" w:styleId="Tabela-Siatka">
    <w:name w:val="Table Grid"/>
    <w:basedOn w:val="Standardowy"/>
    <w:uiPriority w:val="59"/>
    <w:rsid w:val="00D84A2D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Name">
    <w:name w:val="ContactName"/>
    <w:basedOn w:val="Nagwek3"/>
    <w:qFormat/>
    <w:rsid w:val="00D84A2D"/>
    <w:pPr>
      <w:spacing w:before="0" w:line="216" w:lineRule="atLeast"/>
    </w:pPr>
    <w:rPr>
      <w:rFonts w:ascii="Calibri" w:eastAsia="Times New Roman" w:hAnsi="Calibri" w:cs="Times New Roman"/>
      <w:b/>
      <w:bCs/>
      <w:color w:val="008B98"/>
      <w:sz w:val="18"/>
      <w:lang w:val="en-GB" w:eastAsia="en-GB"/>
    </w:rPr>
  </w:style>
  <w:style w:type="paragraph" w:customStyle="1" w:styleId="ContactDetail">
    <w:name w:val="ContactDetail"/>
    <w:basedOn w:val="Normalny"/>
    <w:rsid w:val="00D84A2D"/>
    <w:pPr>
      <w:spacing w:after="0" w:line="216" w:lineRule="atLeast"/>
    </w:pPr>
    <w:rPr>
      <w:rFonts w:ascii="Calibri" w:eastAsia="Times New Roman" w:hAnsi="Calibri" w:cs="Times New Roman"/>
      <w:color w:val="000000"/>
      <w:sz w:val="18"/>
      <w:szCs w:val="24"/>
      <w:lang w:val="en-GB" w:eastAsia="en-GB"/>
    </w:rPr>
  </w:style>
  <w:style w:type="character" w:customStyle="1" w:styleId="Brak">
    <w:name w:val="Brak"/>
    <w:rsid w:val="00D84A2D"/>
  </w:style>
  <w:style w:type="character" w:customStyle="1" w:styleId="Hyperlink0">
    <w:name w:val="Hyperlink.0"/>
    <w:basedOn w:val="Brak"/>
    <w:rsid w:val="00D84A2D"/>
  </w:style>
  <w:style w:type="table" w:customStyle="1" w:styleId="PlainTable41">
    <w:name w:val="Plain Table 41"/>
    <w:basedOn w:val="Standardowy"/>
    <w:uiPriority w:val="44"/>
    <w:rsid w:val="00D84A2D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wykytekst">
    <w:name w:val="Plain Text"/>
    <w:basedOn w:val="Normalny"/>
    <w:link w:val="ZwykytekstZnak"/>
    <w:uiPriority w:val="99"/>
    <w:unhideWhenUsed/>
    <w:rsid w:val="00D84A2D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84A2D"/>
    <w:rPr>
      <w:rFonts w:ascii="Calibri" w:eastAsia="Times New Roman" w:hAnsi="Calibri" w:cs="Consolas"/>
      <w:szCs w:val="21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4A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F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2F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2FB2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F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FB2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FB2"/>
    <w:rPr>
      <w:rFonts w:ascii="Segoe UI" w:eastAsia="Arial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5323BE"/>
    <w:pPr>
      <w:spacing w:after="0" w:line="240" w:lineRule="auto"/>
    </w:pPr>
    <w:rPr>
      <w:rFonts w:ascii="Arial" w:eastAsia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C95"/>
    <w:rPr>
      <w:rFonts w:ascii="Arial" w:eastAsia="Arial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C9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D91"/>
    <w:rPr>
      <w:rFonts w:ascii="Arial" w:eastAsia="Arial" w:hAnsi="Arial" w:cs="Arial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7D9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635B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FE3132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Pogrubienie">
    <w:name w:val="Strong"/>
    <w:basedOn w:val="Domylnaczcionkaakapitu"/>
    <w:uiPriority w:val="22"/>
    <w:qFormat/>
    <w:rsid w:val="00FE313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E31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Uwydatnienie">
    <w:name w:val="Emphasis"/>
    <w:basedOn w:val="Domylnaczcionkaakapitu"/>
    <w:uiPriority w:val="20"/>
    <w:qFormat/>
    <w:rsid w:val="00E909E6"/>
    <w:rPr>
      <w:i/>
      <w:iCs/>
    </w:rPr>
  </w:style>
  <w:style w:type="character" w:customStyle="1" w:styleId="cf01">
    <w:name w:val="cf01"/>
    <w:basedOn w:val="Domylnaczcionkaakapitu"/>
    <w:rsid w:val="00167436"/>
    <w:rPr>
      <w:rFonts w:ascii="Segoe UI" w:hAnsi="Segoe UI" w:cs="Segoe UI" w:hint="default"/>
      <w:sz w:val="18"/>
      <w:szCs w:val="18"/>
    </w:rPr>
  </w:style>
  <w:style w:type="character" w:customStyle="1" w:styleId="apple-converted-space">
    <w:name w:val="apple-converted-space"/>
    <w:basedOn w:val="Domylnaczcionkaakapitu"/>
    <w:rsid w:val="00775E16"/>
  </w:style>
  <w:style w:type="paragraph" w:styleId="Akapitzlist">
    <w:name w:val="List Paragraph"/>
    <w:basedOn w:val="Normalny"/>
    <w:uiPriority w:val="34"/>
    <w:qFormat/>
    <w:rsid w:val="00AF11EE"/>
    <w:pPr>
      <w:spacing w:after="0" w:line="240" w:lineRule="auto"/>
      <w:ind w:left="720"/>
    </w:pPr>
    <w:rPr>
      <w:rFonts w:ascii="Calibri" w:eastAsiaTheme="minorHAnsi" w:hAnsi="Calibri" w:cs="Calibri"/>
      <w:lang w:val="en-GB" w:eastAsia="en-GB"/>
    </w:rPr>
  </w:style>
  <w:style w:type="paragraph" w:styleId="NormalnyWeb">
    <w:name w:val="Normal (Web)"/>
    <w:basedOn w:val="Normalny"/>
    <w:uiPriority w:val="99"/>
    <w:unhideWhenUsed/>
    <w:rsid w:val="00AF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1E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1EE"/>
    <w:rPr>
      <w:vertAlign w:val="superscript"/>
    </w:rPr>
  </w:style>
  <w:style w:type="character" w:customStyle="1" w:styleId="normaltextrun">
    <w:name w:val="normaltextrun"/>
    <w:basedOn w:val="Domylnaczcionkaakapitu"/>
    <w:rsid w:val="00C0604F"/>
  </w:style>
  <w:style w:type="character" w:customStyle="1" w:styleId="eop">
    <w:name w:val="eop"/>
    <w:basedOn w:val="Domylnaczcionkaakapitu"/>
    <w:rsid w:val="00C0604F"/>
  </w:style>
  <w:style w:type="paragraph" w:customStyle="1" w:styleId="pf0">
    <w:name w:val="pf0"/>
    <w:basedOn w:val="Normalny"/>
    <w:rsid w:val="00A1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C62B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70FF6"/>
    <w:rPr>
      <w:color w:val="954F72" w:themeColor="followedHyperlink"/>
      <w:u w:val="single"/>
    </w:rPr>
  </w:style>
  <w:style w:type="character" w:customStyle="1" w:styleId="Mention">
    <w:name w:val="Mention"/>
    <w:basedOn w:val="Domylnaczcionkaakapitu"/>
    <w:uiPriority w:val="99"/>
    <w:unhideWhenUsed/>
    <w:rsid w:val="00915181"/>
    <w:rPr>
      <w:color w:val="2B579A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0687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488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4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95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81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57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8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86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4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887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0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ushmanwakefield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.poland@cushwak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8c748b-9673-4c43-b9e9-f6f47eed6137" xsi:nil="true"/>
    <lcf76f155ced4ddcb4097134ff3c332f xmlns="ad0eda28-077b-48b4-981d-21104f8134f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9ED7BA2763A478EDE0130F91B5123" ma:contentTypeVersion="15" ma:contentTypeDescription="Create a new document." ma:contentTypeScope="" ma:versionID="f0827b97c411c567ea7b6231876734c3">
  <xsd:schema xmlns:xsd="http://www.w3.org/2001/XMLSchema" xmlns:xs="http://www.w3.org/2001/XMLSchema" xmlns:p="http://schemas.microsoft.com/office/2006/metadata/properties" xmlns:ns2="ad0eda28-077b-48b4-981d-21104f8134f6" xmlns:ns3="9e8c748b-9673-4c43-b9e9-f6f47eed6137" targetNamespace="http://schemas.microsoft.com/office/2006/metadata/properties" ma:root="true" ma:fieldsID="b88f6f328498e53ec5465a59d7175b84" ns2:_="" ns3:_="">
    <xsd:import namespace="ad0eda28-077b-48b4-981d-21104f8134f6"/>
    <xsd:import namespace="9e8c748b-9673-4c43-b9e9-f6f47eed6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da28-077b-48b4-981d-21104f8134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a8603ae-3637-436a-adfc-4f3f468c9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748b-9673-4c43-b9e9-f6f47eed61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cbde1b-057e-4a17-a9b6-2fa292d2b0ef}" ma:internalName="TaxCatchAll" ma:showField="CatchAllData" ma:web="9e8c748b-9673-4c43-b9e9-f6f47eed6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2DD7A-76A6-40A8-8556-74F891675D7E}">
  <ds:schemaRefs>
    <ds:schemaRef ds:uri="http://schemas.microsoft.com/office/2006/metadata/properties"/>
    <ds:schemaRef ds:uri="http://schemas.microsoft.com/office/infopath/2007/PartnerControls"/>
    <ds:schemaRef ds:uri="9e8c748b-9673-4c43-b9e9-f6f47eed6137"/>
    <ds:schemaRef ds:uri="ad0eda28-077b-48b4-981d-21104f8134f6"/>
  </ds:schemaRefs>
</ds:datastoreItem>
</file>

<file path=customXml/itemProps2.xml><?xml version="1.0" encoding="utf-8"?>
<ds:datastoreItem xmlns:ds="http://schemas.openxmlformats.org/officeDocument/2006/customXml" ds:itemID="{101A7165-7933-4207-B555-4CFBF4C92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eda28-077b-48b4-981d-21104f8134f6"/>
    <ds:schemaRef ds:uri="9e8c748b-9673-4c43-b9e9-f6f47eed6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303DC5-36C3-4D01-A699-677E7E9556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12B5BB-8B19-4465-83ED-1D5DC648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1128</Words>
  <Characters>6435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Pawel Bartoszewicz</cp:lastModifiedBy>
  <cp:revision>144</cp:revision>
  <dcterms:created xsi:type="dcterms:W3CDTF">2025-08-15T06:49:00Z</dcterms:created>
  <dcterms:modified xsi:type="dcterms:W3CDTF">2025-08-18T07:09:00Z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01c4386eb9a1dc9de2fec12738f87015bcc4ef4c8803dccae430c9e60e042de1</vt:lpwstr>
  </property>
  <property fmtid="{D5CDD505-2E9C-101B-9397-08002B2CF9AE}" pid="3" name="ContentTypeId">
    <vt:lpwstr>0x010100C609ED7BA2763A478EDE0130F91B5123</vt:lpwstr>
  </property>
</Properties>
</file>