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CB6D" w14:textId="7AAF4B1D" w:rsidR="00E90BEF" w:rsidRPr="00BE1801" w:rsidRDefault="00BE1801" w:rsidP="00E90BEF">
      <w:pPr>
        <w:spacing w:after="0"/>
        <w:rPr>
          <w:rFonts w:ascii="Open Sans" w:hAnsi="Open Sans" w:cs="Open Sans"/>
          <w:sz w:val="20"/>
          <w:szCs w:val="20"/>
          <w:lang w:val="en-ZA"/>
        </w:rPr>
      </w:pPr>
      <w:r w:rsidRPr="00BE1801">
        <w:rPr>
          <w:rFonts w:ascii="Open Sans" w:hAnsi="Open Sans" w:cs="Open Sans"/>
          <w:sz w:val="20"/>
          <w:szCs w:val="20"/>
          <w:lang w:val="en-ZA"/>
        </w:rPr>
        <w:t xml:space="preserve">Joint </w:t>
      </w:r>
      <w:r w:rsidR="00E90BEF" w:rsidRPr="00BE1801">
        <w:rPr>
          <w:rFonts w:ascii="Open Sans" w:hAnsi="Open Sans" w:cs="Open Sans"/>
          <w:sz w:val="20"/>
          <w:szCs w:val="20"/>
          <w:lang w:val="en-ZA"/>
        </w:rPr>
        <w:t>Press release</w:t>
      </w:r>
      <w:r w:rsidRPr="00BE1801">
        <w:rPr>
          <w:rFonts w:ascii="Open Sans" w:hAnsi="Open Sans" w:cs="Open Sans"/>
          <w:sz w:val="20"/>
          <w:szCs w:val="20"/>
          <w:lang w:val="en-ZA"/>
        </w:rPr>
        <w:t xml:space="preserve"> from SAMRRA and Rode</w:t>
      </w:r>
    </w:p>
    <w:p w14:paraId="63F40708" w14:textId="63CC203D" w:rsidR="00E90BEF" w:rsidRPr="00BE1801" w:rsidRDefault="00BE1801" w:rsidP="00E90BEF">
      <w:pPr>
        <w:spacing w:after="0"/>
        <w:rPr>
          <w:rFonts w:ascii="Open Sans" w:hAnsi="Open Sans" w:cs="Open Sans"/>
          <w:sz w:val="20"/>
          <w:szCs w:val="20"/>
          <w:lang w:val="en-ZA"/>
        </w:rPr>
      </w:pPr>
      <w:r w:rsidRPr="00BE1801">
        <w:rPr>
          <w:rFonts w:ascii="Open Sans" w:hAnsi="Open Sans" w:cs="Open Sans"/>
          <w:sz w:val="20"/>
          <w:szCs w:val="20"/>
          <w:lang w:val="en-ZA"/>
        </w:rPr>
        <w:t>12 August</w:t>
      </w:r>
      <w:r w:rsidR="00E90BEF" w:rsidRPr="00BE1801">
        <w:rPr>
          <w:rFonts w:ascii="Open Sans" w:hAnsi="Open Sans" w:cs="Open Sans"/>
          <w:sz w:val="20"/>
          <w:szCs w:val="20"/>
          <w:lang w:val="en-ZA"/>
        </w:rPr>
        <w:t xml:space="preserve"> 2025</w:t>
      </w:r>
    </w:p>
    <w:p w14:paraId="1E0AF535" w14:textId="77777777" w:rsidR="00E90BEF" w:rsidRDefault="00E90BEF" w:rsidP="00E90BEF">
      <w:pPr>
        <w:spacing w:after="0"/>
        <w:rPr>
          <w:rFonts w:ascii="Open Sans" w:hAnsi="Open Sans" w:cs="Open Sans"/>
          <w:b/>
          <w:bCs/>
          <w:sz w:val="20"/>
          <w:szCs w:val="20"/>
          <w:lang w:val="en-ZA"/>
        </w:rPr>
      </w:pPr>
    </w:p>
    <w:p w14:paraId="57D90A10" w14:textId="1A0FF9B8" w:rsidR="001C578C" w:rsidRPr="00E90BEF" w:rsidRDefault="001C578C" w:rsidP="001C578C">
      <w:pPr>
        <w:spacing w:after="0"/>
        <w:jc w:val="center"/>
        <w:rPr>
          <w:rFonts w:ascii="Open Sans" w:hAnsi="Open Sans" w:cs="Open Sans"/>
          <w:b/>
          <w:bCs/>
          <w:sz w:val="28"/>
          <w:szCs w:val="28"/>
          <w:lang w:val="en-ZA"/>
        </w:rPr>
      </w:pPr>
      <w:r w:rsidRPr="00E90BEF">
        <w:rPr>
          <w:rFonts w:ascii="Open Sans" w:hAnsi="Open Sans" w:cs="Open Sans"/>
          <w:b/>
          <w:bCs/>
          <w:sz w:val="28"/>
          <w:szCs w:val="28"/>
          <w:lang w:val="en-ZA"/>
        </w:rPr>
        <w:t xml:space="preserve">Rode Report expands coverage to include multifamily rental housing </w:t>
      </w:r>
    </w:p>
    <w:p w14:paraId="08834791" w14:textId="655632F4" w:rsidR="001C578C" w:rsidRPr="00E90BEF" w:rsidRDefault="001C578C" w:rsidP="001C578C">
      <w:pPr>
        <w:spacing w:after="0"/>
        <w:jc w:val="center"/>
        <w:rPr>
          <w:rFonts w:ascii="Open Sans" w:hAnsi="Open Sans" w:cs="Open Sans"/>
          <w:i/>
          <w:iCs/>
          <w:sz w:val="20"/>
          <w:szCs w:val="20"/>
          <w:lang w:val="en-ZA"/>
        </w:rPr>
      </w:pPr>
      <w:r w:rsidRPr="00E90BEF">
        <w:rPr>
          <w:rFonts w:ascii="Open Sans" w:hAnsi="Open Sans" w:cs="Open Sans"/>
          <w:i/>
          <w:iCs/>
          <w:sz w:val="20"/>
          <w:szCs w:val="20"/>
          <w:lang w:val="en-ZA"/>
        </w:rPr>
        <w:t>SAMRRA collaboration brings greater transparency to a growing investment-grade asset class</w:t>
      </w:r>
    </w:p>
    <w:p w14:paraId="5902C1AC" w14:textId="77777777" w:rsidR="001C578C" w:rsidRPr="00E90BEF" w:rsidRDefault="001C578C" w:rsidP="001C578C">
      <w:pPr>
        <w:spacing w:after="0"/>
        <w:jc w:val="center"/>
        <w:rPr>
          <w:rFonts w:ascii="Open Sans" w:hAnsi="Open Sans" w:cs="Open Sans"/>
          <w:b/>
          <w:bCs/>
          <w:sz w:val="20"/>
          <w:szCs w:val="20"/>
          <w:lang w:val="en-ZA"/>
        </w:rPr>
      </w:pPr>
    </w:p>
    <w:p w14:paraId="5EE8B46F" w14:textId="3B71D862" w:rsidR="001C578C" w:rsidRPr="00E90BEF" w:rsidRDefault="001C578C" w:rsidP="001C578C">
      <w:pPr>
        <w:spacing w:after="0"/>
        <w:jc w:val="both"/>
        <w:rPr>
          <w:rFonts w:ascii="Open Sans" w:hAnsi="Open Sans" w:cs="Open Sans"/>
          <w:b/>
          <w:bCs/>
          <w:sz w:val="20"/>
          <w:szCs w:val="20"/>
          <w:lang w:val="en-ZA"/>
        </w:rPr>
      </w:pPr>
      <w:r w:rsidRPr="00E90BEF">
        <w:rPr>
          <w:rFonts w:ascii="Open Sans" w:hAnsi="Open Sans" w:cs="Open Sans"/>
          <w:b/>
          <w:bCs/>
          <w:sz w:val="20"/>
          <w:szCs w:val="20"/>
          <w:lang w:val="en-ZA"/>
        </w:rPr>
        <w:t xml:space="preserve">Rode </w:t>
      </w:r>
      <w:r w:rsidR="00983166">
        <w:rPr>
          <w:rFonts w:ascii="Open Sans" w:hAnsi="Open Sans" w:cs="Open Sans"/>
          <w:b/>
          <w:bCs/>
          <w:sz w:val="20"/>
          <w:szCs w:val="20"/>
          <w:lang w:val="en-ZA"/>
        </w:rPr>
        <w:t>Publication</w:t>
      </w:r>
      <w:r w:rsidR="009C465B">
        <w:rPr>
          <w:rFonts w:ascii="Open Sans" w:hAnsi="Open Sans" w:cs="Open Sans"/>
          <w:b/>
          <w:bCs/>
          <w:sz w:val="20"/>
          <w:szCs w:val="20"/>
          <w:lang w:val="en-ZA"/>
        </w:rPr>
        <w:t>s</w:t>
      </w:r>
      <w:r w:rsidR="00983166">
        <w:rPr>
          <w:rFonts w:ascii="Open Sans" w:hAnsi="Open Sans" w:cs="Open Sans"/>
          <w:b/>
          <w:bCs/>
          <w:sz w:val="20"/>
          <w:szCs w:val="20"/>
          <w:lang w:val="en-ZA"/>
        </w:rPr>
        <w:t xml:space="preserve"> &amp; Media</w:t>
      </w:r>
      <w:r w:rsidRPr="00E90BEF">
        <w:rPr>
          <w:rFonts w:ascii="Open Sans" w:hAnsi="Open Sans" w:cs="Open Sans"/>
          <w:b/>
          <w:bCs/>
          <w:sz w:val="20"/>
          <w:szCs w:val="20"/>
          <w:lang w:val="en-ZA"/>
        </w:rPr>
        <w:t xml:space="preserve"> has expanded its flagship Rode Report on the South African Property Market to include, for the first time, the multifamily residential rental sector. This new focus, introduced in collaboration with the South African Multifamily Residential Rental Association (SAMRRA), reflects the sector’s growing traction as a specialist asset class and continues the report’s comprehensive relevance at </w:t>
      </w:r>
      <w:r w:rsidR="005F1FEB">
        <w:rPr>
          <w:rFonts w:ascii="Open Sans" w:hAnsi="Open Sans" w:cs="Open Sans"/>
          <w:b/>
          <w:bCs/>
          <w:sz w:val="20"/>
          <w:szCs w:val="20"/>
          <w:lang w:val="en-ZA"/>
        </w:rPr>
        <w:t xml:space="preserve">the </w:t>
      </w:r>
      <w:r w:rsidRPr="00E90BEF">
        <w:rPr>
          <w:rFonts w:ascii="Open Sans" w:hAnsi="Open Sans" w:cs="Open Sans"/>
          <w:b/>
          <w:bCs/>
          <w:sz w:val="20"/>
          <w:szCs w:val="20"/>
          <w:lang w:val="en-ZA"/>
        </w:rPr>
        <w:t xml:space="preserve">national level. </w:t>
      </w:r>
    </w:p>
    <w:p w14:paraId="20E66F8A" w14:textId="77777777" w:rsidR="001C578C" w:rsidRPr="00E90BEF" w:rsidRDefault="001C578C" w:rsidP="001C578C">
      <w:pPr>
        <w:spacing w:after="0"/>
        <w:jc w:val="both"/>
        <w:rPr>
          <w:rFonts w:ascii="Open Sans" w:hAnsi="Open Sans" w:cs="Open Sans"/>
          <w:b/>
          <w:bCs/>
          <w:sz w:val="20"/>
          <w:szCs w:val="20"/>
          <w:lang w:val="en-ZA"/>
        </w:rPr>
      </w:pPr>
    </w:p>
    <w:p w14:paraId="205EE93B" w14:textId="32086702" w:rsidR="001C578C" w:rsidRPr="00E90BEF" w:rsidRDefault="001C578C" w:rsidP="001C578C">
      <w:pPr>
        <w:spacing w:after="0"/>
        <w:jc w:val="both"/>
        <w:rPr>
          <w:rFonts w:ascii="Open Sans" w:hAnsi="Open Sans" w:cs="Open Sans"/>
          <w:sz w:val="20"/>
          <w:szCs w:val="20"/>
          <w:lang w:val="en-ZA"/>
        </w:rPr>
      </w:pPr>
      <w:r w:rsidRPr="00E90BEF">
        <w:rPr>
          <w:rFonts w:ascii="Open Sans" w:hAnsi="Open Sans" w:cs="Open Sans"/>
          <w:sz w:val="20"/>
          <w:szCs w:val="20"/>
          <w:lang w:val="en-ZA"/>
        </w:rPr>
        <w:t xml:space="preserve">For decades, </w:t>
      </w:r>
      <w:r w:rsidR="0025306B">
        <w:rPr>
          <w:rFonts w:ascii="Open Sans" w:hAnsi="Open Sans" w:cs="Open Sans"/>
          <w:sz w:val="20"/>
          <w:szCs w:val="20"/>
          <w:lang w:val="en-ZA"/>
        </w:rPr>
        <w:t>t</w:t>
      </w:r>
      <w:r w:rsidR="00983166">
        <w:rPr>
          <w:rFonts w:ascii="Open Sans" w:hAnsi="Open Sans" w:cs="Open Sans"/>
          <w:sz w:val="20"/>
          <w:szCs w:val="20"/>
          <w:lang w:val="en-ZA"/>
        </w:rPr>
        <w:t xml:space="preserve">he </w:t>
      </w:r>
      <w:r w:rsidRPr="00E90BEF">
        <w:rPr>
          <w:rFonts w:ascii="Open Sans" w:hAnsi="Open Sans" w:cs="Open Sans"/>
          <w:sz w:val="20"/>
          <w:szCs w:val="20"/>
          <w:lang w:val="en-ZA"/>
        </w:rPr>
        <w:t xml:space="preserve">Rode Report has been </w:t>
      </w:r>
      <w:r w:rsidR="00983166">
        <w:rPr>
          <w:rFonts w:ascii="Open Sans" w:hAnsi="Open Sans" w:cs="Open Sans"/>
          <w:sz w:val="20"/>
          <w:szCs w:val="20"/>
          <w:lang w:val="en-ZA"/>
        </w:rPr>
        <w:t>the cornerstone of</w:t>
      </w:r>
      <w:r w:rsidR="00F9044E">
        <w:rPr>
          <w:rFonts w:ascii="Open Sans" w:hAnsi="Open Sans" w:cs="Open Sans"/>
          <w:sz w:val="20"/>
          <w:szCs w:val="20"/>
          <w:lang w:val="en-ZA"/>
        </w:rPr>
        <w:t xml:space="preserve"> market intelligence in</w:t>
      </w:r>
      <w:r w:rsidR="00983166">
        <w:rPr>
          <w:rFonts w:ascii="Open Sans" w:hAnsi="Open Sans" w:cs="Open Sans"/>
          <w:sz w:val="20"/>
          <w:szCs w:val="20"/>
          <w:lang w:val="en-ZA"/>
        </w:rPr>
        <w:t xml:space="preserve"> the South African property</w:t>
      </w:r>
      <w:r w:rsidR="001C2B20">
        <w:rPr>
          <w:rFonts w:ascii="Open Sans" w:hAnsi="Open Sans" w:cs="Open Sans"/>
          <w:sz w:val="20"/>
          <w:szCs w:val="20"/>
          <w:lang w:val="en-ZA"/>
        </w:rPr>
        <w:t xml:space="preserve"> market</w:t>
      </w:r>
      <w:r w:rsidRPr="00E90BEF">
        <w:rPr>
          <w:rFonts w:ascii="Open Sans" w:hAnsi="Open Sans" w:cs="Open Sans"/>
          <w:sz w:val="20"/>
          <w:szCs w:val="20"/>
          <w:lang w:val="en-ZA"/>
        </w:rPr>
        <w:t xml:space="preserve">, </w:t>
      </w:r>
      <w:r w:rsidR="00F9044E">
        <w:rPr>
          <w:rFonts w:ascii="Open Sans" w:hAnsi="Open Sans" w:cs="Open Sans"/>
          <w:sz w:val="20"/>
          <w:szCs w:val="20"/>
          <w:lang w:val="en-ZA"/>
        </w:rPr>
        <w:t xml:space="preserve">offering in-depth analysis </w:t>
      </w:r>
      <w:r w:rsidR="005F1FEB">
        <w:rPr>
          <w:rFonts w:ascii="Open Sans" w:hAnsi="Open Sans" w:cs="Open Sans"/>
          <w:sz w:val="20"/>
          <w:szCs w:val="20"/>
          <w:lang w:val="en-ZA"/>
        </w:rPr>
        <w:t>of</w:t>
      </w:r>
      <w:r w:rsidR="00C128E5">
        <w:rPr>
          <w:rFonts w:ascii="Open Sans" w:hAnsi="Open Sans" w:cs="Open Sans"/>
          <w:sz w:val="20"/>
          <w:szCs w:val="20"/>
          <w:lang w:val="en-ZA"/>
        </w:rPr>
        <w:t xml:space="preserve"> </w:t>
      </w:r>
      <w:r w:rsidRPr="00E90BEF">
        <w:rPr>
          <w:rFonts w:ascii="Open Sans" w:hAnsi="Open Sans" w:cs="Open Sans"/>
          <w:sz w:val="20"/>
          <w:szCs w:val="20"/>
          <w:lang w:val="en-ZA"/>
        </w:rPr>
        <w:t xml:space="preserve">trends across </w:t>
      </w:r>
      <w:r w:rsidR="00C128E5">
        <w:rPr>
          <w:rFonts w:ascii="Open Sans" w:hAnsi="Open Sans" w:cs="Open Sans"/>
          <w:sz w:val="20"/>
          <w:szCs w:val="20"/>
          <w:lang w:val="en-ZA"/>
        </w:rPr>
        <w:t xml:space="preserve">the </w:t>
      </w:r>
      <w:r w:rsidRPr="00E90BEF">
        <w:rPr>
          <w:rFonts w:ascii="Open Sans" w:hAnsi="Open Sans" w:cs="Open Sans"/>
          <w:sz w:val="20"/>
          <w:szCs w:val="20"/>
          <w:lang w:val="en-ZA"/>
        </w:rPr>
        <w:t>commercial, industrial</w:t>
      </w:r>
      <w:r w:rsidR="005F1FEB">
        <w:rPr>
          <w:rFonts w:ascii="Open Sans" w:hAnsi="Open Sans" w:cs="Open Sans"/>
          <w:sz w:val="20"/>
          <w:szCs w:val="20"/>
          <w:lang w:val="en-ZA"/>
        </w:rPr>
        <w:t>,</w:t>
      </w:r>
      <w:r w:rsidRPr="00E90BEF">
        <w:rPr>
          <w:rFonts w:ascii="Open Sans" w:hAnsi="Open Sans" w:cs="Open Sans"/>
          <w:sz w:val="20"/>
          <w:szCs w:val="20"/>
          <w:lang w:val="en-ZA"/>
        </w:rPr>
        <w:t xml:space="preserve"> and residential sectors</w:t>
      </w:r>
      <w:r w:rsidR="00C128E5">
        <w:rPr>
          <w:rFonts w:ascii="Open Sans" w:hAnsi="Open Sans" w:cs="Open Sans"/>
          <w:sz w:val="20"/>
          <w:szCs w:val="20"/>
          <w:lang w:val="en-ZA"/>
        </w:rPr>
        <w:t xml:space="preserve">.  </w:t>
      </w:r>
    </w:p>
    <w:p w14:paraId="3264E102" w14:textId="77777777" w:rsidR="001C578C" w:rsidRPr="00E90BEF" w:rsidRDefault="001C578C" w:rsidP="001C578C">
      <w:pPr>
        <w:spacing w:after="0"/>
        <w:jc w:val="both"/>
        <w:rPr>
          <w:rFonts w:ascii="Open Sans" w:hAnsi="Open Sans" w:cs="Open Sans"/>
          <w:sz w:val="20"/>
          <w:szCs w:val="20"/>
          <w:lang w:val="en-ZA"/>
        </w:rPr>
      </w:pPr>
    </w:p>
    <w:p w14:paraId="74264D47" w14:textId="7524E25A" w:rsidR="001C578C" w:rsidRDefault="005F1FEB" w:rsidP="001C578C">
      <w:pPr>
        <w:spacing w:after="0"/>
        <w:jc w:val="both"/>
        <w:rPr>
          <w:rFonts w:ascii="Open Sans" w:hAnsi="Open Sans" w:cs="Open Sans"/>
          <w:sz w:val="20"/>
          <w:szCs w:val="20"/>
          <w:lang w:val="en-ZA"/>
        </w:rPr>
      </w:pPr>
      <w:r>
        <w:rPr>
          <w:rFonts w:ascii="Open Sans" w:hAnsi="Open Sans" w:cs="Open Sans"/>
          <w:kern w:val="0"/>
          <w:sz w:val="20"/>
          <w:szCs w:val="20"/>
          <w:lang w:val="en-ZA"/>
          <w14:ligatures w14:val="none"/>
        </w:rPr>
        <w:t xml:space="preserve">Compiled by Rode’s property economics team, the report draws on extensive opinion-based surveys of market rents, vacancies, and capitalisation rates across metropolitan and secondary cities, alongside various reputable independent data sources. Since its inception over 30 years ago, the Rode Report is widely seen as a key </w:t>
      </w:r>
      <w:r w:rsidR="001D311A">
        <w:rPr>
          <w:rFonts w:ascii="Open Sans" w:hAnsi="Open Sans" w:cs="Open Sans"/>
          <w:kern w:val="0"/>
          <w:sz w:val="20"/>
          <w:szCs w:val="20"/>
          <w:lang w:val="en-ZA"/>
          <w14:ligatures w14:val="none"/>
        </w:rPr>
        <w:t xml:space="preserve">reference point </w:t>
      </w:r>
      <w:r>
        <w:rPr>
          <w:rFonts w:ascii="Open Sans" w:hAnsi="Open Sans" w:cs="Open Sans"/>
          <w:kern w:val="0"/>
          <w:sz w:val="20"/>
          <w:szCs w:val="20"/>
          <w:lang w:val="en-ZA"/>
          <w14:ligatures w14:val="none"/>
        </w:rPr>
        <w:t>for investors, lenders, and developers.</w:t>
      </w:r>
    </w:p>
    <w:p w14:paraId="3BFE7B3F" w14:textId="77777777" w:rsidR="0012787C" w:rsidRPr="00E90BEF" w:rsidRDefault="0012787C" w:rsidP="001C578C">
      <w:pPr>
        <w:spacing w:after="0"/>
        <w:jc w:val="both"/>
        <w:rPr>
          <w:rFonts w:ascii="Open Sans" w:hAnsi="Open Sans" w:cs="Open Sans"/>
          <w:sz w:val="20"/>
          <w:szCs w:val="20"/>
          <w:lang w:val="en-ZA"/>
        </w:rPr>
      </w:pPr>
    </w:p>
    <w:p w14:paraId="7C6F9C9E" w14:textId="159A9209" w:rsidR="001C578C" w:rsidRPr="00E90BEF" w:rsidRDefault="001C578C" w:rsidP="001C578C">
      <w:pPr>
        <w:spacing w:after="0"/>
        <w:jc w:val="both"/>
        <w:rPr>
          <w:rFonts w:ascii="Open Sans" w:hAnsi="Open Sans" w:cs="Open Sans"/>
          <w:sz w:val="20"/>
          <w:szCs w:val="20"/>
          <w:lang w:val="en-ZA"/>
        </w:rPr>
      </w:pPr>
      <w:r w:rsidRPr="00E90BEF">
        <w:rPr>
          <w:rFonts w:ascii="Open Sans" w:hAnsi="Open Sans" w:cs="Open Sans"/>
          <w:sz w:val="20"/>
          <w:szCs w:val="20"/>
          <w:lang w:val="en-ZA"/>
        </w:rPr>
        <w:t xml:space="preserve">Until now, multifamily </w:t>
      </w:r>
      <w:r w:rsidR="00343971">
        <w:rPr>
          <w:rFonts w:ascii="Open Sans" w:hAnsi="Open Sans" w:cs="Open Sans"/>
          <w:sz w:val="20"/>
          <w:szCs w:val="20"/>
          <w:lang w:val="en-ZA"/>
        </w:rPr>
        <w:t>housing</w:t>
      </w:r>
      <w:r w:rsidR="00343971" w:rsidRPr="00E90BEF">
        <w:rPr>
          <w:rFonts w:ascii="Open Sans" w:hAnsi="Open Sans" w:cs="Open Sans"/>
          <w:sz w:val="20"/>
          <w:szCs w:val="20"/>
          <w:lang w:val="en-ZA"/>
        </w:rPr>
        <w:t xml:space="preserve"> </w:t>
      </w:r>
      <w:r w:rsidR="006265C5">
        <w:rPr>
          <w:rFonts w:ascii="Open Sans" w:hAnsi="Open Sans" w:cs="Open Sans"/>
          <w:sz w:val="20"/>
          <w:szCs w:val="20"/>
          <w:lang w:val="en-ZA"/>
        </w:rPr>
        <w:t>–</w:t>
      </w:r>
      <w:r w:rsidRPr="00E90BEF">
        <w:rPr>
          <w:rFonts w:ascii="Open Sans" w:hAnsi="Open Sans" w:cs="Open Sans"/>
          <w:sz w:val="20"/>
          <w:szCs w:val="20"/>
          <w:lang w:val="en-ZA"/>
        </w:rPr>
        <w:t xml:space="preserve"> </w:t>
      </w:r>
      <w:r w:rsidR="005F1FEB">
        <w:rPr>
          <w:rFonts w:ascii="Open Sans" w:hAnsi="Open Sans" w:cs="Open Sans"/>
          <w:sz w:val="20"/>
          <w:szCs w:val="20"/>
          <w:lang w:val="en-ZA"/>
        </w:rPr>
        <w:t>large-</w:t>
      </w:r>
      <w:r w:rsidR="006265C5">
        <w:rPr>
          <w:rFonts w:ascii="Open Sans" w:hAnsi="Open Sans" w:cs="Open Sans"/>
          <w:sz w:val="20"/>
          <w:szCs w:val="20"/>
          <w:lang w:val="en-ZA"/>
        </w:rPr>
        <w:t xml:space="preserve">scale, </w:t>
      </w:r>
      <w:r w:rsidRPr="00E90BEF">
        <w:rPr>
          <w:rFonts w:ascii="Open Sans" w:hAnsi="Open Sans" w:cs="Open Sans"/>
          <w:sz w:val="20"/>
          <w:szCs w:val="20"/>
          <w:lang w:val="en-ZA"/>
        </w:rPr>
        <w:t>professionally managed apartment buildings and rental estates</w:t>
      </w:r>
      <w:r w:rsidR="00343971">
        <w:rPr>
          <w:rFonts w:ascii="Open Sans" w:hAnsi="Open Sans" w:cs="Open Sans"/>
          <w:sz w:val="20"/>
          <w:szCs w:val="20"/>
          <w:lang w:val="en-ZA"/>
        </w:rPr>
        <w:t xml:space="preserve"> built for rental purposes</w:t>
      </w:r>
      <w:r w:rsidRPr="00E90BEF">
        <w:rPr>
          <w:rFonts w:ascii="Open Sans" w:hAnsi="Open Sans" w:cs="Open Sans"/>
          <w:sz w:val="20"/>
          <w:szCs w:val="20"/>
          <w:lang w:val="en-ZA"/>
        </w:rPr>
        <w:t xml:space="preserve"> </w:t>
      </w:r>
      <w:r w:rsidR="00343971">
        <w:rPr>
          <w:rFonts w:ascii="Open Sans" w:hAnsi="Open Sans" w:cs="Open Sans"/>
          <w:sz w:val="20"/>
          <w:szCs w:val="20"/>
          <w:lang w:val="en-ZA"/>
        </w:rPr>
        <w:t>–</w:t>
      </w:r>
      <w:r w:rsidRPr="00E90BEF">
        <w:rPr>
          <w:rFonts w:ascii="Open Sans" w:hAnsi="Open Sans" w:cs="Open Sans"/>
          <w:sz w:val="20"/>
          <w:szCs w:val="20"/>
          <w:lang w:val="en-ZA"/>
        </w:rPr>
        <w:t xml:space="preserve"> were not separately tracked in the report. That </w:t>
      </w:r>
      <w:r w:rsidR="0012787C">
        <w:rPr>
          <w:rFonts w:ascii="Open Sans" w:hAnsi="Open Sans" w:cs="Open Sans"/>
          <w:sz w:val="20"/>
          <w:szCs w:val="20"/>
          <w:lang w:val="en-ZA"/>
        </w:rPr>
        <w:t>will chang</w:t>
      </w:r>
      <w:r w:rsidR="0012787C" w:rsidRPr="008E2153">
        <w:rPr>
          <w:rFonts w:ascii="Open Sans" w:hAnsi="Open Sans" w:cs="Open Sans"/>
          <w:sz w:val="20"/>
          <w:szCs w:val="20"/>
          <w:lang w:val="en-ZA"/>
        </w:rPr>
        <w:t xml:space="preserve">e </w:t>
      </w:r>
      <w:r w:rsidR="008E2153" w:rsidRPr="008E2153">
        <w:rPr>
          <w:rFonts w:ascii="Open Sans" w:hAnsi="Open Sans" w:cs="Open Sans"/>
          <w:sz w:val="20"/>
          <w:szCs w:val="20"/>
          <w:lang w:val="en-ZA"/>
        </w:rPr>
        <w:t xml:space="preserve">from </w:t>
      </w:r>
      <w:r w:rsidR="0012787C">
        <w:rPr>
          <w:rFonts w:ascii="Open Sans" w:hAnsi="Open Sans" w:cs="Open Sans"/>
          <w:sz w:val="20"/>
          <w:szCs w:val="20"/>
          <w:lang w:val="en-ZA"/>
        </w:rPr>
        <w:t>this</w:t>
      </w:r>
      <w:r w:rsidRPr="00E90BEF">
        <w:rPr>
          <w:rFonts w:ascii="Open Sans" w:hAnsi="Open Sans" w:cs="Open Sans"/>
          <w:sz w:val="20"/>
          <w:szCs w:val="20"/>
          <w:lang w:val="en-ZA"/>
        </w:rPr>
        <w:t xml:space="preserve"> quarter, with the inclusion of dedicated data and analysis on this growing sector</w:t>
      </w:r>
      <w:r w:rsidR="00C128E5">
        <w:rPr>
          <w:rFonts w:ascii="Open Sans" w:hAnsi="Open Sans" w:cs="Open Sans"/>
          <w:sz w:val="20"/>
          <w:szCs w:val="20"/>
          <w:lang w:val="en-ZA"/>
        </w:rPr>
        <w:t>.</w:t>
      </w:r>
    </w:p>
    <w:p w14:paraId="48A3541A" w14:textId="77777777" w:rsidR="001C578C" w:rsidRPr="00E90BEF" w:rsidRDefault="001C578C" w:rsidP="001C578C">
      <w:pPr>
        <w:spacing w:after="0"/>
        <w:jc w:val="both"/>
        <w:rPr>
          <w:rFonts w:ascii="Open Sans" w:hAnsi="Open Sans" w:cs="Open Sans"/>
          <w:sz w:val="20"/>
          <w:szCs w:val="20"/>
          <w:lang w:val="en-ZA"/>
        </w:rPr>
      </w:pPr>
    </w:p>
    <w:p w14:paraId="60D8551A" w14:textId="7BE52203" w:rsidR="001C578C" w:rsidRPr="00E90BEF" w:rsidRDefault="005F1FEB" w:rsidP="001C578C">
      <w:pPr>
        <w:spacing w:after="0"/>
        <w:jc w:val="both"/>
        <w:rPr>
          <w:rFonts w:ascii="Open Sans" w:hAnsi="Open Sans" w:cs="Open Sans"/>
          <w:sz w:val="20"/>
          <w:szCs w:val="20"/>
          <w:lang w:val="en-ZA"/>
        </w:rPr>
      </w:pPr>
      <w:r>
        <w:rPr>
          <w:rFonts w:ascii="Open Sans" w:hAnsi="Open Sans" w:cs="Open Sans"/>
          <w:kern w:val="0"/>
          <w:sz w:val="20"/>
          <w:szCs w:val="20"/>
          <w:lang w:val="en-ZA"/>
          <w14:ligatures w14:val="none"/>
        </w:rPr>
        <w:t>By incorporating multifamily (rental) data alongside its traditional coverage of office, industrial, and residential markets, the report will now provide a more comprehensive view of the South African property landscape in a single source. This will support the sector’s robust performance, which has been driven by increasing interest and substantial institutional investment.</w:t>
      </w:r>
    </w:p>
    <w:p w14:paraId="3893D8FD" w14:textId="77777777" w:rsidR="001C578C" w:rsidRPr="00E90BEF" w:rsidRDefault="001C578C" w:rsidP="001C578C">
      <w:pPr>
        <w:spacing w:after="0"/>
        <w:jc w:val="both"/>
        <w:rPr>
          <w:rFonts w:ascii="Open Sans" w:hAnsi="Open Sans" w:cs="Open Sans"/>
          <w:sz w:val="20"/>
          <w:szCs w:val="20"/>
          <w:lang w:val="en-ZA"/>
        </w:rPr>
      </w:pPr>
    </w:p>
    <w:p w14:paraId="6645C273" w14:textId="1C592F5B" w:rsidR="001C578C" w:rsidRPr="00E90BEF" w:rsidRDefault="005F1FEB" w:rsidP="001C578C">
      <w:pPr>
        <w:spacing w:after="0"/>
        <w:jc w:val="both"/>
        <w:rPr>
          <w:rFonts w:ascii="Open Sans" w:hAnsi="Open Sans" w:cs="Open Sans"/>
          <w:sz w:val="20"/>
          <w:szCs w:val="20"/>
          <w:lang w:val="en-ZA"/>
        </w:rPr>
      </w:pPr>
      <w:r>
        <w:rPr>
          <w:rFonts w:ascii="Open Sans" w:hAnsi="Open Sans" w:cs="Open Sans"/>
          <w:kern w:val="0"/>
          <w:sz w:val="20"/>
          <w:szCs w:val="20"/>
          <w14:ligatures w14:val="none"/>
        </w:rPr>
        <w:t>Established in 2024, SAMRRA serves as an industry body that has considerably advanced transparency within the sector. Historically, the institutional rental housing market has lacked reliable data, which has hindered its visibility. Today, however, data supplied by SAMRRA members is improving investment decision-making and boosting confidence in the sector.</w:t>
      </w:r>
      <w:r>
        <w:rPr>
          <w:rFonts w:ascii="Open Sans" w:hAnsi="Open Sans" w:cs="Open Sans"/>
          <w:kern w:val="0"/>
          <w:sz w:val="20"/>
          <w:szCs w:val="20"/>
          <w:lang w:val="en-ZA"/>
          <w14:ligatures w14:val="none"/>
        </w:rPr>
        <w:t> </w:t>
      </w:r>
    </w:p>
    <w:p w14:paraId="417A9684" w14:textId="77777777" w:rsidR="001C578C" w:rsidRPr="00E90BEF" w:rsidRDefault="001C578C" w:rsidP="001C578C">
      <w:pPr>
        <w:spacing w:after="0"/>
        <w:jc w:val="both"/>
        <w:rPr>
          <w:rFonts w:ascii="Open Sans" w:hAnsi="Open Sans" w:cs="Open Sans"/>
          <w:sz w:val="20"/>
          <w:szCs w:val="20"/>
          <w:lang w:val="en-ZA"/>
        </w:rPr>
      </w:pPr>
    </w:p>
    <w:p w14:paraId="046EB253" w14:textId="7E7B0E62" w:rsidR="005F1FEB" w:rsidRPr="00E90BEF" w:rsidRDefault="005F1FEB" w:rsidP="001C578C">
      <w:pPr>
        <w:spacing w:after="0"/>
        <w:jc w:val="both"/>
        <w:rPr>
          <w:rFonts w:ascii="Open Sans" w:hAnsi="Open Sans" w:cs="Open Sans"/>
          <w:sz w:val="20"/>
          <w:szCs w:val="20"/>
          <w:lang w:val="en-ZA"/>
        </w:rPr>
      </w:pPr>
      <w:r w:rsidRPr="005F1FEB">
        <w:rPr>
          <w:rFonts w:ascii="Open Sans" w:hAnsi="Open Sans" w:cs="Open Sans"/>
          <w:sz w:val="20"/>
          <w:szCs w:val="20"/>
          <w:lang w:val="en-ZA"/>
        </w:rPr>
        <w:t xml:space="preserve">Published quarterly, the Rode Report will now provide an even more comprehensive review of the residential sector's performance, </w:t>
      </w:r>
      <w:proofErr w:type="gramStart"/>
      <w:r w:rsidRPr="005F1FEB">
        <w:rPr>
          <w:rFonts w:ascii="Open Sans" w:hAnsi="Open Sans" w:cs="Open Sans"/>
          <w:sz w:val="20"/>
          <w:szCs w:val="20"/>
          <w:lang w:val="en-ZA"/>
        </w:rPr>
        <w:t>recognising</w:t>
      </w:r>
      <w:proofErr w:type="gramEnd"/>
      <w:r w:rsidRPr="005F1FEB">
        <w:rPr>
          <w:rFonts w:ascii="Open Sans" w:hAnsi="Open Sans" w:cs="Open Sans"/>
          <w:sz w:val="20"/>
          <w:szCs w:val="20"/>
          <w:lang w:val="en-ZA"/>
        </w:rPr>
        <w:t xml:space="preserve"> the maturity of the multifamily rental market and supporting more informed strategic decisions. The data covered will include vacancies, rentals, and tenant arrears, supported by input from SAMRRA to offer essential benchmarks to developers, policymakers, and investors. </w:t>
      </w:r>
    </w:p>
    <w:p w14:paraId="46AE6B3F" w14:textId="77777777" w:rsidR="001C578C" w:rsidRPr="00E90BEF" w:rsidRDefault="001C578C" w:rsidP="001C578C">
      <w:pPr>
        <w:spacing w:after="0"/>
        <w:jc w:val="both"/>
        <w:rPr>
          <w:rFonts w:ascii="Open Sans" w:hAnsi="Open Sans" w:cs="Open Sans"/>
          <w:sz w:val="20"/>
          <w:szCs w:val="20"/>
          <w:lang w:val="en-ZA"/>
        </w:rPr>
      </w:pPr>
    </w:p>
    <w:p w14:paraId="2BEF9B34" w14:textId="675024A8" w:rsidR="005F1FEB" w:rsidRPr="00E90BEF" w:rsidRDefault="005F1FEB" w:rsidP="001C578C">
      <w:pPr>
        <w:spacing w:after="0"/>
        <w:jc w:val="both"/>
        <w:rPr>
          <w:rFonts w:ascii="Open Sans" w:hAnsi="Open Sans" w:cs="Open Sans"/>
          <w:b/>
          <w:bCs/>
          <w:sz w:val="20"/>
          <w:szCs w:val="20"/>
          <w:lang w:val="en-ZA"/>
        </w:rPr>
      </w:pPr>
      <w:r w:rsidRPr="005F1FEB">
        <w:rPr>
          <w:rFonts w:ascii="Open Sans" w:hAnsi="Open Sans" w:cs="Open Sans"/>
          <w:sz w:val="20"/>
          <w:szCs w:val="20"/>
          <w:lang w:val="en-ZA"/>
        </w:rPr>
        <w:lastRenderedPageBreak/>
        <w:t xml:space="preserve">Rode Publications views the addition as a natural progression. </w:t>
      </w:r>
      <w:r w:rsidRPr="008E2153">
        <w:rPr>
          <w:rFonts w:ascii="Open Sans" w:hAnsi="Open Sans" w:cs="Open Sans"/>
          <w:i/>
          <w:iCs/>
          <w:sz w:val="20"/>
          <w:szCs w:val="20"/>
          <w:lang w:val="en-ZA"/>
        </w:rPr>
        <w:t>“We are dedicated to continuously enhancing the quality and depth of the market intelligence we provide. As multifamily rental housing gains recognition as an asset class in South Africa, it is both timely and suitable that the Rode Report reflects this developing trend,”</w:t>
      </w:r>
      <w:r w:rsidRPr="005F1FEB">
        <w:rPr>
          <w:rFonts w:ascii="Open Sans" w:hAnsi="Open Sans" w:cs="Open Sans"/>
          <w:sz w:val="20"/>
          <w:szCs w:val="20"/>
          <w:lang w:val="en-ZA"/>
        </w:rPr>
        <w:t xml:space="preserve"> says </w:t>
      </w:r>
      <w:r w:rsidRPr="008E2153">
        <w:rPr>
          <w:rFonts w:ascii="Open Sans" w:hAnsi="Open Sans" w:cs="Open Sans"/>
          <w:b/>
          <w:bCs/>
          <w:sz w:val="20"/>
          <w:szCs w:val="20"/>
          <w:lang w:val="en-ZA"/>
        </w:rPr>
        <w:t>Kobus Lamprecht, Rode</w:t>
      </w:r>
      <w:r w:rsidR="00E83210">
        <w:rPr>
          <w:rFonts w:ascii="Open Sans" w:hAnsi="Open Sans" w:cs="Open Sans"/>
          <w:b/>
          <w:bCs/>
          <w:sz w:val="20"/>
          <w:szCs w:val="20"/>
          <w:lang w:val="en-ZA"/>
        </w:rPr>
        <w:t xml:space="preserve"> Publications &amp; Media’s</w:t>
      </w:r>
      <w:r w:rsidRPr="008E2153">
        <w:rPr>
          <w:rFonts w:ascii="Open Sans" w:hAnsi="Open Sans" w:cs="Open Sans"/>
          <w:b/>
          <w:bCs/>
          <w:sz w:val="20"/>
          <w:szCs w:val="20"/>
          <w:lang w:val="en-ZA"/>
        </w:rPr>
        <w:t xml:space="preserve"> Chief Economist and editor of the Rode Report</w:t>
      </w:r>
      <w:r w:rsidRPr="005F1FEB">
        <w:rPr>
          <w:rFonts w:ascii="Open Sans" w:hAnsi="Open Sans" w:cs="Open Sans"/>
          <w:sz w:val="20"/>
          <w:szCs w:val="20"/>
          <w:lang w:val="en-ZA"/>
        </w:rPr>
        <w:t>.</w:t>
      </w:r>
    </w:p>
    <w:p w14:paraId="209EEF4B" w14:textId="77777777" w:rsidR="001C578C" w:rsidRPr="00E90BEF" w:rsidRDefault="001C578C" w:rsidP="001C578C">
      <w:pPr>
        <w:spacing w:after="0"/>
        <w:jc w:val="both"/>
        <w:rPr>
          <w:rFonts w:ascii="Open Sans" w:hAnsi="Open Sans" w:cs="Open Sans"/>
          <w:sz w:val="20"/>
          <w:szCs w:val="20"/>
          <w:lang w:val="en-ZA"/>
        </w:rPr>
      </w:pPr>
    </w:p>
    <w:p w14:paraId="5E1B15F9" w14:textId="1CF4161A" w:rsidR="005F1FEB" w:rsidRPr="00E90BEF" w:rsidRDefault="000E00C6" w:rsidP="001C578C">
      <w:pPr>
        <w:spacing w:after="0"/>
        <w:jc w:val="both"/>
        <w:rPr>
          <w:rFonts w:ascii="Open Sans" w:hAnsi="Open Sans" w:cs="Open Sans"/>
          <w:b/>
          <w:bCs/>
          <w:sz w:val="20"/>
          <w:szCs w:val="20"/>
          <w:lang w:val="en-ZA"/>
        </w:rPr>
      </w:pPr>
      <w:r>
        <w:rPr>
          <w:rFonts w:ascii="Open Sans" w:hAnsi="Open Sans" w:cs="Open Sans"/>
          <w:i/>
          <w:iCs/>
          <w:sz w:val="20"/>
          <w:szCs w:val="20"/>
          <w:lang w:val="en-ZA"/>
        </w:rPr>
        <w:t>“</w:t>
      </w:r>
      <w:r w:rsidR="005F1FEB" w:rsidRPr="005F1FEB">
        <w:rPr>
          <w:rFonts w:ascii="Open Sans" w:hAnsi="Open Sans" w:cs="Open Sans"/>
          <w:i/>
          <w:iCs/>
          <w:sz w:val="20"/>
          <w:szCs w:val="20"/>
          <w:lang w:val="en-ZA"/>
        </w:rPr>
        <w:t xml:space="preserve">SAMRRA’s research to date reinforces the fundamental strengths and investment case behind professionally managed rental housing, while increased data transparency continues to strengthen the sector’s relevance in South Africa. We are pleased to enhance this transparency and share valuable metrics from our expanding base of institutional landlord members through the esteemed Rode Report,” </w:t>
      </w:r>
      <w:r w:rsidR="005F1FEB" w:rsidRPr="008E2153">
        <w:rPr>
          <w:rFonts w:ascii="Open Sans" w:hAnsi="Open Sans" w:cs="Open Sans"/>
          <w:sz w:val="20"/>
          <w:szCs w:val="20"/>
          <w:lang w:val="en-ZA"/>
        </w:rPr>
        <w:t xml:space="preserve">says </w:t>
      </w:r>
      <w:r w:rsidR="00360B42" w:rsidRPr="00360B42">
        <w:rPr>
          <w:rFonts w:ascii="Open Sans" w:hAnsi="Open Sans" w:cs="Open Sans"/>
          <w:b/>
          <w:bCs/>
          <w:sz w:val="20"/>
          <w:szCs w:val="20"/>
          <w:lang w:val="en-ZA"/>
        </w:rPr>
        <w:t>Palesa Mkhize</w:t>
      </w:r>
      <w:r w:rsidR="009C2D4C">
        <w:rPr>
          <w:rFonts w:ascii="Open Sans" w:hAnsi="Open Sans" w:cs="Open Sans"/>
          <w:sz w:val="20"/>
          <w:szCs w:val="20"/>
          <w:lang w:val="en-ZA"/>
        </w:rPr>
        <w:t xml:space="preserve">, </w:t>
      </w:r>
      <w:r w:rsidR="009C2D4C" w:rsidRPr="009C2D4C">
        <w:rPr>
          <w:rFonts w:ascii="Open Sans" w:hAnsi="Open Sans" w:cs="Open Sans"/>
          <w:b/>
          <w:bCs/>
          <w:sz w:val="20"/>
          <w:szCs w:val="20"/>
          <w:lang w:val="en-ZA"/>
        </w:rPr>
        <w:t>CEO of SAMRRA.</w:t>
      </w:r>
      <w:r w:rsidR="005F1FEB" w:rsidRPr="005F1FEB" w:rsidDel="005F1FEB">
        <w:rPr>
          <w:rFonts w:ascii="Open Sans" w:hAnsi="Open Sans" w:cs="Open Sans"/>
          <w:i/>
          <w:iCs/>
          <w:sz w:val="20"/>
          <w:szCs w:val="20"/>
          <w:lang w:val="en-ZA"/>
        </w:rPr>
        <w:t xml:space="preserve"> </w:t>
      </w:r>
    </w:p>
    <w:p w14:paraId="5B4569B2" w14:textId="77777777" w:rsidR="001C578C" w:rsidRPr="00E90BEF" w:rsidRDefault="001C578C" w:rsidP="001C578C">
      <w:pPr>
        <w:spacing w:after="0"/>
        <w:jc w:val="both"/>
        <w:rPr>
          <w:rFonts w:ascii="Open Sans" w:hAnsi="Open Sans" w:cs="Open Sans"/>
          <w:sz w:val="20"/>
          <w:szCs w:val="20"/>
          <w:lang w:val="en-ZA"/>
        </w:rPr>
      </w:pPr>
    </w:p>
    <w:p w14:paraId="3B049FC0" w14:textId="18BD42DE" w:rsidR="005F1FEB" w:rsidRPr="00E90BEF" w:rsidRDefault="005F1FEB" w:rsidP="001C578C">
      <w:pPr>
        <w:spacing w:after="0"/>
        <w:jc w:val="both"/>
        <w:rPr>
          <w:rFonts w:ascii="Open Sans" w:hAnsi="Open Sans" w:cs="Open Sans"/>
          <w:sz w:val="20"/>
          <w:szCs w:val="20"/>
          <w:lang w:val="en-ZA"/>
        </w:rPr>
      </w:pPr>
      <w:r w:rsidRPr="005F1FEB">
        <w:rPr>
          <w:rFonts w:ascii="Open Sans" w:hAnsi="Open Sans" w:cs="Open Sans"/>
          <w:sz w:val="20"/>
          <w:szCs w:val="20"/>
          <w:lang w:val="en-ZA"/>
        </w:rPr>
        <w:t xml:space="preserve">Previous SAMRRA research shows purpose-built rental housing in South Africa has proven resilient, with large portfolios consistently achieving high occupancy rates of over 95%, rent collection rates surpassing 98%, and tenant arrears staying below 1%. These figures match or outperform many commercial property sectors, with multifamily rental housing earning a reputation for stable, </w:t>
      </w:r>
      <w:proofErr w:type="gramStart"/>
      <w:r w:rsidRPr="005F1FEB">
        <w:rPr>
          <w:rFonts w:ascii="Open Sans" w:hAnsi="Open Sans" w:cs="Open Sans"/>
          <w:sz w:val="20"/>
          <w:szCs w:val="20"/>
          <w:lang w:val="en-ZA"/>
        </w:rPr>
        <w:t>lower-risk</w:t>
      </w:r>
      <w:proofErr w:type="gramEnd"/>
      <w:r w:rsidRPr="005F1FEB">
        <w:rPr>
          <w:rFonts w:ascii="Open Sans" w:hAnsi="Open Sans" w:cs="Open Sans"/>
          <w:sz w:val="20"/>
          <w:szCs w:val="20"/>
          <w:lang w:val="en-ZA"/>
        </w:rPr>
        <w:t xml:space="preserve"> returns. </w:t>
      </w:r>
    </w:p>
    <w:p w14:paraId="18A8BFE7" w14:textId="77777777" w:rsidR="001C578C" w:rsidRPr="00E90BEF" w:rsidRDefault="001C578C" w:rsidP="001C578C">
      <w:pPr>
        <w:spacing w:after="0"/>
        <w:jc w:val="both"/>
        <w:rPr>
          <w:rFonts w:ascii="Open Sans" w:hAnsi="Open Sans" w:cs="Open Sans"/>
          <w:sz w:val="20"/>
          <w:szCs w:val="20"/>
          <w:lang w:val="en-ZA"/>
        </w:rPr>
      </w:pPr>
    </w:p>
    <w:p w14:paraId="1E4C21ED" w14:textId="233AB475" w:rsidR="001C578C" w:rsidRPr="00E90BEF" w:rsidRDefault="00F06385" w:rsidP="001C578C">
      <w:pPr>
        <w:spacing w:after="0"/>
        <w:jc w:val="both"/>
        <w:rPr>
          <w:rFonts w:ascii="Open Sans" w:hAnsi="Open Sans" w:cs="Open Sans"/>
          <w:sz w:val="20"/>
          <w:szCs w:val="20"/>
          <w:lang w:val="en-ZA"/>
        </w:rPr>
      </w:pPr>
      <w:r>
        <w:rPr>
          <w:rFonts w:ascii="Open Sans" w:hAnsi="Open Sans" w:cs="Open Sans"/>
          <w:kern w:val="0"/>
          <w:sz w:val="20"/>
          <w:szCs w:val="20"/>
          <w:lang w:val="en-ZA"/>
          <w14:ligatures w14:val="none"/>
        </w:rPr>
        <w:t>National housing trends underscore its importance: approximately 4.5 million South African households, or 23% of the total, formally rent their homes, and an estimated 685,000 reside in flats or apartments, a figure that has increased by 9% over the past five years. This indicates changing lifestyle preferences and a rising demand for amenity-rich, urban living.</w:t>
      </w:r>
    </w:p>
    <w:p w14:paraId="7803881F" w14:textId="77777777" w:rsidR="001C578C" w:rsidRPr="00E90BEF" w:rsidRDefault="001C578C" w:rsidP="001C578C">
      <w:pPr>
        <w:spacing w:after="0"/>
        <w:jc w:val="both"/>
        <w:rPr>
          <w:rFonts w:ascii="Open Sans" w:hAnsi="Open Sans" w:cs="Open Sans"/>
          <w:sz w:val="20"/>
          <w:szCs w:val="20"/>
          <w:lang w:val="en-ZA"/>
        </w:rPr>
      </w:pPr>
    </w:p>
    <w:p w14:paraId="5CBD855A" w14:textId="77777777" w:rsidR="001C578C" w:rsidRPr="00E90BEF" w:rsidRDefault="001C578C" w:rsidP="001C578C">
      <w:pPr>
        <w:spacing w:after="0"/>
        <w:jc w:val="both"/>
        <w:rPr>
          <w:rFonts w:ascii="Open Sans" w:hAnsi="Open Sans" w:cs="Open Sans"/>
          <w:sz w:val="20"/>
          <w:szCs w:val="20"/>
          <w:lang w:val="en-ZA"/>
        </w:rPr>
      </w:pPr>
    </w:p>
    <w:p w14:paraId="517951ED" w14:textId="77777777" w:rsidR="001C578C" w:rsidRPr="00E90BEF" w:rsidRDefault="001C578C" w:rsidP="001C578C">
      <w:pPr>
        <w:spacing w:after="0"/>
        <w:jc w:val="center"/>
        <w:rPr>
          <w:rFonts w:ascii="Open Sans" w:hAnsi="Open Sans" w:cs="Open Sans"/>
          <w:b/>
          <w:bCs/>
          <w:sz w:val="20"/>
          <w:szCs w:val="20"/>
          <w:lang w:val="en-ZA"/>
        </w:rPr>
      </w:pPr>
      <w:r w:rsidRPr="00E90BEF">
        <w:rPr>
          <w:rFonts w:ascii="Open Sans" w:hAnsi="Open Sans" w:cs="Open Sans"/>
          <w:b/>
          <w:bCs/>
          <w:sz w:val="20"/>
          <w:szCs w:val="20"/>
          <w:lang w:val="en-ZA"/>
        </w:rPr>
        <w:t>…/ends</w:t>
      </w:r>
    </w:p>
    <w:p w14:paraId="608F0895" w14:textId="77777777" w:rsidR="00E90BEF" w:rsidRPr="00E90BEF" w:rsidRDefault="00E90BEF" w:rsidP="00E90BEF">
      <w:pPr>
        <w:spacing w:after="0"/>
        <w:rPr>
          <w:rFonts w:ascii="Open Sans" w:hAnsi="Open Sans" w:cs="Open Sans"/>
          <w:b/>
          <w:bCs/>
          <w:sz w:val="20"/>
          <w:szCs w:val="20"/>
        </w:rPr>
      </w:pPr>
      <w:r w:rsidRPr="00E90BEF">
        <w:rPr>
          <w:rFonts w:ascii="Open Sans" w:hAnsi="Open Sans" w:cs="Open Sans"/>
          <w:b/>
          <w:bCs/>
          <w:sz w:val="20"/>
          <w:szCs w:val="20"/>
        </w:rPr>
        <w:t>RELEASED BY CATCHWORDS FOR:</w:t>
      </w:r>
    </w:p>
    <w:p w14:paraId="6A491D62" w14:textId="77777777" w:rsidR="00E90BEF" w:rsidRPr="00E90BEF" w:rsidRDefault="00E90BEF" w:rsidP="00E90BEF">
      <w:pPr>
        <w:spacing w:after="0"/>
        <w:rPr>
          <w:rFonts w:ascii="Open Sans" w:hAnsi="Open Sans" w:cs="Open Sans"/>
          <w:sz w:val="20"/>
          <w:szCs w:val="20"/>
        </w:rPr>
      </w:pPr>
      <w:r w:rsidRPr="00E90BEF">
        <w:rPr>
          <w:rFonts w:ascii="Open Sans" w:hAnsi="Open Sans" w:cs="Open Sans"/>
          <w:sz w:val="20"/>
          <w:szCs w:val="20"/>
        </w:rPr>
        <w:t>SAMRRA – South African Multifamily Residential Rental Association</w:t>
      </w:r>
    </w:p>
    <w:p w14:paraId="11F92FF7" w14:textId="1A232960" w:rsidR="00E90BEF" w:rsidRPr="00E90BEF" w:rsidRDefault="00360B42" w:rsidP="00E90BEF">
      <w:pPr>
        <w:spacing w:after="0"/>
        <w:rPr>
          <w:rFonts w:ascii="Open Sans" w:hAnsi="Open Sans" w:cs="Open Sans"/>
          <w:sz w:val="20"/>
          <w:szCs w:val="20"/>
        </w:rPr>
      </w:pPr>
      <w:r w:rsidRPr="00360B42">
        <w:rPr>
          <w:rFonts w:ascii="Open Sans" w:hAnsi="Open Sans" w:cs="Open Sans"/>
          <w:sz w:val="20"/>
          <w:szCs w:val="20"/>
        </w:rPr>
        <w:t>Palesa Mkhize</w:t>
      </w:r>
      <w:r w:rsidR="00E90BEF" w:rsidRPr="00E90BEF">
        <w:rPr>
          <w:rFonts w:ascii="Open Sans" w:hAnsi="Open Sans" w:cs="Open Sans"/>
          <w:sz w:val="20"/>
          <w:szCs w:val="20"/>
        </w:rPr>
        <w:t>, CEO</w:t>
      </w:r>
    </w:p>
    <w:p w14:paraId="04AF6D86" w14:textId="77777777" w:rsidR="00E90BEF" w:rsidRPr="00E90BEF" w:rsidRDefault="00E90BEF" w:rsidP="00E90BEF">
      <w:pPr>
        <w:spacing w:after="0"/>
        <w:rPr>
          <w:rFonts w:ascii="Open Sans" w:hAnsi="Open Sans" w:cs="Open Sans"/>
          <w:sz w:val="20"/>
          <w:szCs w:val="20"/>
        </w:rPr>
      </w:pPr>
      <w:hyperlink r:id="rId6" w:history="1">
        <w:r w:rsidRPr="00E90BEF">
          <w:rPr>
            <w:rStyle w:val="Hyperlink"/>
            <w:rFonts w:ascii="Open Sans" w:hAnsi="Open Sans" w:cs="Open Sans"/>
            <w:sz w:val="20"/>
            <w:szCs w:val="20"/>
          </w:rPr>
          <w:t>info@samrra.co.za</w:t>
        </w:r>
      </w:hyperlink>
    </w:p>
    <w:p w14:paraId="59094FB2" w14:textId="77777777" w:rsidR="00E90BEF" w:rsidRPr="00E90BEF" w:rsidRDefault="00E90BEF" w:rsidP="00E90BEF">
      <w:pPr>
        <w:spacing w:after="0"/>
        <w:rPr>
          <w:rFonts w:ascii="Open Sans" w:hAnsi="Open Sans" w:cs="Open Sans"/>
          <w:b/>
          <w:bCs/>
          <w:sz w:val="20"/>
          <w:szCs w:val="20"/>
        </w:rPr>
      </w:pPr>
    </w:p>
    <w:p w14:paraId="55434B56" w14:textId="77777777" w:rsidR="00E90BEF" w:rsidRPr="00E90BEF" w:rsidRDefault="00E90BEF" w:rsidP="00E90BEF">
      <w:pPr>
        <w:spacing w:after="0"/>
        <w:rPr>
          <w:rFonts w:ascii="Open Sans" w:hAnsi="Open Sans" w:cs="Open Sans"/>
          <w:b/>
          <w:bCs/>
          <w:sz w:val="20"/>
          <w:szCs w:val="20"/>
        </w:rPr>
      </w:pPr>
      <w:r w:rsidRPr="00E90BEF">
        <w:rPr>
          <w:rFonts w:ascii="Open Sans" w:hAnsi="Open Sans" w:cs="Open Sans"/>
          <w:b/>
          <w:bCs/>
          <w:sz w:val="20"/>
          <w:szCs w:val="20"/>
        </w:rPr>
        <w:t xml:space="preserve">FOR MORE INFORMATION OR TO BOOK AN INTERVIEW: </w:t>
      </w:r>
    </w:p>
    <w:p w14:paraId="11ADFCC2" w14:textId="77777777" w:rsidR="00E90BEF" w:rsidRPr="00E90BEF" w:rsidRDefault="00E90BEF" w:rsidP="00E90BEF">
      <w:pPr>
        <w:spacing w:after="0"/>
        <w:rPr>
          <w:rFonts w:ascii="Open Sans" w:hAnsi="Open Sans" w:cs="Open Sans"/>
          <w:sz w:val="20"/>
          <w:szCs w:val="20"/>
        </w:rPr>
      </w:pPr>
      <w:r w:rsidRPr="00E90BEF">
        <w:rPr>
          <w:rFonts w:ascii="Open Sans" w:hAnsi="Open Sans" w:cs="Open Sans"/>
          <w:sz w:val="20"/>
          <w:szCs w:val="20"/>
        </w:rPr>
        <w:t xml:space="preserve">Kindly contact Bronwen Noble at +27 83 453 6668 or </w:t>
      </w:r>
      <w:hyperlink r:id="rId7" w:history="1">
        <w:r w:rsidRPr="00E90BEF">
          <w:rPr>
            <w:rStyle w:val="Hyperlink"/>
            <w:rFonts w:ascii="Open Sans" w:hAnsi="Open Sans" w:cs="Open Sans"/>
            <w:sz w:val="20"/>
            <w:szCs w:val="20"/>
          </w:rPr>
          <w:t>bronwen@catchwords.co.za</w:t>
        </w:r>
      </w:hyperlink>
    </w:p>
    <w:p w14:paraId="5AC66223" w14:textId="77777777" w:rsidR="00E90BEF" w:rsidRPr="00E90BEF" w:rsidRDefault="00E90BEF" w:rsidP="00E90BEF">
      <w:pPr>
        <w:spacing w:after="0"/>
        <w:rPr>
          <w:rFonts w:ascii="Open Sans" w:hAnsi="Open Sans" w:cs="Open Sans"/>
          <w:sz w:val="20"/>
          <w:szCs w:val="20"/>
        </w:rPr>
      </w:pPr>
    </w:p>
    <w:p w14:paraId="07AFB362" w14:textId="77777777" w:rsidR="00E90BEF" w:rsidRPr="00E90BEF" w:rsidRDefault="00E90BEF" w:rsidP="00E90BEF">
      <w:pPr>
        <w:spacing w:after="0"/>
        <w:rPr>
          <w:rFonts w:ascii="Open Sans" w:hAnsi="Open Sans" w:cs="Open Sans"/>
          <w:b/>
          <w:bCs/>
          <w:sz w:val="20"/>
          <w:szCs w:val="20"/>
        </w:rPr>
      </w:pPr>
      <w:r w:rsidRPr="00E90BEF">
        <w:rPr>
          <w:rFonts w:ascii="Open Sans" w:hAnsi="Open Sans" w:cs="Open Sans"/>
          <w:b/>
          <w:bCs/>
          <w:sz w:val="20"/>
          <w:szCs w:val="20"/>
        </w:rPr>
        <w:t xml:space="preserve">GET SOCIAL: </w:t>
      </w:r>
      <w:r w:rsidRPr="00E90BEF">
        <w:rPr>
          <w:rFonts w:ascii="Open Sans" w:hAnsi="Open Sans" w:cs="Open Sans"/>
          <w:sz w:val="20"/>
          <w:szCs w:val="20"/>
        </w:rPr>
        <w:t xml:space="preserve">Connect with SAMRRA on </w:t>
      </w:r>
      <w:hyperlink r:id="rId8" w:history="1">
        <w:r w:rsidRPr="00E90BEF">
          <w:rPr>
            <w:rStyle w:val="Hyperlink"/>
            <w:rFonts w:ascii="Open Sans" w:hAnsi="Open Sans" w:cs="Open Sans"/>
            <w:sz w:val="20"/>
            <w:szCs w:val="20"/>
          </w:rPr>
          <w:t>Facebook</w:t>
        </w:r>
      </w:hyperlink>
      <w:r w:rsidRPr="00E90BEF">
        <w:rPr>
          <w:rFonts w:ascii="Open Sans" w:hAnsi="Open Sans" w:cs="Open Sans"/>
          <w:sz w:val="20"/>
          <w:szCs w:val="20"/>
        </w:rPr>
        <w:t xml:space="preserve"> | </w:t>
      </w:r>
      <w:hyperlink r:id="rId9" w:history="1">
        <w:r w:rsidRPr="00E90BEF">
          <w:rPr>
            <w:rStyle w:val="Hyperlink"/>
            <w:rFonts w:ascii="Open Sans" w:hAnsi="Open Sans" w:cs="Open Sans"/>
            <w:sz w:val="20"/>
            <w:szCs w:val="20"/>
          </w:rPr>
          <w:t>LinkedIn</w:t>
        </w:r>
      </w:hyperlink>
      <w:r w:rsidRPr="00E90BEF">
        <w:rPr>
          <w:rFonts w:ascii="Open Sans" w:hAnsi="Open Sans" w:cs="Open Sans"/>
          <w:sz w:val="20"/>
          <w:szCs w:val="20"/>
        </w:rPr>
        <w:t> |</w:t>
      </w:r>
      <w:hyperlink r:id="rId10" w:history="1">
        <w:r w:rsidRPr="00E90BEF">
          <w:rPr>
            <w:rStyle w:val="Hyperlink"/>
            <w:rFonts w:ascii="Open Sans" w:hAnsi="Open Sans" w:cs="Open Sans"/>
            <w:sz w:val="20"/>
            <w:szCs w:val="20"/>
          </w:rPr>
          <w:t xml:space="preserve"> Instagram</w:t>
        </w:r>
      </w:hyperlink>
      <w:r w:rsidRPr="00E90BEF">
        <w:rPr>
          <w:rFonts w:ascii="Open Sans" w:hAnsi="Open Sans" w:cs="Open Sans"/>
          <w:sz w:val="20"/>
          <w:szCs w:val="20"/>
          <w:u w:val="single"/>
        </w:rPr>
        <w:t xml:space="preserve"> </w:t>
      </w:r>
    </w:p>
    <w:p w14:paraId="591FA52C" w14:textId="77777777" w:rsidR="007931D2" w:rsidRDefault="007931D2" w:rsidP="001C578C">
      <w:pPr>
        <w:spacing w:after="0"/>
      </w:pPr>
    </w:p>
    <w:sectPr w:rsidR="007931D2" w:rsidSect="00360B42">
      <w:headerReference w:type="default" r:id="rId11"/>
      <w:pgSz w:w="11906" w:h="16838"/>
      <w:pgMar w:top="1440" w:right="1080" w:bottom="1440" w:left="108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7532" w14:textId="77777777" w:rsidR="00AE2840" w:rsidRDefault="00AE2840" w:rsidP="00E90BEF">
      <w:pPr>
        <w:spacing w:after="0" w:line="240" w:lineRule="auto"/>
      </w:pPr>
      <w:r>
        <w:separator/>
      </w:r>
    </w:p>
  </w:endnote>
  <w:endnote w:type="continuationSeparator" w:id="0">
    <w:p w14:paraId="054712A9" w14:textId="77777777" w:rsidR="00AE2840" w:rsidRDefault="00AE2840" w:rsidP="00E9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2DD2" w14:textId="77777777" w:rsidR="00AE2840" w:rsidRDefault="00AE2840" w:rsidP="00E90BEF">
      <w:pPr>
        <w:spacing w:after="0" w:line="240" w:lineRule="auto"/>
      </w:pPr>
      <w:r>
        <w:separator/>
      </w:r>
    </w:p>
  </w:footnote>
  <w:footnote w:type="continuationSeparator" w:id="0">
    <w:p w14:paraId="4F62D21B" w14:textId="77777777" w:rsidR="00AE2840" w:rsidRDefault="00AE2840" w:rsidP="00E90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14F9" w14:textId="255D5718" w:rsidR="00E90BEF" w:rsidRDefault="00E90BEF">
    <w:pPr>
      <w:pStyle w:val="Header"/>
    </w:pPr>
    <w:r>
      <w:rPr>
        <w:noProof/>
      </w:rPr>
      <w:drawing>
        <wp:inline distT="0" distB="0" distL="0" distR="0" wp14:anchorId="32A4056A" wp14:editId="175AC955">
          <wp:extent cx="3526510" cy="1165860"/>
          <wp:effectExtent l="0" t="0" r="0" b="0"/>
          <wp:docPr id="179775015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50159"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40083" cy="1170347"/>
                  </a:xfrm>
                  <a:prstGeom prst="rect">
                    <a:avLst/>
                  </a:prstGeom>
                </pic:spPr>
              </pic:pic>
            </a:graphicData>
          </a:graphic>
        </wp:inline>
      </w:drawing>
    </w:r>
    <w:r w:rsidR="00360B42">
      <w:rPr>
        <w:noProof/>
      </w:rPr>
      <w:drawing>
        <wp:inline distT="0" distB="0" distL="0" distR="0" wp14:anchorId="08E2F788" wp14:editId="20399791">
          <wp:extent cx="2101453" cy="772795"/>
          <wp:effectExtent l="0" t="0" r="0" b="8255"/>
          <wp:docPr id="153532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27112" name="Picture 1535327112"/>
                  <pic:cNvPicPr/>
                </pic:nvPicPr>
                <pic:blipFill>
                  <a:blip r:embed="rId2">
                    <a:extLst>
                      <a:ext uri="{28A0092B-C50C-407E-A947-70E740481C1C}">
                        <a14:useLocalDpi xmlns:a14="http://schemas.microsoft.com/office/drawing/2010/main" val="0"/>
                      </a:ext>
                    </a:extLst>
                  </a:blip>
                  <a:stretch>
                    <a:fillRect/>
                  </a:stretch>
                </pic:blipFill>
                <pic:spPr>
                  <a:xfrm>
                    <a:off x="0" y="0"/>
                    <a:ext cx="2141317" cy="787455"/>
                  </a:xfrm>
                  <a:prstGeom prst="rect">
                    <a:avLst/>
                  </a:prstGeom>
                </pic:spPr>
              </pic:pic>
            </a:graphicData>
          </a:graphic>
        </wp:inline>
      </w:drawing>
    </w:r>
  </w:p>
  <w:p w14:paraId="7CBF20AD" w14:textId="77777777" w:rsidR="00360B42" w:rsidRDefault="00360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C"/>
    <w:rsid w:val="00026E9D"/>
    <w:rsid w:val="00045C84"/>
    <w:rsid w:val="00061026"/>
    <w:rsid w:val="000D4311"/>
    <w:rsid w:val="000E00C6"/>
    <w:rsid w:val="00110187"/>
    <w:rsid w:val="0012787C"/>
    <w:rsid w:val="001322D5"/>
    <w:rsid w:val="00132722"/>
    <w:rsid w:val="001C2B20"/>
    <w:rsid w:val="001C578C"/>
    <w:rsid w:val="001D311A"/>
    <w:rsid w:val="001F1F31"/>
    <w:rsid w:val="00252B31"/>
    <w:rsid w:val="0025306B"/>
    <w:rsid w:val="0031725E"/>
    <w:rsid w:val="00343971"/>
    <w:rsid w:val="003536B0"/>
    <w:rsid w:val="00360B42"/>
    <w:rsid w:val="004B27A6"/>
    <w:rsid w:val="004B7C2F"/>
    <w:rsid w:val="004F44E6"/>
    <w:rsid w:val="005334B2"/>
    <w:rsid w:val="005B5BFD"/>
    <w:rsid w:val="005F1FEB"/>
    <w:rsid w:val="006265C5"/>
    <w:rsid w:val="00683B12"/>
    <w:rsid w:val="00707098"/>
    <w:rsid w:val="007931D2"/>
    <w:rsid w:val="007B2D10"/>
    <w:rsid w:val="007C64A8"/>
    <w:rsid w:val="007F4182"/>
    <w:rsid w:val="008743F8"/>
    <w:rsid w:val="008A7572"/>
    <w:rsid w:val="008E2153"/>
    <w:rsid w:val="00983166"/>
    <w:rsid w:val="00985BCA"/>
    <w:rsid w:val="009C2D4C"/>
    <w:rsid w:val="009C465B"/>
    <w:rsid w:val="00A01EE8"/>
    <w:rsid w:val="00AE2840"/>
    <w:rsid w:val="00B45AD9"/>
    <w:rsid w:val="00B57ABB"/>
    <w:rsid w:val="00BE1801"/>
    <w:rsid w:val="00C1138E"/>
    <w:rsid w:val="00C128E5"/>
    <w:rsid w:val="00C234D0"/>
    <w:rsid w:val="00CA128C"/>
    <w:rsid w:val="00D711A2"/>
    <w:rsid w:val="00E83210"/>
    <w:rsid w:val="00E90BEF"/>
    <w:rsid w:val="00F06385"/>
    <w:rsid w:val="00F540DF"/>
    <w:rsid w:val="00F820BF"/>
    <w:rsid w:val="00F9044E"/>
    <w:rsid w:val="00FE6D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0799C"/>
  <w15:chartTrackingRefBased/>
  <w15:docId w15:val="{05C2A26F-61EC-473B-98CC-BAAE6B8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C5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8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C578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C578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C578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C578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C578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C578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C578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C578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C5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78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C5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78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C578C"/>
    <w:pPr>
      <w:spacing w:before="160"/>
      <w:jc w:val="center"/>
    </w:pPr>
    <w:rPr>
      <w:i/>
      <w:iCs/>
      <w:color w:val="404040" w:themeColor="text1" w:themeTint="BF"/>
    </w:rPr>
  </w:style>
  <w:style w:type="character" w:customStyle="1" w:styleId="QuoteChar">
    <w:name w:val="Quote Char"/>
    <w:basedOn w:val="DefaultParagraphFont"/>
    <w:link w:val="Quote"/>
    <w:uiPriority w:val="29"/>
    <w:rsid w:val="001C578C"/>
    <w:rPr>
      <w:i/>
      <w:iCs/>
      <w:color w:val="404040" w:themeColor="text1" w:themeTint="BF"/>
      <w:lang w:val="en-GB"/>
    </w:rPr>
  </w:style>
  <w:style w:type="paragraph" w:styleId="ListParagraph">
    <w:name w:val="List Paragraph"/>
    <w:basedOn w:val="Normal"/>
    <w:uiPriority w:val="34"/>
    <w:qFormat/>
    <w:rsid w:val="001C578C"/>
    <w:pPr>
      <w:ind w:left="720"/>
      <w:contextualSpacing/>
    </w:pPr>
  </w:style>
  <w:style w:type="character" w:styleId="IntenseEmphasis">
    <w:name w:val="Intense Emphasis"/>
    <w:basedOn w:val="DefaultParagraphFont"/>
    <w:uiPriority w:val="21"/>
    <w:qFormat/>
    <w:rsid w:val="001C578C"/>
    <w:rPr>
      <w:i/>
      <w:iCs/>
      <w:color w:val="0F4761" w:themeColor="accent1" w:themeShade="BF"/>
    </w:rPr>
  </w:style>
  <w:style w:type="paragraph" w:styleId="IntenseQuote">
    <w:name w:val="Intense Quote"/>
    <w:basedOn w:val="Normal"/>
    <w:next w:val="Normal"/>
    <w:link w:val="IntenseQuoteChar"/>
    <w:uiPriority w:val="30"/>
    <w:qFormat/>
    <w:rsid w:val="001C5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78C"/>
    <w:rPr>
      <w:i/>
      <w:iCs/>
      <w:color w:val="0F4761" w:themeColor="accent1" w:themeShade="BF"/>
      <w:lang w:val="en-GB"/>
    </w:rPr>
  </w:style>
  <w:style w:type="character" w:styleId="IntenseReference">
    <w:name w:val="Intense Reference"/>
    <w:basedOn w:val="DefaultParagraphFont"/>
    <w:uiPriority w:val="32"/>
    <w:qFormat/>
    <w:rsid w:val="001C578C"/>
    <w:rPr>
      <w:b/>
      <w:bCs/>
      <w:smallCaps/>
      <w:color w:val="0F4761" w:themeColor="accent1" w:themeShade="BF"/>
      <w:spacing w:val="5"/>
    </w:rPr>
  </w:style>
  <w:style w:type="character" w:styleId="Hyperlink">
    <w:name w:val="Hyperlink"/>
    <w:basedOn w:val="DefaultParagraphFont"/>
    <w:uiPriority w:val="99"/>
    <w:unhideWhenUsed/>
    <w:rsid w:val="00E90BEF"/>
    <w:rPr>
      <w:color w:val="467886" w:themeColor="hyperlink"/>
      <w:u w:val="single"/>
    </w:rPr>
  </w:style>
  <w:style w:type="character" w:styleId="UnresolvedMention">
    <w:name w:val="Unresolved Mention"/>
    <w:basedOn w:val="DefaultParagraphFont"/>
    <w:uiPriority w:val="99"/>
    <w:semiHidden/>
    <w:unhideWhenUsed/>
    <w:rsid w:val="00E90BEF"/>
    <w:rPr>
      <w:color w:val="605E5C"/>
      <w:shd w:val="clear" w:color="auto" w:fill="E1DFDD"/>
    </w:rPr>
  </w:style>
  <w:style w:type="paragraph" w:styleId="Header">
    <w:name w:val="header"/>
    <w:basedOn w:val="Normal"/>
    <w:link w:val="HeaderChar"/>
    <w:uiPriority w:val="99"/>
    <w:unhideWhenUsed/>
    <w:rsid w:val="00E90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BEF"/>
    <w:rPr>
      <w:lang w:val="en-GB"/>
    </w:rPr>
  </w:style>
  <w:style w:type="paragraph" w:styleId="Footer">
    <w:name w:val="footer"/>
    <w:basedOn w:val="Normal"/>
    <w:link w:val="FooterChar"/>
    <w:uiPriority w:val="99"/>
    <w:unhideWhenUsed/>
    <w:rsid w:val="00E90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BEF"/>
    <w:rPr>
      <w:lang w:val="en-GB"/>
    </w:rPr>
  </w:style>
  <w:style w:type="paragraph" w:styleId="Revision">
    <w:name w:val="Revision"/>
    <w:hidden/>
    <w:uiPriority w:val="99"/>
    <w:semiHidden/>
    <w:rsid w:val="006265C5"/>
    <w:pPr>
      <w:spacing w:after="0" w:line="240" w:lineRule="auto"/>
    </w:pPr>
    <w:rPr>
      <w:lang w:val="en-GB"/>
    </w:rPr>
  </w:style>
  <w:style w:type="character" w:styleId="CommentReference">
    <w:name w:val="annotation reference"/>
    <w:basedOn w:val="DefaultParagraphFont"/>
    <w:uiPriority w:val="99"/>
    <w:semiHidden/>
    <w:unhideWhenUsed/>
    <w:rsid w:val="001C2B20"/>
    <w:rPr>
      <w:sz w:val="16"/>
      <w:szCs w:val="16"/>
    </w:rPr>
  </w:style>
  <w:style w:type="paragraph" w:styleId="CommentText">
    <w:name w:val="annotation text"/>
    <w:basedOn w:val="Normal"/>
    <w:link w:val="CommentTextChar"/>
    <w:uiPriority w:val="99"/>
    <w:unhideWhenUsed/>
    <w:rsid w:val="001C2B20"/>
    <w:pPr>
      <w:spacing w:line="240" w:lineRule="auto"/>
    </w:pPr>
    <w:rPr>
      <w:sz w:val="20"/>
      <w:szCs w:val="20"/>
    </w:rPr>
  </w:style>
  <w:style w:type="character" w:customStyle="1" w:styleId="CommentTextChar">
    <w:name w:val="Comment Text Char"/>
    <w:basedOn w:val="DefaultParagraphFont"/>
    <w:link w:val="CommentText"/>
    <w:uiPriority w:val="99"/>
    <w:rsid w:val="001C2B20"/>
    <w:rPr>
      <w:sz w:val="20"/>
      <w:szCs w:val="20"/>
      <w:lang w:val="en-GB"/>
    </w:rPr>
  </w:style>
  <w:style w:type="paragraph" w:styleId="CommentSubject">
    <w:name w:val="annotation subject"/>
    <w:basedOn w:val="CommentText"/>
    <w:next w:val="CommentText"/>
    <w:link w:val="CommentSubjectChar"/>
    <w:uiPriority w:val="99"/>
    <w:semiHidden/>
    <w:unhideWhenUsed/>
    <w:rsid w:val="001C2B20"/>
    <w:rPr>
      <w:b/>
      <w:bCs/>
    </w:rPr>
  </w:style>
  <w:style w:type="character" w:customStyle="1" w:styleId="CommentSubjectChar">
    <w:name w:val="Comment Subject Char"/>
    <w:basedOn w:val="CommentTextChar"/>
    <w:link w:val="CommentSubject"/>
    <w:uiPriority w:val="99"/>
    <w:semiHidden/>
    <w:rsid w:val="001C2B20"/>
    <w:rPr>
      <w:b/>
      <w:bCs/>
      <w:sz w:val="20"/>
      <w:szCs w:val="20"/>
      <w:lang w:val="en-GB"/>
    </w:rPr>
  </w:style>
  <w:style w:type="character" w:styleId="FollowedHyperlink">
    <w:name w:val="FollowedHyperlink"/>
    <w:basedOn w:val="DefaultParagraphFont"/>
    <w:uiPriority w:val="99"/>
    <w:semiHidden/>
    <w:unhideWhenUsed/>
    <w:rsid w:val="00E832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7473">
      <w:bodyDiv w:val="1"/>
      <w:marLeft w:val="0"/>
      <w:marRight w:val="0"/>
      <w:marTop w:val="0"/>
      <w:marBottom w:val="0"/>
      <w:divBdr>
        <w:top w:val="none" w:sz="0" w:space="0" w:color="auto"/>
        <w:left w:val="none" w:sz="0" w:space="0" w:color="auto"/>
        <w:bottom w:val="none" w:sz="0" w:space="0" w:color="auto"/>
        <w:right w:val="none" w:sz="0" w:space="0" w:color="auto"/>
      </w:divBdr>
    </w:div>
    <w:div w:id="334698575">
      <w:bodyDiv w:val="1"/>
      <w:marLeft w:val="0"/>
      <w:marRight w:val="0"/>
      <w:marTop w:val="0"/>
      <w:marBottom w:val="0"/>
      <w:divBdr>
        <w:top w:val="none" w:sz="0" w:space="0" w:color="auto"/>
        <w:left w:val="none" w:sz="0" w:space="0" w:color="auto"/>
        <w:bottom w:val="none" w:sz="0" w:space="0" w:color="auto"/>
        <w:right w:val="none" w:sz="0" w:space="0" w:color="auto"/>
      </w:divBdr>
    </w:div>
    <w:div w:id="967198100">
      <w:bodyDiv w:val="1"/>
      <w:marLeft w:val="0"/>
      <w:marRight w:val="0"/>
      <w:marTop w:val="0"/>
      <w:marBottom w:val="0"/>
      <w:divBdr>
        <w:top w:val="none" w:sz="0" w:space="0" w:color="auto"/>
        <w:left w:val="none" w:sz="0" w:space="0" w:color="auto"/>
        <w:bottom w:val="none" w:sz="0" w:space="0" w:color="auto"/>
        <w:right w:val="none" w:sz="0" w:space="0" w:color="auto"/>
      </w:divBdr>
    </w:div>
    <w:div w:id="1008216533">
      <w:bodyDiv w:val="1"/>
      <w:marLeft w:val="0"/>
      <w:marRight w:val="0"/>
      <w:marTop w:val="0"/>
      <w:marBottom w:val="0"/>
      <w:divBdr>
        <w:top w:val="none" w:sz="0" w:space="0" w:color="auto"/>
        <w:left w:val="none" w:sz="0" w:space="0" w:color="auto"/>
        <w:bottom w:val="none" w:sz="0" w:space="0" w:color="auto"/>
        <w:right w:val="none" w:sz="0" w:space="0" w:color="auto"/>
      </w:divBdr>
    </w:div>
    <w:div w:id="1345745223">
      <w:bodyDiv w:val="1"/>
      <w:marLeft w:val="0"/>
      <w:marRight w:val="0"/>
      <w:marTop w:val="0"/>
      <w:marBottom w:val="0"/>
      <w:divBdr>
        <w:top w:val="none" w:sz="0" w:space="0" w:color="auto"/>
        <w:left w:val="none" w:sz="0" w:space="0" w:color="auto"/>
        <w:bottom w:val="none" w:sz="0" w:space="0" w:color="auto"/>
        <w:right w:val="none" w:sz="0" w:space="0" w:color="auto"/>
      </w:divBdr>
    </w:div>
    <w:div w:id="18258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42763538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ronwen@catchwords.co.z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mrra.co.z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stagram.com/SAMRRA_ZA" TargetMode="External"/><Relationship Id="rId4" Type="http://schemas.openxmlformats.org/officeDocument/2006/relationships/footnotes" Target="footnotes.xml"/><Relationship Id="rId9" Type="http://schemas.openxmlformats.org/officeDocument/2006/relationships/hyperlink" Target="https://www.linkedin.com/company/samrra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3</cp:revision>
  <dcterms:created xsi:type="dcterms:W3CDTF">2025-08-11T11:13:00Z</dcterms:created>
  <dcterms:modified xsi:type="dcterms:W3CDTF">2025-08-11T11:24:00Z</dcterms:modified>
</cp:coreProperties>
</file>