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D86B" w14:textId="77777777" w:rsidR="0017282C" w:rsidRDefault="0017282C" w:rsidP="0017282C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1E53FD0" w14:textId="77777777" w:rsidR="0017282C" w:rsidRDefault="0017282C" w:rsidP="0017282C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74CA1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239DA408" wp14:editId="71AA9654">
            <wp:simplePos x="0" y="0"/>
            <wp:positionH relativeFrom="margin">
              <wp:posOffset>2736850</wp:posOffset>
            </wp:positionH>
            <wp:positionV relativeFrom="paragraph">
              <wp:posOffset>-573405</wp:posOffset>
            </wp:positionV>
            <wp:extent cx="3124361" cy="1124008"/>
            <wp:effectExtent l="0" t="0" r="0" b="0"/>
            <wp:wrapNone/>
            <wp:docPr id="2133038123" name="Obraz 1" descr="Obraz zawierający tekst, Czcionka, zrzut ekranu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038123" name="Obraz 1" descr="Obraz zawierający tekst, Czcionka, zrzut ekranu, Jaskrawoniebieski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361" cy="112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CDD838" w14:textId="77777777" w:rsidR="0017282C" w:rsidRDefault="0017282C" w:rsidP="0017282C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DECA505" w14:textId="77777777" w:rsidR="0017282C" w:rsidRDefault="0017282C" w:rsidP="0017282C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A83B85C" w14:textId="77777777" w:rsidR="0017282C" w:rsidRPr="0058546A" w:rsidRDefault="0017282C" w:rsidP="0017282C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58546A">
        <w:rPr>
          <w:rFonts w:ascii="Calibri" w:eastAsia="Calibri" w:hAnsi="Calibri" w:cs="Calibri"/>
          <w:sz w:val="24"/>
          <w:szCs w:val="24"/>
        </w:rPr>
        <w:t>Kontakt dla mediów: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 w:rsidRPr="0058546A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Informacja prasowa</w:t>
      </w:r>
    </w:p>
    <w:p w14:paraId="2A4491E4" w14:textId="38579AA8" w:rsidR="0017282C" w:rsidRDefault="0017282C" w:rsidP="0017282C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4A6D7030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9">
        <w:r w:rsidRPr="4A6D7030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media@parp.gov.pl</w:t>
        </w:r>
      </w:hyperlink>
      <w:r w:rsidRPr="4A6D7030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Warszawa, </w:t>
      </w:r>
      <w:r>
        <w:rPr>
          <w:rFonts w:ascii="Calibri" w:eastAsia="Calibri" w:hAnsi="Calibri" w:cs="Calibri"/>
          <w:sz w:val="24"/>
          <w:szCs w:val="24"/>
        </w:rPr>
        <w:t>12</w:t>
      </w:r>
      <w:r>
        <w:rPr>
          <w:rFonts w:ascii="Calibri" w:eastAsia="Calibri" w:hAnsi="Calibri" w:cs="Calibri"/>
          <w:sz w:val="24"/>
          <w:szCs w:val="24"/>
        </w:rPr>
        <w:t>.</w:t>
      </w:r>
      <w:r w:rsidRPr="4A6D7030"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8</w:t>
      </w:r>
      <w:r w:rsidRPr="4A6D7030">
        <w:rPr>
          <w:rFonts w:ascii="Calibri" w:eastAsia="Calibri" w:hAnsi="Calibri" w:cs="Calibri"/>
          <w:sz w:val="24"/>
          <w:szCs w:val="24"/>
        </w:rPr>
        <w:t>.2025 r.</w:t>
      </w:r>
    </w:p>
    <w:p w14:paraId="57A11AE7" w14:textId="77777777" w:rsidR="006501D5" w:rsidRPr="000A3E78" w:rsidRDefault="006501D5" w:rsidP="0017282C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033F2814" w14:textId="6C1CDFE3" w:rsidR="00DB1DD4" w:rsidRPr="00DB1DD4" w:rsidRDefault="00DB1DD4" w:rsidP="0017282C">
      <w:pPr>
        <w:pStyle w:val="Nagwek1"/>
        <w:spacing w:before="120" w:beforeAutospacing="0" w:after="120" w:afterAutospacing="0" w:line="276" w:lineRule="auto"/>
        <w:rPr>
          <w:rFonts w:ascii="Times New Roman" w:hAnsi="Times New Roman"/>
        </w:rPr>
      </w:pPr>
      <w:r w:rsidRPr="00DB1DD4">
        <w:t xml:space="preserve">Polskie innowacje mają szansę podbić Europę – rusza nowy nabór </w:t>
      </w:r>
    </w:p>
    <w:p w14:paraId="6E2B7770" w14:textId="20C2DB27" w:rsidR="00DB1DD4" w:rsidRPr="00DB1DD4" w:rsidRDefault="00DB1DD4" w:rsidP="0017282C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DB1DD4">
        <w:rPr>
          <w:rFonts w:cstheme="minorHAnsi"/>
          <w:b/>
          <w:bCs/>
          <w:sz w:val="24"/>
          <w:szCs w:val="24"/>
        </w:rPr>
        <w:t xml:space="preserve">Już 12 sierpnia Polska Agencja Rozwoju Przedsiębiorczości uruchamia nowy nabór do </w:t>
      </w:r>
      <w:r w:rsidR="0014477C">
        <w:rPr>
          <w:rFonts w:cstheme="minorHAnsi"/>
          <w:b/>
          <w:bCs/>
          <w:sz w:val="24"/>
          <w:szCs w:val="24"/>
        </w:rPr>
        <w:t>działania</w:t>
      </w:r>
      <w:r w:rsidRPr="00DB1DD4">
        <w:rPr>
          <w:rFonts w:cstheme="minorHAnsi"/>
          <w:b/>
          <w:bCs/>
          <w:sz w:val="24"/>
          <w:szCs w:val="24"/>
        </w:rPr>
        <w:t>, któr</w:t>
      </w:r>
      <w:r w:rsidR="003B3960">
        <w:rPr>
          <w:rFonts w:cstheme="minorHAnsi"/>
          <w:b/>
          <w:bCs/>
          <w:sz w:val="24"/>
          <w:szCs w:val="24"/>
        </w:rPr>
        <w:t>e</w:t>
      </w:r>
      <w:r w:rsidRPr="00DB1DD4">
        <w:rPr>
          <w:rFonts w:cstheme="minorHAnsi"/>
          <w:b/>
          <w:bCs/>
          <w:sz w:val="24"/>
          <w:szCs w:val="24"/>
        </w:rPr>
        <w:t xml:space="preserve"> może pomóc polskim innowatorom wejść do europejskiej ekstraklasy. </w:t>
      </w:r>
      <w:r w:rsidR="00041DBD">
        <w:rPr>
          <w:rFonts w:cstheme="minorHAnsi"/>
          <w:b/>
          <w:bCs/>
          <w:sz w:val="24"/>
          <w:szCs w:val="24"/>
        </w:rPr>
        <w:t xml:space="preserve">Firmy i instytucje gotowe na międzynarodowe wyzwania mogą otrzymać </w:t>
      </w:r>
      <w:r w:rsidRPr="00DB1DD4">
        <w:rPr>
          <w:rFonts w:cstheme="minorHAnsi"/>
          <w:b/>
          <w:bCs/>
          <w:sz w:val="24"/>
          <w:szCs w:val="24"/>
        </w:rPr>
        <w:t>20 milionów złotych</w:t>
      </w:r>
      <w:r w:rsidR="00041DBD">
        <w:rPr>
          <w:rFonts w:cstheme="minorHAnsi"/>
          <w:b/>
          <w:bCs/>
          <w:sz w:val="24"/>
          <w:szCs w:val="24"/>
        </w:rPr>
        <w:t>.</w:t>
      </w:r>
      <w:r w:rsidR="0017282C">
        <w:rPr>
          <w:rFonts w:cstheme="minorHAnsi"/>
          <w:b/>
          <w:bCs/>
          <w:sz w:val="24"/>
          <w:szCs w:val="24"/>
        </w:rPr>
        <w:t xml:space="preserve"> „Granty na </w:t>
      </w:r>
      <w:proofErr w:type="spellStart"/>
      <w:r w:rsidR="0017282C">
        <w:rPr>
          <w:rFonts w:cstheme="minorHAnsi"/>
          <w:b/>
          <w:bCs/>
          <w:sz w:val="24"/>
          <w:szCs w:val="24"/>
        </w:rPr>
        <w:t>Eurogranty</w:t>
      </w:r>
      <w:proofErr w:type="spellEnd"/>
      <w:r w:rsidR="0017282C">
        <w:rPr>
          <w:rFonts w:cstheme="minorHAnsi"/>
          <w:b/>
          <w:bCs/>
          <w:sz w:val="24"/>
          <w:szCs w:val="24"/>
        </w:rPr>
        <w:t>” finansowane są w ramach Funduszy Europejskich dla Nowoczesnej Gospodarki (FENG).</w:t>
      </w:r>
    </w:p>
    <w:p w14:paraId="3E2B1057" w14:textId="4BAF8DAA" w:rsidR="00DB1DD4" w:rsidRPr="00DB1DD4" w:rsidRDefault="00DB1DD4" w:rsidP="0017282C">
      <w:pPr>
        <w:spacing w:before="120" w:after="120" w:line="276" w:lineRule="auto"/>
        <w:rPr>
          <w:rFonts w:cstheme="minorHAnsi"/>
          <w:sz w:val="24"/>
          <w:szCs w:val="24"/>
        </w:rPr>
      </w:pPr>
      <w:r w:rsidRPr="00DB1DD4">
        <w:rPr>
          <w:rFonts w:cstheme="minorHAnsi"/>
          <w:sz w:val="24"/>
          <w:szCs w:val="24"/>
        </w:rPr>
        <w:t xml:space="preserve">Mikro, małe i średnie firmy od lat napędzają polską gospodarkę – są źródłem innowacji i śmiałych pomysłów, które przy właściwym wsparciu mogą rywalizować z zagranicznymi konkurentami. Krajowe ośrodki naukowe </w:t>
      </w:r>
      <w:r w:rsidR="00041DBD">
        <w:rPr>
          <w:rFonts w:cstheme="minorHAnsi"/>
          <w:sz w:val="24"/>
          <w:szCs w:val="24"/>
        </w:rPr>
        <w:t>również n</w:t>
      </w:r>
      <w:r w:rsidRPr="00DB1DD4">
        <w:rPr>
          <w:rFonts w:cstheme="minorHAnsi"/>
          <w:sz w:val="24"/>
          <w:szCs w:val="24"/>
        </w:rPr>
        <w:t xml:space="preserve">ie ustępują innowacyjnością, choć ich technologie przyszłości zbyt rzadko mają szansę zaistnieć poza granicami Polski. Dzięki programowi „Granty na </w:t>
      </w:r>
      <w:proofErr w:type="spellStart"/>
      <w:r w:rsidRPr="00DB1DD4">
        <w:rPr>
          <w:rFonts w:cstheme="minorHAnsi"/>
          <w:sz w:val="24"/>
          <w:szCs w:val="24"/>
        </w:rPr>
        <w:t>Eurogranty</w:t>
      </w:r>
      <w:proofErr w:type="spellEnd"/>
      <w:r w:rsidRPr="00DB1DD4">
        <w:rPr>
          <w:rFonts w:cstheme="minorHAnsi"/>
          <w:sz w:val="24"/>
          <w:szCs w:val="24"/>
        </w:rPr>
        <w:t>”, realizowanemu przez PARP w ramach Funduszy Europejskich dla Nowoczesnej Gospodarki (FENG), sytuacja może się zmienić. Dla polskich innowatorów to przepustka do europejskiej czołówki.</w:t>
      </w:r>
    </w:p>
    <w:p w14:paraId="151EB146" w14:textId="77777777" w:rsidR="00DB1DD4" w:rsidRPr="002F0D54" w:rsidRDefault="00DB1DD4" w:rsidP="0017282C">
      <w:pPr>
        <w:pStyle w:val="Nagwek2"/>
        <w:spacing w:before="120" w:after="120" w:line="276" w:lineRule="auto"/>
      </w:pPr>
      <w:r w:rsidRPr="002F0D54">
        <w:t>Innowacyjność w Polsce – potencjał gotowy na eksport</w:t>
      </w:r>
    </w:p>
    <w:p w14:paraId="337E9C8E" w14:textId="297A17B7" w:rsidR="00DB1DD4" w:rsidRPr="00DB1DD4" w:rsidRDefault="00DB1DD4" w:rsidP="0017282C">
      <w:pPr>
        <w:spacing w:before="120" w:after="120" w:line="276" w:lineRule="auto"/>
        <w:rPr>
          <w:rFonts w:cstheme="minorHAnsi"/>
          <w:sz w:val="24"/>
          <w:szCs w:val="24"/>
        </w:rPr>
      </w:pPr>
      <w:r w:rsidRPr="00DB1DD4">
        <w:rPr>
          <w:rFonts w:cstheme="minorHAnsi"/>
          <w:sz w:val="24"/>
          <w:szCs w:val="24"/>
        </w:rPr>
        <w:t xml:space="preserve">Choć polskie firmy coraz chętniej inwestują w innowacje (wydatki na ten cel w 2022 roku przekroczyły 55 mld zł), w międzynarodowym wyścigu wciąż startują z dalszych pozycji. Jak pokazuje </w:t>
      </w:r>
      <w:hyperlink r:id="rId10" w:history="1">
        <w:r w:rsidRPr="00041DBD">
          <w:rPr>
            <w:rStyle w:val="Hipercze"/>
            <w:rFonts w:cstheme="minorHAnsi"/>
            <w:sz w:val="24"/>
            <w:szCs w:val="24"/>
          </w:rPr>
          <w:t>raport PARP</w:t>
        </w:r>
      </w:hyperlink>
      <w:r w:rsidRPr="00DB1DD4">
        <w:rPr>
          <w:rFonts w:cstheme="minorHAnsi"/>
          <w:sz w:val="24"/>
          <w:szCs w:val="24"/>
        </w:rPr>
        <w:t>, zaledwie 3,7% przedsiębiorstw wykorzystuje technologie AI, a liczba podmiotów aplikujących o europejskie granty pozostaje ograniczona.</w:t>
      </w:r>
    </w:p>
    <w:p w14:paraId="118A6BE7" w14:textId="03AF2702" w:rsidR="00041DBD" w:rsidRPr="00DB1DD4" w:rsidRDefault="00DB1DD4" w:rsidP="0017282C">
      <w:pPr>
        <w:spacing w:before="120" w:after="120" w:line="276" w:lineRule="auto"/>
        <w:rPr>
          <w:rFonts w:cstheme="minorHAnsi"/>
          <w:sz w:val="24"/>
          <w:szCs w:val="24"/>
        </w:rPr>
      </w:pPr>
      <w:r w:rsidRPr="00DB1DD4">
        <w:rPr>
          <w:rFonts w:cstheme="minorHAnsi"/>
          <w:sz w:val="24"/>
          <w:szCs w:val="24"/>
        </w:rPr>
        <w:t xml:space="preserve">Jednak dane z </w:t>
      </w:r>
      <w:hyperlink r:id="rId11" w:history="1">
        <w:r w:rsidRPr="00041DBD">
          <w:rPr>
            <w:rStyle w:val="Hipercze"/>
            <w:rFonts w:cstheme="minorHAnsi"/>
            <w:sz w:val="24"/>
            <w:szCs w:val="24"/>
          </w:rPr>
          <w:t>Patent Index 2024</w:t>
        </w:r>
      </w:hyperlink>
      <w:r w:rsidRPr="00DB1DD4">
        <w:rPr>
          <w:rFonts w:cstheme="minorHAnsi"/>
          <w:sz w:val="24"/>
          <w:szCs w:val="24"/>
        </w:rPr>
        <w:t xml:space="preserve"> dają powody do optymizmu – Polska odnotowała kolejny wzrost liczby zgłoszeń do Europejskiego Urzędu Patentowego (o 3,4% r/r), a najaktywniejszymi zgłaszającymi są właśnie instytucje naukowe. Jasny potencjał drzemiący w tym obszarze jest zatem ogromny – wystarczy tylko pomóc mu rozwinąć skrzydła.</w:t>
      </w:r>
    </w:p>
    <w:p w14:paraId="2C763942" w14:textId="77777777" w:rsidR="00DB1DD4" w:rsidRPr="002F0D54" w:rsidRDefault="00DB1DD4" w:rsidP="0017282C">
      <w:pPr>
        <w:pStyle w:val="Nagwek2"/>
        <w:spacing w:before="120" w:after="120" w:line="276" w:lineRule="auto"/>
      </w:pPr>
      <w:r w:rsidRPr="002F0D54">
        <w:t>Kierunek: Europa</w:t>
      </w:r>
    </w:p>
    <w:p w14:paraId="090E7CFE" w14:textId="5FD64CFE" w:rsidR="00DB1DD4" w:rsidRPr="00DB1DD4" w:rsidRDefault="00DB1DD4" w:rsidP="0017282C">
      <w:pPr>
        <w:spacing w:before="120" w:after="120" w:line="276" w:lineRule="auto"/>
        <w:rPr>
          <w:rFonts w:cstheme="minorHAnsi"/>
          <w:sz w:val="24"/>
          <w:szCs w:val="24"/>
        </w:rPr>
      </w:pPr>
      <w:r w:rsidRPr="00DB1DD4">
        <w:rPr>
          <w:rFonts w:cstheme="minorHAnsi"/>
          <w:sz w:val="24"/>
          <w:szCs w:val="24"/>
        </w:rPr>
        <w:t xml:space="preserve">Od 12 sierpnia 2025 r. do 3 września 2026 r. PARP prowadzi nowy nabór do </w:t>
      </w:r>
      <w:r w:rsidR="0014477C">
        <w:rPr>
          <w:rFonts w:cstheme="minorHAnsi"/>
          <w:sz w:val="24"/>
          <w:szCs w:val="24"/>
        </w:rPr>
        <w:t>działania</w:t>
      </w:r>
      <w:r w:rsidRPr="00DB1DD4">
        <w:rPr>
          <w:rFonts w:cstheme="minorHAnsi"/>
          <w:sz w:val="24"/>
          <w:szCs w:val="24"/>
        </w:rPr>
        <w:t xml:space="preserve"> „Granty na </w:t>
      </w:r>
      <w:proofErr w:type="spellStart"/>
      <w:r w:rsidRPr="00DB1DD4">
        <w:rPr>
          <w:rFonts w:cstheme="minorHAnsi"/>
          <w:sz w:val="24"/>
          <w:szCs w:val="24"/>
        </w:rPr>
        <w:t>Eurogranty</w:t>
      </w:r>
      <w:proofErr w:type="spellEnd"/>
      <w:r w:rsidRPr="00DB1DD4">
        <w:rPr>
          <w:rFonts w:cstheme="minorHAnsi"/>
          <w:sz w:val="24"/>
          <w:szCs w:val="24"/>
        </w:rPr>
        <w:t xml:space="preserve">”, </w:t>
      </w:r>
      <w:r w:rsidR="00041DBD" w:rsidRPr="00DB1DD4">
        <w:rPr>
          <w:rFonts w:cstheme="minorHAnsi"/>
          <w:sz w:val="24"/>
          <w:szCs w:val="24"/>
        </w:rPr>
        <w:t>kierowan</w:t>
      </w:r>
      <w:r w:rsidR="0014477C">
        <w:rPr>
          <w:rFonts w:cstheme="minorHAnsi"/>
          <w:sz w:val="24"/>
          <w:szCs w:val="24"/>
        </w:rPr>
        <w:t>ego</w:t>
      </w:r>
      <w:r w:rsidR="00041DBD" w:rsidRPr="00DB1DD4">
        <w:rPr>
          <w:rFonts w:cstheme="minorHAnsi"/>
          <w:sz w:val="24"/>
          <w:szCs w:val="24"/>
        </w:rPr>
        <w:t xml:space="preserve"> </w:t>
      </w:r>
      <w:r w:rsidRPr="00DB1DD4">
        <w:rPr>
          <w:rFonts w:cstheme="minorHAnsi"/>
          <w:sz w:val="24"/>
          <w:szCs w:val="24"/>
        </w:rPr>
        <w:t>do firm oraz</w:t>
      </w:r>
      <w:r w:rsidR="00B97C55">
        <w:rPr>
          <w:rFonts w:cstheme="minorHAnsi"/>
          <w:sz w:val="24"/>
          <w:szCs w:val="24"/>
        </w:rPr>
        <w:t xml:space="preserve"> organizacji</w:t>
      </w:r>
      <w:r w:rsidRPr="00DB1DD4">
        <w:rPr>
          <w:rFonts w:cstheme="minorHAnsi"/>
          <w:sz w:val="24"/>
          <w:szCs w:val="24"/>
        </w:rPr>
        <w:t xml:space="preserve"> badawczych ubiegających się o fundusze z prestiżowych programów Unii Europejskiej. Kwota 20 mln zł może odmienić losy niejednego przedsiębiorstwa i naukowego zespołu, otwierając drzwi do międzynarodowych konsorcjów – i to nie tylko jako partner, lecz także lider innowacji.</w:t>
      </w:r>
    </w:p>
    <w:p w14:paraId="5627798D" w14:textId="47F40664" w:rsidR="00DB1DD4" w:rsidRPr="00DB1DD4" w:rsidRDefault="00DB1DD4" w:rsidP="0017282C">
      <w:pPr>
        <w:spacing w:before="120" w:after="120" w:line="276" w:lineRule="auto"/>
        <w:rPr>
          <w:rFonts w:cstheme="minorHAnsi"/>
          <w:sz w:val="24"/>
          <w:szCs w:val="24"/>
        </w:rPr>
      </w:pPr>
      <w:r w:rsidRPr="00DB1DD4">
        <w:rPr>
          <w:rFonts w:cstheme="minorHAnsi"/>
          <w:sz w:val="24"/>
          <w:szCs w:val="24"/>
        </w:rPr>
        <w:lastRenderedPageBreak/>
        <w:t xml:space="preserve">Udział </w:t>
      </w:r>
      <w:r w:rsidR="00041DBD">
        <w:rPr>
          <w:rFonts w:cstheme="minorHAnsi"/>
          <w:sz w:val="24"/>
          <w:szCs w:val="24"/>
        </w:rPr>
        <w:t xml:space="preserve">w </w:t>
      </w:r>
      <w:r w:rsidRPr="00DB1DD4">
        <w:rPr>
          <w:rFonts w:cstheme="minorHAnsi"/>
          <w:sz w:val="24"/>
          <w:szCs w:val="24"/>
        </w:rPr>
        <w:t xml:space="preserve">programach takich jak „Horyzont Europa”, „Single Market </w:t>
      </w:r>
      <w:proofErr w:type="spellStart"/>
      <w:r w:rsidRPr="00DB1DD4">
        <w:rPr>
          <w:rFonts w:cstheme="minorHAnsi"/>
          <w:sz w:val="24"/>
          <w:szCs w:val="24"/>
        </w:rPr>
        <w:t>Programme</w:t>
      </w:r>
      <w:proofErr w:type="spellEnd"/>
      <w:r w:rsidRPr="00DB1DD4">
        <w:rPr>
          <w:rFonts w:cstheme="minorHAnsi"/>
          <w:sz w:val="24"/>
          <w:szCs w:val="24"/>
        </w:rPr>
        <w:t xml:space="preserve">” czy „Digital Europe” oznacza </w:t>
      </w:r>
      <w:r w:rsidR="00041DBD">
        <w:rPr>
          <w:rFonts w:cstheme="minorHAnsi"/>
          <w:sz w:val="24"/>
          <w:szCs w:val="24"/>
        </w:rPr>
        <w:t>zarówno</w:t>
      </w:r>
      <w:r w:rsidRPr="00DB1DD4">
        <w:rPr>
          <w:rFonts w:cstheme="minorHAnsi"/>
          <w:sz w:val="24"/>
          <w:szCs w:val="24"/>
        </w:rPr>
        <w:t xml:space="preserve"> dodatkowe finansowanie, </w:t>
      </w:r>
      <w:r w:rsidR="00041DBD">
        <w:rPr>
          <w:rFonts w:cstheme="minorHAnsi"/>
          <w:sz w:val="24"/>
          <w:szCs w:val="24"/>
        </w:rPr>
        <w:t>jak i</w:t>
      </w:r>
      <w:r w:rsidRPr="00DB1DD4">
        <w:rPr>
          <w:rFonts w:cstheme="minorHAnsi"/>
          <w:sz w:val="24"/>
          <w:szCs w:val="24"/>
        </w:rPr>
        <w:t xml:space="preserve"> dostęp wiedzy</w:t>
      </w:r>
      <w:r w:rsidR="00041DBD">
        <w:rPr>
          <w:rFonts w:cstheme="minorHAnsi"/>
          <w:sz w:val="24"/>
          <w:szCs w:val="24"/>
        </w:rPr>
        <w:t>, cennych kontaktów i</w:t>
      </w:r>
      <w:r w:rsidRPr="00DB1DD4">
        <w:rPr>
          <w:rFonts w:cstheme="minorHAnsi"/>
          <w:sz w:val="24"/>
          <w:szCs w:val="24"/>
        </w:rPr>
        <w:t xml:space="preserve"> nowych rynków. To również ogromna szansa na zwiększenie rozpoznawalności, rozwój produktów i technologii oraz budowę międzynarodowej sieci kontaktów.</w:t>
      </w:r>
    </w:p>
    <w:p w14:paraId="436F056B" w14:textId="77777777" w:rsidR="00DB1DD4" w:rsidRPr="002F0D54" w:rsidRDefault="00DB1DD4" w:rsidP="0017282C">
      <w:pPr>
        <w:pStyle w:val="Nagwek2"/>
        <w:spacing w:before="120" w:after="120" w:line="276" w:lineRule="auto"/>
      </w:pPr>
      <w:r w:rsidRPr="002F0D54">
        <w:t>Na co przeznaczyć grant?</w:t>
      </w:r>
    </w:p>
    <w:p w14:paraId="152FA2A1" w14:textId="3B4827D3" w:rsidR="00DB1DD4" w:rsidRPr="00DB1DD4" w:rsidRDefault="00DB1DD4" w:rsidP="0017282C">
      <w:pPr>
        <w:spacing w:before="120" w:after="120" w:line="276" w:lineRule="auto"/>
        <w:rPr>
          <w:rFonts w:cstheme="minorHAnsi"/>
          <w:sz w:val="24"/>
          <w:szCs w:val="24"/>
        </w:rPr>
      </w:pPr>
      <w:r w:rsidRPr="00DB1DD4">
        <w:rPr>
          <w:rFonts w:cstheme="minorHAnsi"/>
          <w:sz w:val="24"/>
          <w:szCs w:val="24"/>
        </w:rPr>
        <w:t xml:space="preserve">Środki z </w:t>
      </w:r>
      <w:r w:rsidR="00B97C55">
        <w:rPr>
          <w:rFonts w:cstheme="minorHAnsi"/>
          <w:sz w:val="24"/>
          <w:szCs w:val="24"/>
        </w:rPr>
        <w:t>działania</w:t>
      </w:r>
      <w:r w:rsidR="00B97C55" w:rsidRPr="00DB1DD4">
        <w:rPr>
          <w:rFonts w:cstheme="minorHAnsi"/>
          <w:sz w:val="24"/>
          <w:szCs w:val="24"/>
        </w:rPr>
        <w:t xml:space="preserve"> </w:t>
      </w:r>
      <w:r w:rsidRPr="00DB1DD4">
        <w:rPr>
          <w:rFonts w:cstheme="minorHAnsi"/>
          <w:sz w:val="24"/>
          <w:szCs w:val="24"/>
        </w:rPr>
        <w:t>można przeznaczyć na przygotowa</w:t>
      </w:r>
      <w:r w:rsidR="0014477C">
        <w:rPr>
          <w:rFonts w:cstheme="minorHAnsi"/>
          <w:sz w:val="24"/>
          <w:szCs w:val="24"/>
        </w:rPr>
        <w:t>nie</w:t>
      </w:r>
      <w:r w:rsidRPr="00DB1DD4">
        <w:rPr>
          <w:rFonts w:cstheme="minorHAnsi"/>
          <w:sz w:val="24"/>
          <w:szCs w:val="24"/>
        </w:rPr>
        <w:t xml:space="preserve"> związane ze złożeniem wniosku o </w:t>
      </w:r>
      <w:proofErr w:type="spellStart"/>
      <w:r w:rsidR="00041DBD">
        <w:rPr>
          <w:rFonts w:cstheme="minorHAnsi"/>
          <w:sz w:val="24"/>
          <w:szCs w:val="24"/>
        </w:rPr>
        <w:t>e</w:t>
      </w:r>
      <w:r w:rsidRPr="00DB1DD4">
        <w:rPr>
          <w:rFonts w:cstheme="minorHAnsi"/>
          <w:sz w:val="24"/>
          <w:szCs w:val="24"/>
        </w:rPr>
        <w:t>urogrant</w:t>
      </w:r>
      <w:proofErr w:type="spellEnd"/>
      <w:r w:rsidRPr="00DB1DD4">
        <w:rPr>
          <w:rFonts w:cstheme="minorHAnsi"/>
          <w:sz w:val="24"/>
          <w:szCs w:val="24"/>
        </w:rPr>
        <w:t>, w tym: </w:t>
      </w:r>
    </w:p>
    <w:p w14:paraId="5F7EBC46" w14:textId="77777777" w:rsidR="00DB1DD4" w:rsidRPr="00DB1DD4" w:rsidRDefault="00DB1DD4" w:rsidP="0017282C">
      <w:pPr>
        <w:numPr>
          <w:ilvl w:val="0"/>
          <w:numId w:val="21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DB1DD4">
        <w:rPr>
          <w:rFonts w:cstheme="minorHAnsi"/>
          <w:sz w:val="24"/>
          <w:szCs w:val="24"/>
        </w:rPr>
        <w:t>poszukiwanie partnerów w kraju i za granicą,</w:t>
      </w:r>
    </w:p>
    <w:p w14:paraId="1C09B5B4" w14:textId="77777777" w:rsidR="00DB1DD4" w:rsidRPr="00DB1DD4" w:rsidRDefault="00DB1DD4" w:rsidP="0017282C">
      <w:pPr>
        <w:numPr>
          <w:ilvl w:val="0"/>
          <w:numId w:val="21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DB1DD4">
        <w:rPr>
          <w:rFonts w:cstheme="minorHAnsi"/>
          <w:sz w:val="24"/>
          <w:szCs w:val="24"/>
        </w:rPr>
        <w:t>organizację międzynarodowych spotkań i warsztatów,</w:t>
      </w:r>
    </w:p>
    <w:p w14:paraId="3B8C7FED" w14:textId="77777777" w:rsidR="00DB1DD4" w:rsidRPr="00DB1DD4" w:rsidRDefault="00DB1DD4" w:rsidP="0017282C">
      <w:pPr>
        <w:numPr>
          <w:ilvl w:val="0"/>
          <w:numId w:val="21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DB1DD4">
        <w:rPr>
          <w:rFonts w:cstheme="minorHAnsi"/>
          <w:sz w:val="24"/>
          <w:szCs w:val="24"/>
        </w:rPr>
        <w:t>przygotowanie, korektę oraz tłumaczenie dokumentacji,</w:t>
      </w:r>
    </w:p>
    <w:p w14:paraId="18147028" w14:textId="77777777" w:rsidR="00DB1DD4" w:rsidRPr="00DB1DD4" w:rsidRDefault="00DB1DD4" w:rsidP="0017282C">
      <w:pPr>
        <w:numPr>
          <w:ilvl w:val="0"/>
          <w:numId w:val="21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DB1DD4">
        <w:rPr>
          <w:rFonts w:cstheme="minorHAnsi"/>
          <w:sz w:val="24"/>
          <w:szCs w:val="24"/>
        </w:rPr>
        <w:t>prezentację projektu przed komisją oceniającą,</w:t>
      </w:r>
    </w:p>
    <w:p w14:paraId="469251CD" w14:textId="5A2CA031" w:rsidR="00DB1DD4" w:rsidRPr="00DB1DD4" w:rsidRDefault="00DB1DD4" w:rsidP="0017282C">
      <w:pPr>
        <w:numPr>
          <w:ilvl w:val="0"/>
          <w:numId w:val="21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DB1DD4">
        <w:rPr>
          <w:rFonts w:cstheme="minorHAnsi"/>
          <w:sz w:val="24"/>
          <w:szCs w:val="24"/>
        </w:rPr>
        <w:t>specjalistyczne analizy potrzebne na etapie aplikacyjnym</w:t>
      </w:r>
      <w:r w:rsidR="00B97C55">
        <w:rPr>
          <w:rFonts w:cstheme="minorHAnsi"/>
          <w:sz w:val="24"/>
          <w:szCs w:val="24"/>
        </w:rPr>
        <w:t xml:space="preserve"> w Komisji</w:t>
      </w:r>
      <w:r w:rsidRPr="00DB1DD4">
        <w:rPr>
          <w:rFonts w:cstheme="minorHAnsi"/>
          <w:sz w:val="24"/>
          <w:szCs w:val="24"/>
        </w:rPr>
        <w:t>.</w:t>
      </w:r>
    </w:p>
    <w:p w14:paraId="70ACB237" w14:textId="23BC979D" w:rsidR="00041DBD" w:rsidRDefault="00DB1DD4" w:rsidP="0017282C">
      <w:pPr>
        <w:spacing w:before="120" w:after="120" w:line="276" w:lineRule="auto"/>
        <w:rPr>
          <w:rFonts w:cstheme="minorHAnsi"/>
          <w:sz w:val="24"/>
          <w:szCs w:val="24"/>
        </w:rPr>
      </w:pPr>
      <w:r w:rsidRPr="00DB1DD4">
        <w:rPr>
          <w:rFonts w:cstheme="minorHAnsi"/>
          <w:sz w:val="24"/>
          <w:szCs w:val="24"/>
        </w:rPr>
        <w:t>Wnioski można składać</w:t>
      </w:r>
      <w:r w:rsidRPr="00DB1DD4">
        <w:rPr>
          <w:rFonts w:cstheme="minorHAnsi"/>
          <w:b/>
          <w:bCs/>
          <w:sz w:val="24"/>
          <w:szCs w:val="24"/>
        </w:rPr>
        <w:t xml:space="preserve"> w trybie ciągłym </w:t>
      </w:r>
      <w:r w:rsidRPr="00DB1DD4">
        <w:rPr>
          <w:rFonts w:cstheme="minorHAnsi"/>
          <w:sz w:val="24"/>
          <w:szCs w:val="24"/>
        </w:rPr>
        <w:t>aż do wyczerpania puli środków</w:t>
      </w:r>
      <w:r w:rsidR="00041DBD">
        <w:rPr>
          <w:rFonts w:cstheme="minorHAnsi"/>
          <w:sz w:val="24"/>
          <w:szCs w:val="24"/>
        </w:rPr>
        <w:t>.</w:t>
      </w:r>
      <w:r w:rsidRPr="00DB1DD4">
        <w:rPr>
          <w:rFonts w:cstheme="minorHAnsi"/>
          <w:sz w:val="24"/>
          <w:szCs w:val="24"/>
        </w:rPr>
        <w:t xml:space="preserve"> Im lepiej przygotowana aplikacja, tym większe szanse na dofinansowanie z PARP</w:t>
      </w:r>
      <w:r w:rsidR="00041DBD">
        <w:rPr>
          <w:rFonts w:cstheme="minorHAnsi"/>
          <w:sz w:val="24"/>
          <w:szCs w:val="24"/>
        </w:rPr>
        <w:t>,</w:t>
      </w:r>
      <w:r w:rsidRPr="00DB1DD4">
        <w:rPr>
          <w:rFonts w:cstheme="minorHAnsi"/>
          <w:sz w:val="24"/>
          <w:szCs w:val="24"/>
        </w:rPr>
        <w:t xml:space="preserve"> pozyskanie </w:t>
      </w:r>
      <w:proofErr w:type="spellStart"/>
      <w:r w:rsidR="00041DBD">
        <w:rPr>
          <w:rFonts w:cstheme="minorHAnsi"/>
          <w:sz w:val="24"/>
          <w:szCs w:val="24"/>
        </w:rPr>
        <w:t>e</w:t>
      </w:r>
      <w:r w:rsidRPr="00DB1DD4">
        <w:rPr>
          <w:rFonts w:cstheme="minorHAnsi"/>
          <w:sz w:val="24"/>
          <w:szCs w:val="24"/>
        </w:rPr>
        <w:t>urograntu</w:t>
      </w:r>
      <w:proofErr w:type="spellEnd"/>
      <w:r w:rsidRPr="00DB1DD4">
        <w:rPr>
          <w:rFonts w:cstheme="minorHAnsi"/>
          <w:sz w:val="24"/>
          <w:szCs w:val="24"/>
        </w:rPr>
        <w:t xml:space="preserve"> i realizację projektów na europejską skalę.</w:t>
      </w:r>
    </w:p>
    <w:p w14:paraId="25F27CFD" w14:textId="1451D878" w:rsidR="00041DBD" w:rsidRPr="002F0D54" w:rsidRDefault="00041DBD" w:rsidP="0017282C">
      <w:pPr>
        <w:pStyle w:val="Nagwek2"/>
        <w:spacing w:before="120" w:after="120" w:line="276" w:lineRule="auto"/>
      </w:pPr>
      <w:r w:rsidRPr="002F0D54">
        <w:t>Zmiany w naborze – będzie łatwiej!</w:t>
      </w:r>
    </w:p>
    <w:p w14:paraId="5212D7BD" w14:textId="7EBA704C" w:rsidR="00041DBD" w:rsidRDefault="00D908CC" w:rsidP="0017282C">
      <w:p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Wychodząc naprzeciw oczekiwaniom wnioskodawców, PARP postanowiła wprowadzić kilka zmian w regulaminie naboru „Granty na </w:t>
      </w:r>
      <w:proofErr w:type="spellStart"/>
      <w:r>
        <w:rPr>
          <w:rFonts w:cstheme="minorHAnsi"/>
          <w:sz w:val="24"/>
          <w:szCs w:val="24"/>
        </w:rPr>
        <w:t>Eurogranty</w:t>
      </w:r>
      <w:proofErr w:type="spellEnd"/>
      <w:r>
        <w:rPr>
          <w:rFonts w:cstheme="minorHAnsi"/>
          <w:sz w:val="24"/>
          <w:szCs w:val="24"/>
        </w:rPr>
        <w:t>”:</w:t>
      </w:r>
    </w:p>
    <w:p w14:paraId="41146453" w14:textId="7D0A7022" w:rsidR="00D908CC" w:rsidRPr="00D908CC" w:rsidRDefault="00D908CC" w:rsidP="0017282C">
      <w:pPr>
        <w:numPr>
          <w:ilvl w:val="0"/>
          <w:numId w:val="23"/>
        </w:num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Pr="00D908CC">
        <w:rPr>
          <w:rFonts w:cstheme="minorHAnsi"/>
          <w:sz w:val="24"/>
          <w:szCs w:val="24"/>
        </w:rPr>
        <w:t xml:space="preserve">eden nabór i jeden generator dla MŚP i </w:t>
      </w:r>
      <w:r w:rsidR="00B97C55">
        <w:rPr>
          <w:rFonts w:cstheme="minorHAnsi"/>
          <w:sz w:val="24"/>
          <w:szCs w:val="24"/>
        </w:rPr>
        <w:t>organizacji badawczych</w:t>
      </w:r>
      <w:r w:rsidRPr="00D908CC">
        <w:rPr>
          <w:rFonts w:cstheme="minorHAnsi"/>
          <w:sz w:val="24"/>
          <w:szCs w:val="24"/>
        </w:rPr>
        <w:t xml:space="preserve"> – brak pomyłek przy składaniu wniosku i wyborze właściwego naboru</w:t>
      </w:r>
      <w:r>
        <w:rPr>
          <w:rFonts w:cstheme="minorHAnsi"/>
          <w:sz w:val="24"/>
          <w:szCs w:val="24"/>
        </w:rPr>
        <w:t>.</w:t>
      </w:r>
    </w:p>
    <w:p w14:paraId="46599201" w14:textId="73697726" w:rsidR="00D908CC" w:rsidRPr="00D908CC" w:rsidRDefault="00D908CC" w:rsidP="0017282C">
      <w:pPr>
        <w:numPr>
          <w:ilvl w:val="0"/>
          <w:numId w:val="23"/>
        </w:num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D908CC">
        <w:rPr>
          <w:rFonts w:cstheme="minorHAnsi"/>
          <w:sz w:val="24"/>
          <w:szCs w:val="24"/>
        </w:rPr>
        <w:t>ndeksacja kwot ryczałtowych (wyższe wsparcie)</w:t>
      </w:r>
      <w:r>
        <w:rPr>
          <w:rFonts w:cstheme="minorHAnsi"/>
          <w:sz w:val="24"/>
          <w:szCs w:val="24"/>
        </w:rPr>
        <w:t>.</w:t>
      </w:r>
    </w:p>
    <w:p w14:paraId="7542FFA2" w14:textId="7F01D0F0" w:rsidR="00D908CC" w:rsidRPr="00D908CC" w:rsidRDefault="00D908CC" w:rsidP="0017282C">
      <w:pPr>
        <w:numPr>
          <w:ilvl w:val="0"/>
          <w:numId w:val="23"/>
        </w:num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Pr="00D908CC">
        <w:rPr>
          <w:rFonts w:cstheme="minorHAnsi"/>
          <w:sz w:val="24"/>
          <w:szCs w:val="24"/>
        </w:rPr>
        <w:t>ożliwość zwiększenia wartości dofinansowania na etapie oceny projektu w przypadku wyboru błędnej kwoty ryczałtowej</w:t>
      </w:r>
      <w:r w:rsidR="00B97C55">
        <w:rPr>
          <w:rFonts w:cstheme="minorHAnsi"/>
          <w:sz w:val="24"/>
          <w:szCs w:val="24"/>
        </w:rPr>
        <w:t xml:space="preserve"> w pierwotnie złożonym wniosku</w:t>
      </w:r>
      <w:r>
        <w:rPr>
          <w:rFonts w:cstheme="minorHAnsi"/>
          <w:sz w:val="24"/>
          <w:szCs w:val="24"/>
        </w:rPr>
        <w:t>.</w:t>
      </w:r>
    </w:p>
    <w:p w14:paraId="2655F0CD" w14:textId="4BEB13CA" w:rsidR="00D908CC" w:rsidRPr="00D908CC" w:rsidRDefault="00D908CC" w:rsidP="0017282C">
      <w:pPr>
        <w:numPr>
          <w:ilvl w:val="0"/>
          <w:numId w:val="23"/>
        </w:num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Pr="00D908CC">
        <w:rPr>
          <w:rFonts w:cstheme="minorHAnsi"/>
          <w:sz w:val="24"/>
          <w:szCs w:val="24"/>
        </w:rPr>
        <w:t>rak konieczności wskazywania w opisie zadania uzasadnienia kosztów z uwagi na rozliczanie projektów kwotą ryczałtową</w:t>
      </w:r>
      <w:r>
        <w:rPr>
          <w:rFonts w:cstheme="minorHAnsi"/>
          <w:sz w:val="24"/>
          <w:szCs w:val="24"/>
        </w:rPr>
        <w:t>.</w:t>
      </w:r>
    </w:p>
    <w:p w14:paraId="4A03A131" w14:textId="55D4D843" w:rsidR="00D908CC" w:rsidRPr="00D908CC" w:rsidRDefault="00D908CC" w:rsidP="0017282C">
      <w:pPr>
        <w:numPr>
          <w:ilvl w:val="0"/>
          <w:numId w:val="23"/>
        </w:num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„O</w:t>
      </w:r>
      <w:r w:rsidRPr="00D908CC">
        <w:rPr>
          <w:rFonts w:cstheme="minorHAnsi"/>
          <w:sz w:val="24"/>
          <w:szCs w:val="24"/>
        </w:rPr>
        <w:t>krojona</w:t>
      </w:r>
      <w:r>
        <w:rPr>
          <w:rFonts w:cstheme="minorHAnsi"/>
          <w:sz w:val="24"/>
          <w:szCs w:val="24"/>
        </w:rPr>
        <w:t>”</w:t>
      </w:r>
      <w:r w:rsidRPr="00D908CC">
        <w:rPr>
          <w:rFonts w:cstheme="minorHAnsi"/>
          <w:sz w:val="24"/>
          <w:szCs w:val="24"/>
        </w:rPr>
        <w:t xml:space="preserve"> ocena w kryterium 3 Budżet projektu z uwagi na zastosowanie kwot ryczałtowych</w:t>
      </w:r>
      <w:r>
        <w:rPr>
          <w:rFonts w:cstheme="minorHAnsi"/>
          <w:sz w:val="24"/>
          <w:szCs w:val="24"/>
        </w:rPr>
        <w:t>.</w:t>
      </w:r>
    </w:p>
    <w:p w14:paraId="085291AD" w14:textId="20051696" w:rsidR="00041DBD" w:rsidRPr="00D908CC" w:rsidRDefault="00D908CC" w:rsidP="0017282C">
      <w:pPr>
        <w:numPr>
          <w:ilvl w:val="0"/>
          <w:numId w:val="23"/>
        </w:num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D908CC">
        <w:rPr>
          <w:rFonts w:cstheme="minorHAnsi"/>
          <w:sz w:val="24"/>
          <w:szCs w:val="24"/>
        </w:rPr>
        <w:t>skaźniki środowiskowe oceniane oddzielnie w kryterium nr 8 Projekt spełnia zasadę zrównoważonego rozwoju, bez wpływu na ocenę projektu w kryterium nr 4 Wskaźniki projektu.</w:t>
      </w:r>
    </w:p>
    <w:p w14:paraId="70AD0839" w14:textId="77777777" w:rsidR="00DB1DD4" w:rsidRPr="002F0D54" w:rsidRDefault="00DB1DD4" w:rsidP="0017282C">
      <w:pPr>
        <w:pStyle w:val="Nagwek2"/>
        <w:spacing w:before="120" w:after="120" w:line="276" w:lineRule="auto"/>
      </w:pPr>
      <w:r w:rsidRPr="002F0D54">
        <w:t>To Twój moment na rozwój!</w:t>
      </w:r>
    </w:p>
    <w:p w14:paraId="4FF7EC35" w14:textId="00D353E6" w:rsidR="00DB1DD4" w:rsidRPr="00DB1DD4" w:rsidRDefault="00041DBD" w:rsidP="0017282C">
      <w:p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="00DB1DD4" w:rsidRPr="00DB1DD4">
        <w:rPr>
          <w:rFonts w:cstheme="minorHAnsi"/>
          <w:sz w:val="24"/>
          <w:szCs w:val="24"/>
        </w:rPr>
        <w:t xml:space="preserve">Granty na </w:t>
      </w:r>
      <w:proofErr w:type="spellStart"/>
      <w:r w:rsidR="00DB1DD4" w:rsidRPr="00DB1DD4">
        <w:rPr>
          <w:rFonts w:cstheme="minorHAnsi"/>
          <w:sz w:val="24"/>
          <w:szCs w:val="24"/>
        </w:rPr>
        <w:t>Eurogranty</w:t>
      </w:r>
      <w:proofErr w:type="spellEnd"/>
      <w:r w:rsidR="00DB1DD4" w:rsidRPr="00DB1DD4">
        <w:rPr>
          <w:rFonts w:cstheme="minorHAnsi"/>
          <w:sz w:val="24"/>
          <w:szCs w:val="24"/>
        </w:rPr>
        <w:t>” to konkretne wsparcie finansowe</w:t>
      </w:r>
      <w:r>
        <w:rPr>
          <w:rFonts w:cstheme="minorHAnsi"/>
          <w:sz w:val="24"/>
          <w:szCs w:val="24"/>
        </w:rPr>
        <w:t xml:space="preserve">. Jednak </w:t>
      </w:r>
      <w:r w:rsidR="00DB1DD4" w:rsidRPr="00DB1DD4">
        <w:rPr>
          <w:rFonts w:cstheme="minorHAnsi"/>
          <w:sz w:val="24"/>
          <w:szCs w:val="24"/>
        </w:rPr>
        <w:t>PARP pomaga także przełamać bariery wejścia w świat dużych, międzynarodowych projektów</w:t>
      </w:r>
      <w:r>
        <w:rPr>
          <w:rFonts w:cstheme="minorHAnsi"/>
          <w:sz w:val="24"/>
          <w:szCs w:val="24"/>
        </w:rPr>
        <w:t>,</w:t>
      </w:r>
      <w:r w:rsidR="00DB1DD4" w:rsidRPr="00DB1DD4">
        <w:rPr>
          <w:rFonts w:cstheme="minorHAnsi"/>
          <w:sz w:val="24"/>
          <w:szCs w:val="24"/>
        </w:rPr>
        <w:t xml:space="preserve"> promując odwagę i rozwój kompetencji. Dla wielu przedsiębiorców i zespołów badawczych ten pierwszy krok – </w:t>
      </w:r>
      <w:r w:rsidR="00DB1DD4" w:rsidRPr="00DB1DD4">
        <w:rPr>
          <w:rFonts w:cstheme="minorHAnsi"/>
          <w:sz w:val="24"/>
          <w:szCs w:val="24"/>
        </w:rPr>
        <w:lastRenderedPageBreak/>
        <w:t>profesjonalne przygotowanie aplikacji – to przepustka do sukcesów, o których wcześniej można było tylko marzyć. Bo choć innowacyjność zaczyna się od idei, to bez odpowiedniego wsparcia trudno jej przebić się przez europejską konkurencję.</w:t>
      </w:r>
    </w:p>
    <w:p w14:paraId="0797A8CE" w14:textId="77777777" w:rsidR="00DB1DD4" w:rsidRPr="00DB1DD4" w:rsidRDefault="00DB1DD4" w:rsidP="0017282C">
      <w:pPr>
        <w:spacing w:before="120" w:after="120" w:line="276" w:lineRule="auto"/>
        <w:rPr>
          <w:rFonts w:cstheme="minorHAnsi"/>
          <w:sz w:val="24"/>
          <w:szCs w:val="24"/>
        </w:rPr>
      </w:pPr>
      <w:r w:rsidRPr="00DB1DD4">
        <w:rPr>
          <w:rFonts w:cstheme="minorHAnsi"/>
          <w:sz w:val="24"/>
          <w:szCs w:val="24"/>
        </w:rPr>
        <w:t>Masz pomysł, który może zrewolucjonizować rynek? Czas go pokazać światu.</w:t>
      </w:r>
    </w:p>
    <w:p w14:paraId="60338B40" w14:textId="77777777" w:rsidR="00DB1DD4" w:rsidRPr="00DB1DD4" w:rsidRDefault="00DB1DD4" w:rsidP="0017282C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DB1DD4">
        <w:rPr>
          <w:rFonts w:cstheme="minorHAnsi"/>
          <w:b/>
          <w:bCs/>
          <w:sz w:val="24"/>
          <w:szCs w:val="24"/>
        </w:rPr>
        <w:t>Nabór rusza 12 sierpnia 2025 r. Więcej informacji i szczegółowe zasady znajdziesz na stronie PARP: </w:t>
      </w:r>
    </w:p>
    <w:p w14:paraId="3471FABB" w14:textId="77777777" w:rsidR="00DB1DD4" w:rsidRDefault="00DB1DD4" w:rsidP="00DB1DD4">
      <w:pPr>
        <w:spacing w:before="120" w:after="120" w:line="276" w:lineRule="auto"/>
        <w:rPr>
          <w:rFonts w:cstheme="minorHAnsi"/>
          <w:sz w:val="24"/>
          <w:szCs w:val="24"/>
        </w:rPr>
      </w:pPr>
      <w:hyperlink r:id="rId12" w:history="1">
        <w:r w:rsidRPr="00DB1DD4">
          <w:rPr>
            <w:rStyle w:val="Hipercze"/>
            <w:rFonts w:cstheme="minorHAnsi"/>
            <w:sz w:val="24"/>
            <w:szCs w:val="24"/>
          </w:rPr>
          <w:t>https://feng.parp.gov.pl/component/grants/grants/granty-na-eurogranty-1</w:t>
        </w:r>
      </w:hyperlink>
      <w:r w:rsidRPr="00DB1DD4">
        <w:rPr>
          <w:rFonts w:cstheme="minorHAnsi"/>
          <w:sz w:val="24"/>
          <w:szCs w:val="24"/>
        </w:rPr>
        <w:t> </w:t>
      </w:r>
    </w:p>
    <w:p w14:paraId="29184BE5" w14:textId="77777777" w:rsidR="0017282C" w:rsidRPr="00DB1DD4" w:rsidRDefault="0017282C" w:rsidP="00DB1DD4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087EB925" w14:textId="6A2EADC5" w:rsidR="006501D5" w:rsidRPr="00BE6F78" w:rsidRDefault="0017282C" w:rsidP="002647EC">
      <w:pPr>
        <w:spacing w:before="120" w:after="120" w:line="276" w:lineRule="auto"/>
        <w:rPr>
          <w:rFonts w:ascii="Calibri" w:eastAsiaTheme="majorEastAsia" w:hAnsi="Calibri" w:cstheme="minorHAnsi"/>
          <w:color w:val="000000" w:themeColor="text1"/>
          <w:sz w:val="24"/>
          <w:szCs w:val="24"/>
        </w:rPr>
      </w:pPr>
      <w:r>
        <w:rPr>
          <w:rFonts w:ascii="Calibri" w:eastAsiaTheme="majorEastAsia" w:hAnsi="Calibri" w:cstheme="minorHAnsi"/>
          <w:noProof/>
          <w:color w:val="000000" w:themeColor="text1"/>
          <w:sz w:val="24"/>
          <w:szCs w:val="24"/>
        </w:rPr>
        <w:drawing>
          <wp:inline distT="0" distB="0" distL="0" distR="0" wp14:anchorId="1BCD582D" wp14:editId="047B6804">
            <wp:extent cx="5760720" cy="412750"/>
            <wp:effectExtent l="0" t="0" r="0" b="6350"/>
            <wp:docPr id="727490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49066" name="Obraz 7274906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01D5" w:rsidRPr="00BE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25065" w14:textId="77777777" w:rsidR="00134174" w:rsidRDefault="00134174" w:rsidP="001305C5">
      <w:pPr>
        <w:spacing w:after="0" w:line="240" w:lineRule="auto"/>
      </w:pPr>
      <w:r>
        <w:separator/>
      </w:r>
    </w:p>
  </w:endnote>
  <w:endnote w:type="continuationSeparator" w:id="0">
    <w:p w14:paraId="6E7E7850" w14:textId="77777777" w:rsidR="00134174" w:rsidRDefault="00134174" w:rsidP="0013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47BD1" w14:textId="77777777" w:rsidR="00134174" w:rsidRDefault="00134174" w:rsidP="001305C5">
      <w:pPr>
        <w:spacing w:after="0" w:line="240" w:lineRule="auto"/>
      </w:pPr>
      <w:r>
        <w:separator/>
      </w:r>
    </w:p>
  </w:footnote>
  <w:footnote w:type="continuationSeparator" w:id="0">
    <w:p w14:paraId="1E09EDBE" w14:textId="77777777" w:rsidR="00134174" w:rsidRDefault="00134174" w:rsidP="00130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D2C"/>
    <w:multiLevelType w:val="multilevel"/>
    <w:tmpl w:val="1FFC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709E7"/>
    <w:multiLevelType w:val="hybridMultilevel"/>
    <w:tmpl w:val="066CB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E2414"/>
    <w:multiLevelType w:val="multilevel"/>
    <w:tmpl w:val="A2925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D12E3"/>
    <w:multiLevelType w:val="hybridMultilevel"/>
    <w:tmpl w:val="84900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E4FF4"/>
    <w:multiLevelType w:val="hybridMultilevel"/>
    <w:tmpl w:val="02446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12C30"/>
    <w:multiLevelType w:val="multilevel"/>
    <w:tmpl w:val="F1E6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A967F2"/>
    <w:multiLevelType w:val="hybridMultilevel"/>
    <w:tmpl w:val="4D94BFE0"/>
    <w:lvl w:ilvl="0" w:tplc="95BCE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E5879"/>
    <w:multiLevelType w:val="hybridMultilevel"/>
    <w:tmpl w:val="E25C5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514D5"/>
    <w:multiLevelType w:val="hybridMultilevel"/>
    <w:tmpl w:val="BCF6B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469EA"/>
    <w:multiLevelType w:val="multilevel"/>
    <w:tmpl w:val="1A5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6E4D9E"/>
    <w:multiLevelType w:val="multilevel"/>
    <w:tmpl w:val="BFDC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E87674"/>
    <w:multiLevelType w:val="hybridMultilevel"/>
    <w:tmpl w:val="329CD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C222C"/>
    <w:multiLevelType w:val="hybridMultilevel"/>
    <w:tmpl w:val="69D6B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3152E"/>
    <w:multiLevelType w:val="multilevel"/>
    <w:tmpl w:val="9312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1F073A"/>
    <w:multiLevelType w:val="multilevel"/>
    <w:tmpl w:val="EB3C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F86F01"/>
    <w:multiLevelType w:val="hybridMultilevel"/>
    <w:tmpl w:val="9FC4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9855C5"/>
    <w:multiLevelType w:val="multilevel"/>
    <w:tmpl w:val="7A5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6F051D"/>
    <w:multiLevelType w:val="hybridMultilevel"/>
    <w:tmpl w:val="D14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606C0"/>
    <w:multiLevelType w:val="multilevel"/>
    <w:tmpl w:val="42CE2A9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50975015">
    <w:abstractNumId w:val="6"/>
  </w:num>
  <w:num w:numId="2" w16cid:durableId="786629129">
    <w:abstractNumId w:val="19"/>
  </w:num>
  <w:num w:numId="3" w16cid:durableId="607390910">
    <w:abstractNumId w:val="1"/>
  </w:num>
  <w:num w:numId="4" w16cid:durableId="509375921">
    <w:abstractNumId w:val="16"/>
  </w:num>
  <w:num w:numId="5" w16cid:durableId="1624732920">
    <w:abstractNumId w:val="0"/>
  </w:num>
  <w:num w:numId="6" w16cid:durableId="1552302551">
    <w:abstractNumId w:val="7"/>
  </w:num>
  <w:num w:numId="7" w16cid:durableId="291055369">
    <w:abstractNumId w:val="11"/>
  </w:num>
  <w:num w:numId="8" w16cid:durableId="56824066">
    <w:abstractNumId w:val="15"/>
  </w:num>
  <w:num w:numId="9" w16cid:durableId="1969512268">
    <w:abstractNumId w:val="8"/>
  </w:num>
  <w:num w:numId="10" w16cid:durableId="193272289">
    <w:abstractNumId w:val="18"/>
  </w:num>
  <w:num w:numId="11" w16cid:durableId="1457021209">
    <w:abstractNumId w:val="4"/>
  </w:num>
  <w:num w:numId="12" w16cid:durableId="387847210">
    <w:abstractNumId w:val="3"/>
  </w:num>
  <w:num w:numId="13" w16cid:durableId="917598740">
    <w:abstractNumId w:val="17"/>
  </w:num>
  <w:num w:numId="14" w16cid:durableId="1750155627">
    <w:abstractNumId w:val="9"/>
  </w:num>
  <w:num w:numId="15" w16cid:durableId="952245320">
    <w:abstractNumId w:val="14"/>
  </w:num>
  <w:num w:numId="16" w16cid:durableId="1061054788">
    <w:abstractNumId w:val="13"/>
  </w:num>
  <w:num w:numId="17" w16cid:durableId="382028450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020666717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493569783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552694424">
    <w:abstractNumId w:val="10"/>
  </w:num>
  <w:num w:numId="21" w16cid:durableId="2078092871">
    <w:abstractNumId w:val="5"/>
  </w:num>
  <w:num w:numId="22" w16cid:durableId="1721514304">
    <w:abstractNumId w:val="2"/>
  </w:num>
  <w:num w:numId="23" w16cid:durableId="5647291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AB"/>
    <w:rsid w:val="00016940"/>
    <w:rsid w:val="00016A57"/>
    <w:rsid w:val="000210B0"/>
    <w:rsid w:val="000322AA"/>
    <w:rsid w:val="00041DBD"/>
    <w:rsid w:val="00055C39"/>
    <w:rsid w:val="0006592A"/>
    <w:rsid w:val="00075049"/>
    <w:rsid w:val="000A2B7E"/>
    <w:rsid w:val="000A344C"/>
    <w:rsid w:val="000A3E78"/>
    <w:rsid w:val="000B53D4"/>
    <w:rsid w:val="000C0C0C"/>
    <w:rsid w:val="000C10C5"/>
    <w:rsid w:val="000C3660"/>
    <w:rsid w:val="000D4591"/>
    <w:rsid w:val="000F004E"/>
    <w:rsid w:val="000F0719"/>
    <w:rsid w:val="000F5521"/>
    <w:rsid w:val="000F79C2"/>
    <w:rsid w:val="00104221"/>
    <w:rsid w:val="0010752E"/>
    <w:rsid w:val="00110CC4"/>
    <w:rsid w:val="001153A3"/>
    <w:rsid w:val="00125459"/>
    <w:rsid w:val="001305C5"/>
    <w:rsid w:val="0013332F"/>
    <w:rsid w:val="0013369E"/>
    <w:rsid w:val="00133BE9"/>
    <w:rsid w:val="00134174"/>
    <w:rsid w:val="0014477C"/>
    <w:rsid w:val="001626AF"/>
    <w:rsid w:val="00164C92"/>
    <w:rsid w:val="0017282C"/>
    <w:rsid w:val="0017444D"/>
    <w:rsid w:val="00185EAB"/>
    <w:rsid w:val="00193244"/>
    <w:rsid w:val="001D5A9F"/>
    <w:rsid w:val="001E03A1"/>
    <w:rsid w:val="001E3E93"/>
    <w:rsid w:val="002027A3"/>
    <w:rsid w:val="00221B3A"/>
    <w:rsid w:val="00230CA5"/>
    <w:rsid w:val="0024444F"/>
    <w:rsid w:val="002570F2"/>
    <w:rsid w:val="002647EC"/>
    <w:rsid w:val="00280CB5"/>
    <w:rsid w:val="002C3D78"/>
    <w:rsid w:val="002E64DB"/>
    <w:rsid w:val="002F0D54"/>
    <w:rsid w:val="002F5D19"/>
    <w:rsid w:val="0030747E"/>
    <w:rsid w:val="003117EE"/>
    <w:rsid w:val="003263B0"/>
    <w:rsid w:val="003713BF"/>
    <w:rsid w:val="003779A6"/>
    <w:rsid w:val="003948D1"/>
    <w:rsid w:val="003960E9"/>
    <w:rsid w:val="003A3E64"/>
    <w:rsid w:val="003B2E21"/>
    <w:rsid w:val="003B3960"/>
    <w:rsid w:val="003B4862"/>
    <w:rsid w:val="003C3DD8"/>
    <w:rsid w:val="003D43B4"/>
    <w:rsid w:val="003D6A9B"/>
    <w:rsid w:val="004021A6"/>
    <w:rsid w:val="004024D6"/>
    <w:rsid w:val="00412B2B"/>
    <w:rsid w:val="00420385"/>
    <w:rsid w:val="00427841"/>
    <w:rsid w:val="004301E6"/>
    <w:rsid w:val="0044142F"/>
    <w:rsid w:val="00443A3A"/>
    <w:rsid w:val="00446BCC"/>
    <w:rsid w:val="004700BC"/>
    <w:rsid w:val="004A456C"/>
    <w:rsid w:val="004B0DA6"/>
    <w:rsid w:val="004C701E"/>
    <w:rsid w:val="004D405A"/>
    <w:rsid w:val="004F6E28"/>
    <w:rsid w:val="005062C5"/>
    <w:rsid w:val="00516E9C"/>
    <w:rsid w:val="00544D3B"/>
    <w:rsid w:val="005539D3"/>
    <w:rsid w:val="00557FFB"/>
    <w:rsid w:val="00560CE5"/>
    <w:rsid w:val="0056206E"/>
    <w:rsid w:val="00565EE2"/>
    <w:rsid w:val="005711B4"/>
    <w:rsid w:val="00582E88"/>
    <w:rsid w:val="00591EFB"/>
    <w:rsid w:val="005B257F"/>
    <w:rsid w:val="005B5B1C"/>
    <w:rsid w:val="005C4354"/>
    <w:rsid w:val="005C7B4D"/>
    <w:rsid w:val="005D093F"/>
    <w:rsid w:val="005F2BF3"/>
    <w:rsid w:val="0061250F"/>
    <w:rsid w:val="00617099"/>
    <w:rsid w:val="0062154C"/>
    <w:rsid w:val="00641D0C"/>
    <w:rsid w:val="006429C6"/>
    <w:rsid w:val="00645B0B"/>
    <w:rsid w:val="006501D5"/>
    <w:rsid w:val="00653D4D"/>
    <w:rsid w:val="00694729"/>
    <w:rsid w:val="0069732B"/>
    <w:rsid w:val="006A3ACF"/>
    <w:rsid w:val="006A6FF7"/>
    <w:rsid w:val="006A7E37"/>
    <w:rsid w:val="006B6EFC"/>
    <w:rsid w:val="006D4A41"/>
    <w:rsid w:val="00705BC9"/>
    <w:rsid w:val="00710EAA"/>
    <w:rsid w:val="0071283D"/>
    <w:rsid w:val="007203D7"/>
    <w:rsid w:val="00737190"/>
    <w:rsid w:val="00737469"/>
    <w:rsid w:val="0074746A"/>
    <w:rsid w:val="00751E31"/>
    <w:rsid w:val="0075501A"/>
    <w:rsid w:val="00757066"/>
    <w:rsid w:val="0076781D"/>
    <w:rsid w:val="00772D2E"/>
    <w:rsid w:val="007735BB"/>
    <w:rsid w:val="00780DC3"/>
    <w:rsid w:val="00785450"/>
    <w:rsid w:val="007A3848"/>
    <w:rsid w:val="007A7704"/>
    <w:rsid w:val="007B1D62"/>
    <w:rsid w:val="007C4BBD"/>
    <w:rsid w:val="007C5273"/>
    <w:rsid w:val="007C6F72"/>
    <w:rsid w:val="007C7668"/>
    <w:rsid w:val="007E2C59"/>
    <w:rsid w:val="00814BD5"/>
    <w:rsid w:val="00814C5D"/>
    <w:rsid w:val="008362B3"/>
    <w:rsid w:val="00837FF6"/>
    <w:rsid w:val="00840D54"/>
    <w:rsid w:val="008529C6"/>
    <w:rsid w:val="0088151A"/>
    <w:rsid w:val="008858B6"/>
    <w:rsid w:val="00886C62"/>
    <w:rsid w:val="008877E9"/>
    <w:rsid w:val="008A4555"/>
    <w:rsid w:val="008A60E6"/>
    <w:rsid w:val="008B01DF"/>
    <w:rsid w:val="008C1879"/>
    <w:rsid w:val="008F73FA"/>
    <w:rsid w:val="009075D3"/>
    <w:rsid w:val="00914ED1"/>
    <w:rsid w:val="009151E4"/>
    <w:rsid w:val="00920B02"/>
    <w:rsid w:val="009215A0"/>
    <w:rsid w:val="009249FD"/>
    <w:rsid w:val="00924CEB"/>
    <w:rsid w:val="00926F4A"/>
    <w:rsid w:val="0093350E"/>
    <w:rsid w:val="00941FAC"/>
    <w:rsid w:val="009517CC"/>
    <w:rsid w:val="00952B12"/>
    <w:rsid w:val="00957CDE"/>
    <w:rsid w:val="00961D91"/>
    <w:rsid w:val="00961DE6"/>
    <w:rsid w:val="00965B1D"/>
    <w:rsid w:val="00975D27"/>
    <w:rsid w:val="009818FD"/>
    <w:rsid w:val="009A227B"/>
    <w:rsid w:val="009A2875"/>
    <w:rsid w:val="009A6307"/>
    <w:rsid w:val="009B544E"/>
    <w:rsid w:val="009B574A"/>
    <w:rsid w:val="009B5A1F"/>
    <w:rsid w:val="009C73AA"/>
    <w:rsid w:val="009D6779"/>
    <w:rsid w:val="009D7966"/>
    <w:rsid w:val="00A13788"/>
    <w:rsid w:val="00A151DD"/>
    <w:rsid w:val="00A1607E"/>
    <w:rsid w:val="00A252EA"/>
    <w:rsid w:val="00A53625"/>
    <w:rsid w:val="00A63E09"/>
    <w:rsid w:val="00A666A5"/>
    <w:rsid w:val="00A67D69"/>
    <w:rsid w:val="00A85246"/>
    <w:rsid w:val="00A8734A"/>
    <w:rsid w:val="00A972F9"/>
    <w:rsid w:val="00AB222E"/>
    <w:rsid w:val="00AB7D3A"/>
    <w:rsid w:val="00AC761E"/>
    <w:rsid w:val="00AE039C"/>
    <w:rsid w:val="00AE785D"/>
    <w:rsid w:val="00B25FE6"/>
    <w:rsid w:val="00B362AE"/>
    <w:rsid w:val="00B40AFC"/>
    <w:rsid w:val="00B50B6E"/>
    <w:rsid w:val="00B628E3"/>
    <w:rsid w:val="00B6663A"/>
    <w:rsid w:val="00B8239A"/>
    <w:rsid w:val="00B82807"/>
    <w:rsid w:val="00B85D85"/>
    <w:rsid w:val="00B97C55"/>
    <w:rsid w:val="00BA4F40"/>
    <w:rsid w:val="00BA756B"/>
    <w:rsid w:val="00BB224A"/>
    <w:rsid w:val="00BB5BAC"/>
    <w:rsid w:val="00BB5F05"/>
    <w:rsid w:val="00BC2B31"/>
    <w:rsid w:val="00BC6E1D"/>
    <w:rsid w:val="00BD5968"/>
    <w:rsid w:val="00BD755D"/>
    <w:rsid w:val="00BE6B6A"/>
    <w:rsid w:val="00BE6F78"/>
    <w:rsid w:val="00BF2007"/>
    <w:rsid w:val="00C010C6"/>
    <w:rsid w:val="00C04E90"/>
    <w:rsid w:val="00C206F0"/>
    <w:rsid w:val="00C24268"/>
    <w:rsid w:val="00C35FB6"/>
    <w:rsid w:val="00C40617"/>
    <w:rsid w:val="00C5332E"/>
    <w:rsid w:val="00C710AB"/>
    <w:rsid w:val="00C774B3"/>
    <w:rsid w:val="00C97F91"/>
    <w:rsid w:val="00CB1A06"/>
    <w:rsid w:val="00CC1FD8"/>
    <w:rsid w:val="00CF5FD4"/>
    <w:rsid w:val="00CF7C95"/>
    <w:rsid w:val="00D151EC"/>
    <w:rsid w:val="00D15557"/>
    <w:rsid w:val="00D15DAC"/>
    <w:rsid w:val="00D30B96"/>
    <w:rsid w:val="00D46D5B"/>
    <w:rsid w:val="00D554E0"/>
    <w:rsid w:val="00D61203"/>
    <w:rsid w:val="00D67E68"/>
    <w:rsid w:val="00D81782"/>
    <w:rsid w:val="00D83905"/>
    <w:rsid w:val="00D85639"/>
    <w:rsid w:val="00D908CC"/>
    <w:rsid w:val="00DA21E7"/>
    <w:rsid w:val="00DA227E"/>
    <w:rsid w:val="00DA73CC"/>
    <w:rsid w:val="00DB1DD4"/>
    <w:rsid w:val="00DC55F1"/>
    <w:rsid w:val="00DC6327"/>
    <w:rsid w:val="00DF6BE0"/>
    <w:rsid w:val="00DF72A4"/>
    <w:rsid w:val="00E03AF6"/>
    <w:rsid w:val="00E07DA5"/>
    <w:rsid w:val="00E12A5A"/>
    <w:rsid w:val="00E143F2"/>
    <w:rsid w:val="00E1605E"/>
    <w:rsid w:val="00E23972"/>
    <w:rsid w:val="00E5410D"/>
    <w:rsid w:val="00E56EEB"/>
    <w:rsid w:val="00E57A60"/>
    <w:rsid w:val="00E63CFD"/>
    <w:rsid w:val="00E7556E"/>
    <w:rsid w:val="00E8193A"/>
    <w:rsid w:val="00E8655D"/>
    <w:rsid w:val="00EA508C"/>
    <w:rsid w:val="00EC6482"/>
    <w:rsid w:val="00ED63AB"/>
    <w:rsid w:val="00EF79C7"/>
    <w:rsid w:val="00F0101D"/>
    <w:rsid w:val="00F01AF8"/>
    <w:rsid w:val="00F020AD"/>
    <w:rsid w:val="00F12AF7"/>
    <w:rsid w:val="00F278F3"/>
    <w:rsid w:val="00F31559"/>
    <w:rsid w:val="00F359B9"/>
    <w:rsid w:val="00F44B4A"/>
    <w:rsid w:val="00F477E4"/>
    <w:rsid w:val="00F5194C"/>
    <w:rsid w:val="00F51BB8"/>
    <w:rsid w:val="00F54457"/>
    <w:rsid w:val="00F55195"/>
    <w:rsid w:val="00F55639"/>
    <w:rsid w:val="00F66C2A"/>
    <w:rsid w:val="00F70202"/>
    <w:rsid w:val="00F900A0"/>
    <w:rsid w:val="00F901EA"/>
    <w:rsid w:val="00F9172B"/>
    <w:rsid w:val="00F960D7"/>
    <w:rsid w:val="00FA3316"/>
    <w:rsid w:val="00FA60D6"/>
    <w:rsid w:val="00FC7BF6"/>
    <w:rsid w:val="00FD557F"/>
    <w:rsid w:val="00FD6150"/>
    <w:rsid w:val="00FD7291"/>
    <w:rsid w:val="00FE2B63"/>
    <w:rsid w:val="00FE3CB5"/>
    <w:rsid w:val="00FE4047"/>
    <w:rsid w:val="00FE4111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108"/>
  <w15:chartTrackingRefBased/>
  <w15:docId w15:val="{57E10813-838F-4E6E-A717-22DA02D2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7556E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556E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2B6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7B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3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F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F0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5410D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7556E"/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B222E"/>
    <w:pPr>
      <w:ind w:left="720"/>
      <w:contextualSpacing/>
    </w:p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rsid w:val="00961DE6"/>
  </w:style>
  <w:style w:type="paragraph" w:styleId="NormalnyWeb">
    <w:name w:val="Normal (Web)"/>
    <w:basedOn w:val="Normalny"/>
    <w:uiPriority w:val="99"/>
    <w:unhideWhenUsed/>
    <w:rsid w:val="00DA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97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7556E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5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5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eng.parp.gov.pl/component/grants/grants/granty-na-eurogranty-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prp.gov.pl/pl/aktualnosci/informacje/patent-index-2024-europejska-innowacyjnosc-pozostaje-silna-w-obliczu-globalnej-niepewnosci-gospodarczej-liczba-zgloszen-patentowych-z-polski-nadal-rosn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pw.parp.gov.pl/storage/publications/pdf/ROSS_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a@parp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76678B-5D96-8541-8825-BF82C569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Strojecka</dc:creator>
  <cp:keywords/>
  <dc:description/>
  <cp:lastModifiedBy>Nowicka Luiza</cp:lastModifiedBy>
  <cp:revision>2</cp:revision>
  <dcterms:created xsi:type="dcterms:W3CDTF">2025-08-12T08:42:00Z</dcterms:created>
  <dcterms:modified xsi:type="dcterms:W3CDTF">2025-08-12T08:42:00Z</dcterms:modified>
</cp:coreProperties>
</file>