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4021" w14:textId="77777777" w:rsidR="00312DBB" w:rsidRDefault="00312DBB" w:rsidP="00D72A67">
      <w:pPr>
        <w:jc w:val="both"/>
        <w:rPr>
          <w:b/>
          <w:bCs/>
        </w:rPr>
      </w:pPr>
    </w:p>
    <w:p w14:paraId="712E5158" w14:textId="7A9FAF0A" w:rsidR="00312DBB" w:rsidRPr="00312DBB" w:rsidRDefault="00312DBB" w:rsidP="00D72A67">
      <w:pPr>
        <w:jc w:val="right"/>
      </w:pPr>
      <w:r w:rsidRPr="003D57D3">
        <w:t xml:space="preserve">Katowice, </w:t>
      </w:r>
      <w:r w:rsidR="0024356F">
        <w:t>13</w:t>
      </w:r>
      <w:r w:rsidRPr="003D57D3">
        <w:t>.0</w:t>
      </w:r>
      <w:r>
        <w:t>8</w:t>
      </w:r>
      <w:r w:rsidRPr="003D57D3">
        <w:t>.2025</w:t>
      </w:r>
    </w:p>
    <w:p w14:paraId="40F49A7B" w14:textId="77777777" w:rsidR="00312DBB" w:rsidRDefault="00312DBB" w:rsidP="00D72A67">
      <w:pPr>
        <w:jc w:val="both"/>
        <w:rPr>
          <w:b/>
          <w:bCs/>
          <w:sz w:val="28"/>
          <w:szCs w:val="28"/>
        </w:rPr>
      </w:pPr>
    </w:p>
    <w:p w14:paraId="57F53E9D" w14:textId="2331E8A3" w:rsidR="00EE60C8" w:rsidRPr="00312DBB" w:rsidRDefault="0024356F" w:rsidP="00D72A67">
      <w:pPr>
        <w:jc w:val="both"/>
        <w:rPr>
          <w:b/>
          <w:bCs/>
          <w:sz w:val="28"/>
          <w:szCs w:val="28"/>
        </w:rPr>
      </w:pPr>
      <w:r w:rsidRPr="00D61112">
        <w:rPr>
          <w:b/>
          <w:bCs/>
          <w:sz w:val="28"/>
          <w:szCs w:val="28"/>
        </w:rPr>
        <w:t xml:space="preserve">TDJ Estate sprzedaje </w:t>
      </w:r>
      <w:r>
        <w:rPr>
          <w:b/>
          <w:bCs/>
          <w:sz w:val="28"/>
          <w:szCs w:val="28"/>
        </w:rPr>
        <w:t xml:space="preserve">pierwszy </w:t>
      </w:r>
      <w:r w:rsidRPr="00D61112">
        <w:rPr>
          <w:b/>
          <w:bCs/>
          <w:sz w:val="28"/>
          <w:szCs w:val="28"/>
        </w:rPr>
        <w:t>etap Fabryka Park w Katowicach Newgate Investment</w:t>
      </w:r>
    </w:p>
    <w:p w14:paraId="1A6ECBE1" w14:textId="003B3821" w:rsidR="00D72A67" w:rsidRPr="00D61112" w:rsidRDefault="00D72A67" w:rsidP="00D72A67">
      <w:pPr>
        <w:jc w:val="both"/>
        <w:rPr>
          <w:b/>
          <w:bCs/>
        </w:rPr>
      </w:pPr>
      <w:r w:rsidRPr="00D61112">
        <w:rPr>
          <w:b/>
          <w:bCs/>
        </w:rPr>
        <w:t>TDJ Estate sfinalizowało sprzedaż pierwszego etapu parku handlowego Fabryka Park w Katowicach na rzecz Newgate Investment. Transakcja obejmuje trzy budynki</w:t>
      </w:r>
      <w:r>
        <w:rPr>
          <w:b/>
          <w:bCs/>
        </w:rPr>
        <w:br/>
      </w:r>
      <w:r w:rsidRPr="00D61112">
        <w:rPr>
          <w:b/>
          <w:bCs/>
        </w:rPr>
        <w:t>o łącznej powierzchni blisko 9 000 mkw. Obiekt jest w pełni skomercjalizowany.</w:t>
      </w:r>
    </w:p>
    <w:p w14:paraId="27903D5C" w14:textId="2B2CAC71" w:rsidR="00D72A67" w:rsidRPr="005744FB" w:rsidRDefault="00D72A67" w:rsidP="00D72A67">
      <w:pPr>
        <w:jc w:val="both"/>
      </w:pPr>
      <w:r w:rsidRPr="00D61112">
        <w:t>Pierwszy etap Fabryka Park, zlokalizowany w dzielnicy Piotrowice, został oddany</w:t>
      </w:r>
      <w:r>
        <w:br/>
      </w:r>
      <w:r w:rsidRPr="005744FB">
        <w:t>do użytku w grudniu 2023 roku. Jego wyróżnikiem jest doskonała lokalizacja w rejonie ulic Tadeusza Kościuszki i Armii Krajowej, w pobliżu przystanków komunikacji miejskiej i stacji kolejowej Katowice Piotrowice. W niewielkiej odległości położone są też osiedla Ligota-Panewniki i Piotrowice-Ochojec</w:t>
      </w:r>
      <w:r w:rsidR="001600F7" w:rsidRPr="005744FB">
        <w:t>,</w:t>
      </w:r>
      <w:r w:rsidRPr="005744FB">
        <w:t xml:space="preserve"> zamieszkane przez ok. 50 tys. osób.</w:t>
      </w:r>
    </w:p>
    <w:p w14:paraId="638EC09C" w14:textId="77777777" w:rsidR="00D72A67" w:rsidRPr="005744FB" w:rsidRDefault="00D72A67" w:rsidP="00D72A67">
      <w:pPr>
        <w:jc w:val="both"/>
      </w:pPr>
      <w:r w:rsidRPr="005744FB">
        <w:t>Portfolio najemców kompleksu obejmuje placówki o zróżnicowanej ofercie, w tym punkty takich marek jak Action, Jysk, Maxi Zoo, Media Expert, Pepco, Rossmann, Sinsay, TEDi, Woolworth czy Ziko Optyk.</w:t>
      </w:r>
    </w:p>
    <w:p w14:paraId="767FFC1E" w14:textId="173BA36D" w:rsidR="00D72A67" w:rsidRPr="005744FB" w:rsidRDefault="00D72A67" w:rsidP="00D72A67">
      <w:pPr>
        <w:jc w:val="both"/>
      </w:pPr>
      <w:r w:rsidRPr="005744FB">
        <w:t xml:space="preserve">– </w:t>
      </w:r>
      <w:r w:rsidRPr="005744FB">
        <w:rPr>
          <w:i/>
          <w:iCs/>
        </w:rPr>
        <w:t>Fabryka Park to przykład inwestycji odpowiadającej na potrzeby lokalnej społeczności, co potwierdza jej pełna komercjalizacja. Cieszymy się, że projekt wzbudził zainteresowanie doświadczonego inwestora</w:t>
      </w:r>
      <w:r w:rsidR="00CD53D1" w:rsidRPr="005744FB">
        <w:rPr>
          <w:i/>
          <w:iCs/>
        </w:rPr>
        <w:t>,</w:t>
      </w:r>
      <w:r w:rsidRPr="005744FB">
        <w:rPr>
          <w:i/>
          <w:iCs/>
        </w:rPr>
        <w:t xml:space="preserve"> jakim jest Newgate Investment. To także przykład synergii pomiędzy spółkami TDJ, która pozwoliła na ożywienie poprzemysłowych terenów dawnych zakładów Famur</w:t>
      </w:r>
      <w:r w:rsidRPr="005744FB">
        <w:t xml:space="preserve"> – mówi </w:t>
      </w:r>
      <w:r w:rsidRPr="005744FB">
        <w:rPr>
          <w:b/>
          <w:bCs/>
        </w:rPr>
        <w:t>Jarosław Łysik</w:t>
      </w:r>
      <w:r w:rsidRPr="005744FB">
        <w:t>, Manager ds. obrotu nieruchomościami w TDJ Estate.</w:t>
      </w:r>
    </w:p>
    <w:p w14:paraId="26F81285" w14:textId="7BC993F2" w:rsidR="00D72A67" w:rsidRPr="005744FB" w:rsidRDefault="00D72A67" w:rsidP="00D72A67">
      <w:pPr>
        <w:jc w:val="both"/>
      </w:pPr>
      <w:r w:rsidRPr="005744FB">
        <w:t>Newgate Investment</w:t>
      </w:r>
      <w:r w:rsidR="00127713" w:rsidRPr="005744FB">
        <w:t xml:space="preserve"> (NGI) </w:t>
      </w:r>
      <w:r w:rsidR="00127713" w:rsidRPr="005744FB">
        <w:rPr>
          <w:rFonts w:ascii="Aptos" w:eastAsia="AppleSystemUIFont" w:hAnsi="Aptos" w:cs="Times New Roman"/>
        </w:rPr>
        <w:t xml:space="preserve">to wyspecjalizowana firma budująca wartość parków i innych mniejszych nieruchomości handlowych na rzecz inwestorów. NGI </w:t>
      </w:r>
      <w:r w:rsidRPr="005744FB">
        <w:t>posiada ponad 11 lat doświadczenia na polskich rynkach lokalnych. Łączy kompetencje wysokiej klasy specjalistów w zakresie investment, asset i property management z ekspertyzą w dziedzinie komercjalizacji, finansów i zarządzania projektami.</w:t>
      </w:r>
    </w:p>
    <w:p w14:paraId="500B4D16" w14:textId="1296D7E2" w:rsidR="00127713" w:rsidRPr="005744FB" w:rsidRDefault="005744FB" w:rsidP="005744FB">
      <w:pPr>
        <w:jc w:val="both"/>
        <w:rPr>
          <w:i/>
          <w:iCs/>
        </w:rPr>
      </w:pPr>
      <w:r w:rsidRPr="005744FB">
        <w:t>–</w:t>
      </w:r>
      <w:r>
        <w:t xml:space="preserve"> </w:t>
      </w:r>
      <w:r w:rsidR="00127713" w:rsidRPr="005744FB">
        <w:rPr>
          <w:i/>
          <w:iCs/>
        </w:rPr>
        <w:t xml:space="preserve">Fabryka Park Katowice to dla nas modelowy park handlowy z silnym zestawem najemców dopasowanym do potrzeb lokalnych społeczności. Projekt zapewnia możliwość dalszej rozbudowy, co jest w pełni uzasadnione ze względu na duże zasięgi i potencjał ekonomiczny katowickiego i szerzej śląskiego regionu – jest to najgęściej zaludniony obszar w kraju z rozbudowaną siecią dróg i połączeń kolejowych - </w:t>
      </w:r>
      <w:r w:rsidR="00127713" w:rsidRPr="005744FB">
        <w:t xml:space="preserve">mówi </w:t>
      </w:r>
      <w:r w:rsidR="00127713" w:rsidRPr="005744FB">
        <w:rPr>
          <w:b/>
          <w:bCs/>
        </w:rPr>
        <w:lastRenderedPageBreak/>
        <w:t>Krystian Modrzejewski</w:t>
      </w:r>
      <w:r w:rsidR="00127713" w:rsidRPr="005744FB">
        <w:t>, Chief Investment Officer w Newgate Investment.</w:t>
      </w:r>
      <w:r w:rsidR="00127713" w:rsidRPr="005744FB">
        <w:rPr>
          <w:i/>
          <w:iCs/>
        </w:rPr>
        <w:t xml:space="preserve"> </w:t>
      </w:r>
      <w:r w:rsidRPr="005744FB">
        <w:t>–</w:t>
      </w:r>
      <w:r>
        <w:t xml:space="preserve"> </w:t>
      </w:r>
      <w:r w:rsidR="00127713" w:rsidRPr="005744FB">
        <w:rPr>
          <w:i/>
          <w:iCs/>
        </w:rPr>
        <w:t xml:space="preserve">To kolejny zakup Newgate Investment w tym roku, który podkreśla nasz inwestycyjny apetyt na dominujące  w swoich regionach obiekty handlowe z dużym potencjałem wygenerowania dodatkowej wartości dla naszych inwestorów – </w:t>
      </w:r>
      <w:r w:rsidR="00127713" w:rsidRPr="005744FB">
        <w:t xml:space="preserve">podkreśla </w:t>
      </w:r>
      <w:r w:rsidR="00127713" w:rsidRPr="005744FB">
        <w:rPr>
          <w:b/>
          <w:bCs/>
        </w:rPr>
        <w:t>Krystian Modrzejewski.</w:t>
      </w:r>
    </w:p>
    <w:p w14:paraId="7E6E2934" w14:textId="3F602A06" w:rsidR="00D72A67" w:rsidRPr="00D61112" w:rsidRDefault="00D72A67" w:rsidP="00D72A67">
      <w:pPr>
        <w:jc w:val="both"/>
      </w:pPr>
      <w:r w:rsidRPr="00D61112">
        <w:t>W transakcji doradzała firma Colliers.</w:t>
      </w:r>
    </w:p>
    <w:p w14:paraId="7AD317BC" w14:textId="61D7CF98" w:rsidR="00566B63" w:rsidRPr="00566B63" w:rsidRDefault="00566B63" w:rsidP="005866ED">
      <w:pPr>
        <w:spacing w:after="0"/>
        <w:jc w:val="both"/>
        <w:rPr>
          <w:b/>
          <w:bCs/>
        </w:rPr>
      </w:pPr>
      <w:r w:rsidRPr="00566B63">
        <w:rPr>
          <w:b/>
          <w:bCs/>
        </w:rPr>
        <w:t xml:space="preserve">Fabryka Park rośnie </w:t>
      </w:r>
    </w:p>
    <w:p w14:paraId="632F9AF6" w14:textId="2EDEF820" w:rsidR="00D72A67" w:rsidRPr="00D61112" w:rsidRDefault="00D72A67" w:rsidP="005866ED">
      <w:pPr>
        <w:spacing w:after="0"/>
        <w:jc w:val="both"/>
        <w:rPr>
          <w:b/>
          <w:bCs/>
        </w:rPr>
      </w:pPr>
      <w:r w:rsidRPr="00D61112">
        <w:t>TDJ Estate prowadzi obecnie budowę II etapu Fabryka Park, który dostarczy 2 800 mkw. powierzchni. Blisko połowę zajmie Centrum Medyczne Medicover. Powstaną również nowe p</w:t>
      </w:r>
      <w:r w:rsidR="004E6EFF">
        <w:t>u</w:t>
      </w:r>
      <w:r w:rsidRPr="00D61112">
        <w:t>nkty handlowe i usługowe. Rozbudowa potwierdza znaczenie kompleksu jako ważnego elementu infrastruktury handlowej dla mieszkańców południowych dzielnic Katowic.</w:t>
      </w:r>
    </w:p>
    <w:p w14:paraId="3458BEF0" w14:textId="11D15252" w:rsidR="00D72A67" w:rsidRPr="00D61112" w:rsidRDefault="0023182F" w:rsidP="00D72A67">
      <w:pPr>
        <w:jc w:val="both"/>
      </w:pPr>
      <w:r>
        <w:br/>
      </w:r>
      <w:r w:rsidRPr="0023182F">
        <w:t>*** </w:t>
      </w:r>
    </w:p>
    <w:p w14:paraId="452BB016" w14:textId="77777777" w:rsidR="00545CFC" w:rsidRPr="00545CFC" w:rsidRDefault="00545CFC" w:rsidP="00545CFC">
      <w:pPr>
        <w:jc w:val="both"/>
        <w:rPr>
          <w:sz w:val="22"/>
          <w:szCs w:val="22"/>
        </w:rPr>
      </w:pPr>
      <w:r w:rsidRPr="00545CFC">
        <w:rPr>
          <w:b/>
          <w:bCs/>
          <w:sz w:val="22"/>
          <w:szCs w:val="22"/>
        </w:rPr>
        <w:t>TDJ Estate</w:t>
      </w:r>
    </w:p>
    <w:p w14:paraId="380F17DB" w14:textId="77777777" w:rsidR="00545CFC" w:rsidRPr="00545CFC" w:rsidRDefault="00545CFC" w:rsidP="00545CFC">
      <w:pPr>
        <w:jc w:val="both"/>
        <w:rPr>
          <w:sz w:val="22"/>
          <w:szCs w:val="22"/>
        </w:rPr>
      </w:pPr>
      <w:r w:rsidRPr="00545CFC">
        <w:rPr>
          <w:sz w:val="22"/>
          <w:szCs w:val="22"/>
        </w:rPr>
        <w:t>TDJ Estate należy do TDJ – rodzinnej firmy inwestycyjnej prowadzącej działalność w wielu sektorach gospodarki. Angażując się w starannie dobrane przedsięwzięcia, zespół TDJ buduje ich długotrwałą wartość w obszarach Equity, Estate, Finance i Foundation.</w:t>
      </w:r>
    </w:p>
    <w:p w14:paraId="3612FA8F" w14:textId="0E488A44" w:rsidR="00545CFC" w:rsidRPr="00545CFC" w:rsidRDefault="00545CFC" w:rsidP="00545CFC">
      <w:pPr>
        <w:jc w:val="both"/>
        <w:rPr>
          <w:sz w:val="22"/>
          <w:szCs w:val="22"/>
        </w:rPr>
      </w:pPr>
      <w:r w:rsidRPr="00545CFC">
        <w:rPr>
          <w:sz w:val="22"/>
          <w:szCs w:val="22"/>
        </w:rPr>
        <w:t xml:space="preserve">TDJ Estate realizuje projekty mieszkaniowe, biurowe, handlowe, a także gruntowe (land developing). Portfolio inwestora obejmuje realizacje zlokalizowane w obrębie Górnośląsko-Zagłębiowskiej Metropolii, m.in. w Katowicach – Osiedle Franciszkańskie i Franciszkańskie Południe w dzielnicy Ligota, kompleks wielorodzinny Bardowskiego 1 na os. Witosa, Osiedle Hierowskiego w dzielnicy Kostuchna oraz Pierwszą Dzielnicę położoną w sąsiedztwie Strefy Kultury, a także Zieloną Dolinę w Zabrzu, Osiedle Wieszowa w powiecie tarnogórskim, Sarnie Osiedle w Bielsku-Białej oraz Osiedle </w:t>
      </w:r>
      <w:r w:rsidR="00DF3116" w:rsidRPr="00545CFC">
        <w:rPr>
          <w:sz w:val="22"/>
          <w:szCs w:val="22"/>
        </w:rPr>
        <w:t xml:space="preserve">Imbramowskie </w:t>
      </w:r>
      <w:r w:rsidRPr="00545CFC">
        <w:rPr>
          <w:sz w:val="22"/>
          <w:szCs w:val="22"/>
        </w:rPr>
        <w:t>w Krakowie.</w:t>
      </w:r>
    </w:p>
    <w:p w14:paraId="11231D2A" w14:textId="07ADB758" w:rsidR="00545CFC" w:rsidRPr="00545CFC" w:rsidRDefault="00545CFC" w:rsidP="00545CFC">
      <w:pPr>
        <w:jc w:val="both"/>
        <w:rPr>
          <w:sz w:val="22"/>
          <w:szCs w:val="22"/>
        </w:rPr>
      </w:pPr>
      <w:r w:rsidRPr="00545CFC">
        <w:rPr>
          <w:sz w:val="22"/>
          <w:szCs w:val="22"/>
        </w:rPr>
        <w:t xml:space="preserve">W sektorze komercyjnym flagową inwestycją spółki jest kompleks biurowy .KTW zlokalizowany w ścisłym centrum Katowic, w bezpośrednim sąsiedztwie katowickiego Spodka. </w:t>
      </w:r>
      <w:r w:rsidR="00DF3116">
        <w:rPr>
          <w:sz w:val="22"/>
          <w:szCs w:val="22"/>
        </w:rPr>
        <w:t xml:space="preserve">Z kolei </w:t>
      </w:r>
      <w:r w:rsidRPr="00545CFC">
        <w:rPr>
          <w:sz w:val="22"/>
          <w:szCs w:val="22"/>
        </w:rPr>
        <w:t>Fabryka Park w Katowicach to nowoczesny park handlowy, którego pierwszy etap TDJ Estate sprzedało w 2025 roku spółce Newgate Investment; obecnie firma realizuje drugi etap inwestycji.</w:t>
      </w:r>
    </w:p>
    <w:p w14:paraId="0B22863D" w14:textId="77777777" w:rsidR="00545CFC" w:rsidRPr="00545CFC" w:rsidRDefault="00545CFC" w:rsidP="00545CFC">
      <w:pPr>
        <w:jc w:val="both"/>
        <w:rPr>
          <w:sz w:val="22"/>
          <w:szCs w:val="22"/>
        </w:rPr>
      </w:pPr>
      <w:r w:rsidRPr="00545CFC">
        <w:rPr>
          <w:sz w:val="22"/>
          <w:szCs w:val="22"/>
        </w:rPr>
        <w:t xml:space="preserve">W TDJ Estate tworzymy przestrzenie, które na każdym kroku pozytywnie wpływają na jakość życia ludzi. Bierzemy odpowiedzialność za miejsca, z którymi wiążemy się natywnie i długofalowo. Projektujemy zgodnie z zasadą </w:t>
      </w:r>
      <w:r w:rsidRPr="00545CFC">
        <w:rPr>
          <w:i/>
          <w:iCs/>
          <w:sz w:val="22"/>
          <w:szCs w:val="22"/>
        </w:rPr>
        <w:t>people first design</w:t>
      </w:r>
      <w:r w:rsidRPr="00545CFC">
        <w:rPr>
          <w:sz w:val="22"/>
          <w:szCs w:val="22"/>
        </w:rPr>
        <w:t>.</w:t>
      </w:r>
    </w:p>
    <w:p w14:paraId="46848B8E" w14:textId="77777777" w:rsidR="00545CFC" w:rsidRPr="00545CFC" w:rsidRDefault="00545CFC" w:rsidP="00545CFC">
      <w:pPr>
        <w:jc w:val="both"/>
        <w:rPr>
          <w:sz w:val="22"/>
          <w:szCs w:val="22"/>
        </w:rPr>
      </w:pPr>
      <w:r w:rsidRPr="00545CFC">
        <w:rPr>
          <w:sz w:val="22"/>
          <w:szCs w:val="22"/>
        </w:rPr>
        <w:t xml:space="preserve">Zapraszamy na </w:t>
      </w:r>
      <w:hyperlink r:id="rId6" w:tgtFrame="_new" w:history="1">
        <w:r w:rsidRPr="00545CFC">
          <w:rPr>
            <w:rStyle w:val="Hyperlink"/>
            <w:sz w:val="22"/>
            <w:szCs w:val="22"/>
          </w:rPr>
          <w:t>www.tdjestate.pl</w:t>
        </w:r>
      </w:hyperlink>
    </w:p>
    <w:p w14:paraId="659F58A5" w14:textId="77777777" w:rsidR="00FD2A6B" w:rsidRPr="00EE60C8" w:rsidRDefault="00FD2A6B" w:rsidP="00D72A67">
      <w:pPr>
        <w:jc w:val="both"/>
      </w:pPr>
    </w:p>
    <w:sectPr w:rsidR="00FD2A6B" w:rsidRPr="00EE60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1B9CA" w14:textId="77777777" w:rsidR="00E70F9E" w:rsidRDefault="00E70F9E" w:rsidP="00312DBB">
      <w:pPr>
        <w:spacing w:after="0" w:line="240" w:lineRule="auto"/>
      </w:pPr>
      <w:r>
        <w:separator/>
      </w:r>
    </w:p>
  </w:endnote>
  <w:endnote w:type="continuationSeparator" w:id="0">
    <w:p w14:paraId="08051228" w14:textId="77777777" w:rsidR="00E70F9E" w:rsidRDefault="00E70F9E" w:rsidP="0031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AE06" w14:textId="77777777" w:rsidR="00E70F9E" w:rsidRDefault="00E70F9E" w:rsidP="00312DBB">
      <w:pPr>
        <w:spacing w:after="0" w:line="240" w:lineRule="auto"/>
      </w:pPr>
      <w:r>
        <w:separator/>
      </w:r>
    </w:p>
  </w:footnote>
  <w:footnote w:type="continuationSeparator" w:id="0">
    <w:p w14:paraId="21AFD489" w14:textId="77777777" w:rsidR="00E70F9E" w:rsidRDefault="00E70F9E" w:rsidP="0031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93C0" w14:textId="102B8AAC" w:rsidR="00312DBB" w:rsidRDefault="00312DBB">
    <w:pPr>
      <w:pStyle w:val="Header"/>
    </w:pPr>
    <w:r>
      <w:rPr>
        <w:noProof/>
      </w:rPr>
      <w:drawing>
        <wp:inline distT="0" distB="0" distL="0" distR="0" wp14:anchorId="02FA38BA" wp14:editId="16608719">
          <wp:extent cx="1231315" cy="1089660"/>
          <wp:effectExtent l="0" t="0" r="0" b="0"/>
          <wp:docPr id="1337271155" name="Obraz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271155" name="Obraz 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719" cy="1094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529BFB" w14:textId="77777777" w:rsidR="00312DBB" w:rsidRDefault="00312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BF"/>
    <w:rsid w:val="00011EAB"/>
    <w:rsid w:val="00014917"/>
    <w:rsid w:val="00032031"/>
    <w:rsid w:val="00032403"/>
    <w:rsid w:val="00044FE2"/>
    <w:rsid w:val="00053A95"/>
    <w:rsid w:val="000B183E"/>
    <w:rsid w:val="000D421C"/>
    <w:rsid w:val="00127713"/>
    <w:rsid w:val="001600F7"/>
    <w:rsid w:val="001824BF"/>
    <w:rsid w:val="00194A30"/>
    <w:rsid w:val="001C4F10"/>
    <w:rsid w:val="001E1A82"/>
    <w:rsid w:val="001E21EA"/>
    <w:rsid w:val="001E2E48"/>
    <w:rsid w:val="002074A4"/>
    <w:rsid w:val="00225C2C"/>
    <w:rsid w:val="0023182F"/>
    <w:rsid w:val="0023754C"/>
    <w:rsid w:val="0024356F"/>
    <w:rsid w:val="00286BDD"/>
    <w:rsid w:val="00291139"/>
    <w:rsid w:val="002945F6"/>
    <w:rsid w:val="00312DBB"/>
    <w:rsid w:val="00323D88"/>
    <w:rsid w:val="00346306"/>
    <w:rsid w:val="0035239C"/>
    <w:rsid w:val="0035765E"/>
    <w:rsid w:val="00357CDB"/>
    <w:rsid w:val="003945B9"/>
    <w:rsid w:val="003C5B7B"/>
    <w:rsid w:val="003C7ED9"/>
    <w:rsid w:val="003F3121"/>
    <w:rsid w:val="004717F1"/>
    <w:rsid w:val="00474881"/>
    <w:rsid w:val="004A07E1"/>
    <w:rsid w:val="004E6EFF"/>
    <w:rsid w:val="004F2FEA"/>
    <w:rsid w:val="00545CFC"/>
    <w:rsid w:val="00555A5E"/>
    <w:rsid w:val="00566B63"/>
    <w:rsid w:val="005744FB"/>
    <w:rsid w:val="005820A0"/>
    <w:rsid w:val="005866ED"/>
    <w:rsid w:val="005B008C"/>
    <w:rsid w:val="005C6E16"/>
    <w:rsid w:val="00600975"/>
    <w:rsid w:val="00611105"/>
    <w:rsid w:val="00613254"/>
    <w:rsid w:val="00633A95"/>
    <w:rsid w:val="00640CDE"/>
    <w:rsid w:val="006B5003"/>
    <w:rsid w:val="006D7119"/>
    <w:rsid w:val="006F3963"/>
    <w:rsid w:val="0073720F"/>
    <w:rsid w:val="00745B07"/>
    <w:rsid w:val="00751493"/>
    <w:rsid w:val="00765D08"/>
    <w:rsid w:val="00783E98"/>
    <w:rsid w:val="007917F5"/>
    <w:rsid w:val="007E695F"/>
    <w:rsid w:val="00804409"/>
    <w:rsid w:val="00843C33"/>
    <w:rsid w:val="008554CE"/>
    <w:rsid w:val="00862E13"/>
    <w:rsid w:val="008A33F4"/>
    <w:rsid w:val="009824E7"/>
    <w:rsid w:val="009F2F78"/>
    <w:rsid w:val="009F3994"/>
    <w:rsid w:val="009F7349"/>
    <w:rsid w:val="00A15785"/>
    <w:rsid w:val="00A24D7F"/>
    <w:rsid w:val="00A54949"/>
    <w:rsid w:val="00AD6B33"/>
    <w:rsid w:val="00AF77CD"/>
    <w:rsid w:val="00B07576"/>
    <w:rsid w:val="00B22C12"/>
    <w:rsid w:val="00B341F7"/>
    <w:rsid w:val="00B37015"/>
    <w:rsid w:val="00B9200E"/>
    <w:rsid w:val="00B96C82"/>
    <w:rsid w:val="00B9725C"/>
    <w:rsid w:val="00BB4548"/>
    <w:rsid w:val="00BD4914"/>
    <w:rsid w:val="00BD5F6D"/>
    <w:rsid w:val="00BE6657"/>
    <w:rsid w:val="00C107C8"/>
    <w:rsid w:val="00C32F7F"/>
    <w:rsid w:val="00C66136"/>
    <w:rsid w:val="00C93D96"/>
    <w:rsid w:val="00CA2C66"/>
    <w:rsid w:val="00CD53D1"/>
    <w:rsid w:val="00CD5946"/>
    <w:rsid w:val="00D15658"/>
    <w:rsid w:val="00D63939"/>
    <w:rsid w:val="00D7278A"/>
    <w:rsid w:val="00D72A67"/>
    <w:rsid w:val="00D75C18"/>
    <w:rsid w:val="00D972F6"/>
    <w:rsid w:val="00D97B01"/>
    <w:rsid w:val="00DF0592"/>
    <w:rsid w:val="00DF3116"/>
    <w:rsid w:val="00DF514A"/>
    <w:rsid w:val="00E31213"/>
    <w:rsid w:val="00E450D7"/>
    <w:rsid w:val="00E5315E"/>
    <w:rsid w:val="00E70F9E"/>
    <w:rsid w:val="00E759BA"/>
    <w:rsid w:val="00EA61A7"/>
    <w:rsid w:val="00EC5216"/>
    <w:rsid w:val="00EE60C8"/>
    <w:rsid w:val="00F06936"/>
    <w:rsid w:val="00F12B2D"/>
    <w:rsid w:val="00F40FD4"/>
    <w:rsid w:val="00FB2730"/>
    <w:rsid w:val="00F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084B6"/>
  <w15:chartTrackingRefBased/>
  <w15:docId w15:val="{4E46B825-8349-4F17-8B3D-BC63A11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4B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32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4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DBB"/>
  </w:style>
  <w:style w:type="paragraph" w:styleId="Footer">
    <w:name w:val="footer"/>
    <w:basedOn w:val="Normal"/>
    <w:link w:val="FooterChar"/>
    <w:uiPriority w:val="99"/>
    <w:unhideWhenUsed/>
    <w:rsid w:val="00312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DBB"/>
  </w:style>
  <w:style w:type="character" w:styleId="Hyperlink">
    <w:name w:val="Hyperlink"/>
    <w:basedOn w:val="DefaultParagraphFont"/>
    <w:uiPriority w:val="99"/>
    <w:unhideWhenUsed/>
    <w:rsid w:val="00312DBB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555A5E"/>
    <w:pPr>
      <w:spacing w:after="0" w:line="240" w:lineRule="auto"/>
    </w:pPr>
  </w:style>
  <w:style w:type="paragraph" w:customStyle="1" w:styleId="GTBodyCopy">
    <w:name w:val="GT Body Copy"/>
    <w:basedOn w:val="Normal"/>
    <w:link w:val="GTBodyCopyChar"/>
    <w:qFormat/>
    <w:rsid w:val="00127713"/>
    <w:pPr>
      <w:spacing w:after="120" w:line="276" w:lineRule="auto"/>
    </w:pPr>
    <w:rPr>
      <w:rFonts w:ascii="Georgia" w:hAnsi="Georgia" w:cs="Times New Roman"/>
      <w:color w:val="000000"/>
      <w:kern w:val="0"/>
      <w:sz w:val="20"/>
      <w:szCs w:val="22"/>
      <w:lang w:val="en-US"/>
      <w14:ligatures w14:val="none"/>
    </w:rPr>
  </w:style>
  <w:style w:type="character" w:customStyle="1" w:styleId="GTBodyCopyChar">
    <w:name w:val="GT Body Copy Char"/>
    <w:basedOn w:val="DefaultParagraphFont"/>
    <w:link w:val="GTBodyCopy"/>
    <w:rsid w:val="00127713"/>
    <w:rPr>
      <w:rFonts w:ascii="Georgia" w:hAnsi="Georgia" w:cs="Times New Roman"/>
      <w:color w:val="000000"/>
      <w:kern w:val="0"/>
      <w:sz w:val="20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5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djestat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Kowalska</dc:creator>
  <cp:keywords/>
  <dc:description/>
  <cp:lastModifiedBy>Amelia Budzik</cp:lastModifiedBy>
  <cp:revision>2</cp:revision>
  <dcterms:created xsi:type="dcterms:W3CDTF">2025-08-13T08:22:00Z</dcterms:created>
  <dcterms:modified xsi:type="dcterms:W3CDTF">2025-08-13T08:22:00Z</dcterms:modified>
</cp:coreProperties>
</file>