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jc w:val="both"/>
        <w:rPr>
          <w:sz w:val="34"/>
          <w:szCs w:val="34"/>
        </w:rPr>
      </w:pPr>
      <w:bookmarkStart w:colFirst="0" w:colLast="0" w:name="_heading=h.uzvp2p5qv5bt" w:id="0"/>
      <w:bookmarkEnd w:id="0"/>
      <w:r w:rsidDel="00000000" w:rsidR="00000000" w:rsidRPr="00000000">
        <w:rPr>
          <w:sz w:val="34"/>
          <w:szCs w:val="34"/>
          <w:rtl w:val="0"/>
        </w:rPr>
        <w:t xml:space="preserve">XPG SPECTRIX S65G - najszybszy na rynku gamingowy dysk SSD RGB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XPG, e-sportowa marka należąca do tajwańskiej firmy ADATA, wprowadza na rynek nowy dysk SSD SPECTRIX S65G RGB. Zaprojektowano go z myślą o elitach e-sportu, entuzjastach technologii i overclockerach. Może stanowić także rozszerzenie pamięci dla konsol PlayStation 5.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  <w:t xml:space="preserve">Zgodnie z danymi firm analitycznych, popyt na sprzęt gamingowy z podświetleniem RGB w segmencie PC utrzymywał w latach 2019 - 2024 stały wzrost na poziomie ok. 10 proc. Prognozuje się, że  dostawy akcesoriów tego typu utrzymają podobne tempo (8-10 proc. rocznie) również w ciągu najbliższych pięciu lat. Odpowiadając na rosnące zainteresowanie personalizowanymi, wizualnie immersyjnymi stanowiskami dla graczy, marka XPG wprowadza na rynek</w:t>
      </w:r>
      <w:r w:rsidDel="00000000" w:rsidR="00000000" w:rsidRPr="00000000">
        <w:rPr>
          <w:b w:val="1"/>
          <w:rtl w:val="0"/>
        </w:rPr>
        <w:t xml:space="preserve"> SPECTRIX S65G 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najszybszy na rynku  gamingowy dysk SSD  RGB.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872163" cy="3634347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72163" cy="36343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Szybkość i wyjątkowy design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SPECTRIX S65G wyposażono w odsłonięty pasek świetlny RGB z poprzecznym wzorem w kształcie litery “X. Dysk jest kompatybilny z oprogramowaniem do sterowania podświetleniem RGB od największych producentów płyt głównych, co umożliwia łatwe dostosowanie trybów i efektów do indywidualnych preferencji.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Dzięki interfejsowi PCIe Gen4x4 i zgodności ze standardem NVMe 1.4, SPECTRIX S65G oferuje imponujące </w:t>
      </w:r>
      <w:r w:rsidDel="00000000" w:rsidR="00000000" w:rsidRPr="00000000">
        <w:rPr>
          <w:b w:val="1"/>
          <w:rtl w:val="0"/>
        </w:rPr>
        <w:t xml:space="preserve">prędkości sekwencyjnego odczytu na poziomie 6 000 MB/s oraz zapisu – 5 000 MB/s</w:t>
      </w:r>
      <w:r w:rsidDel="00000000" w:rsidR="00000000" w:rsidRPr="00000000">
        <w:rPr>
          <w:rtl w:val="0"/>
        </w:rPr>
        <w:t xml:space="preserve">, co zapewnia płynność działania podczas ładowania gier i dynamicznych przejść scen w czasie rzeczywistym. Obsługuje także technologie SLC Caching i Host Memory Buffer (HMB) oraz jest w pełni kompatybilny z najnowszymi platformami stacjonarnymi Intel i AMD.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heading=h.fraeq77fw1o2" w:id="1"/>
      <w:bookmarkEnd w:id="1"/>
      <w:r w:rsidDel="00000000" w:rsidR="00000000" w:rsidRPr="00000000">
        <w:rPr>
          <w:sz w:val="26"/>
          <w:szCs w:val="26"/>
          <w:rtl w:val="0"/>
        </w:rPr>
        <w:t xml:space="preserve">Kompatybilny z PS5, bezpieczny dla danych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Poza komputerami stacjonarnymi,</w:t>
      </w:r>
      <w:r w:rsidDel="00000000" w:rsidR="00000000" w:rsidRPr="00000000">
        <w:rPr>
          <w:b w:val="1"/>
          <w:rtl w:val="0"/>
        </w:rPr>
        <w:t xml:space="preserve"> SPECTRIX S65G stanowi również wydajne rozszerzenie pamięci dla konsol PlayStation 5, oferując pojemności do 2000 GB. </w:t>
      </w:r>
      <w:r w:rsidDel="00000000" w:rsidR="00000000" w:rsidRPr="00000000">
        <w:rPr>
          <w:rtl w:val="0"/>
        </w:rPr>
        <w:t xml:space="preserve">Dysk wykorzystuje ponadto technologię korekcji błędów LDPC (Low Density Parity Check Code) oraz zaawansowane szyfrowanie Pyrite, zwiększające bezpieczeństwo danych i niezawodność transferu. Każdy egzemplarz objęty został 5-letnią ograniczoną gwarancją.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Więcej informacji o produkcie znaleźć można  na oficjalnej stronie XPG: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www.xpg.com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O marce XPG</w:t>
        <w:br w:type="textWrapping"/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Marka XPG (XTREME PERFORMANCE GEAR) została założona przez ADATA w celu dostarczania produktów o wysokiej wydajności dla graczy, profesjonalistów esportu i entuzjastów technologii. Jest zaangażowana w tworzenie produktów, które zapewniają ekstremalną wydajność i dlatego ściśle współpracują ze społecznością graczy i esportowców, aby uzyskać wgląd w rzeczywiste potrzeby użytkowników. Dostarczają pełną gamę produktów od systemów, komponentów, urządzeń peryferyjnych po urządzenia i projektują je z myślą o najwyższych standardach stabilności, niezawodności i wydajności. Tworzą również produkty o niezwykle atrakcyjnym wzornictwie, które przyniosły im kilka prestiżowych międzynarodowych nagród, takich jak iF Design i Good Design. Poza produktami, odgrywają aktywną rolę w sponsorowaniu i wspieraniu wydarzeń i drużyn e-sportowych na całym świecie, aby zapewnić ekstremalne wrażenia z gier na najwyższym poziomie.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MingLiu"/>
  <w:font w:name="Georgia"/>
  <w:font w:name="Microsoft JhengHe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153"/>
        <w:tab w:val="right" w:leader="none" w:pos="8306"/>
      </w:tabs>
      <w:jc w:val="right"/>
      <w:rPr>
        <w:b w:val="1"/>
        <w:sz w:val="34"/>
        <w:szCs w:val="34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1292225" cy="71945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225" cy="719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1"/>
    </w:pPr>
    <w:rPr>
      <w:rFonts w:ascii="PMingLiu" w:cs="PMingLiu" w:eastAsia="PMingLiu" w:hAnsi="PMingLiu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2D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2D5A09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2D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2D5A09"/>
    <w:rPr>
      <w:sz w:val="20"/>
      <w:szCs w:val="20"/>
    </w:rPr>
  </w:style>
  <w:style w:type="paragraph" w:styleId="Web">
    <w:name w:val="Normal (Web)"/>
    <w:basedOn w:val="a"/>
    <w:uiPriority w:val="99"/>
    <w:semiHidden w:val="1"/>
    <w:unhideWhenUsed w:val="1"/>
    <w:rsid w:val="00770784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a7">
    <w:name w:val="Balloon Text"/>
    <w:basedOn w:val="a"/>
    <w:link w:val="a8"/>
    <w:uiPriority w:val="99"/>
    <w:semiHidden w:val="1"/>
    <w:unhideWhenUsed w:val="1"/>
    <w:rsid w:val="00DD6265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註解方塊文字 字元"/>
    <w:basedOn w:val="a0"/>
    <w:link w:val="a7"/>
    <w:uiPriority w:val="99"/>
    <w:semiHidden w:val="1"/>
    <w:rsid w:val="00DD6265"/>
    <w:rPr>
      <w:rFonts w:asciiTheme="majorHAnsi" w:cstheme="majorBidi" w:eastAsiaTheme="majorEastAsia" w:hAnsiTheme="majorHAnsi"/>
      <w:sz w:val="18"/>
      <w:szCs w:val="18"/>
    </w:rPr>
  </w:style>
  <w:style w:type="paragraph" w:styleId="a9">
    <w:name w:val="Revision"/>
    <w:hidden w:val="1"/>
    <w:uiPriority w:val="99"/>
    <w:semiHidden w:val="1"/>
    <w:rsid w:val="00DA322F"/>
  </w:style>
  <w:style w:type="paragraph" w:styleId="HTML">
    <w:name w:val="HTML Preformatted"/>
    <w:basedOn w:val="a"/>
    <w:link w:val="HTML0"/>
    <w:uiPriority w:val="99"/>
    <w:semiHidden w:val="1"/>
    <w:unhideWhenUsed w:val="1"/>
    <w:rsid w:val="00B9204C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cs="細明體" w:eastAsia="細明體" w:hAnsi="細明體"/>
      <w:kern w:val="0"/>
      <w:szCs w:val="24"/>
    </w:rPr>
  </w:style>
  <w:style w:type="character" w:styleId="HTML0" w:customStyle="1">
    <w:name w:val="HTML 預設格式 字元"/>
    <w:basedOn w:val="a0"/>
    <w:link w:val="HTML"/>
    <w:uiPriority w:val="99"/>
    <w:semiHidden w:val="1"/>
    <w:rsid w:val="00B9204C"/>
    <w:rPr>
      <w:rFonts w:ascii="細明體" w:cs="細明體" w:eastAsia="細明體" w:hAnsi="細明體"/>
      <w:kern w:val="0"/>
      <w:szCs w:val="24"/>
    </w:rPr>
  </w:style>
  <w:style w:type="character" w:styleId="aa">
    <w:name w:val="Strong"/>
    <w:basedOn w:val="a0"/>
    <w:uiPriority w:val="22"/>
    <w:qFormat w:val="1"/>
    <w:rsid w:val="00283A64"/>
    <w:rPr>
      <w:b w:val="1"/>
      <w:bCs w:val="1"/>
    </w:rPr>
  </w:style>
  <w:style w:type="character" w:styleId="ab">
    <w:name w:val="Hyperlink"/>
    <w:basedOn w:val="a0"/>
    <w:uiPriority w:val="99"/>
    <w:unhideWhenUsed w:val="1"/>
    <w:rsid w:val="008C4360"/>
    <w:rPr>
      <w:color w:val="0563c1" w:themeColor="hyperlink"/>
      <w:u w:val="single"/>
    </w:rPr>
  </w:style>
  <w:style w:type="character" w:styleId="10" w:customStyle="1">
    <w:name w:val="標題 1 字元"/>
    <w:basedOn w:val="a0"/>
    <w:link w:val="1"/>
    <w:uiPriority w:val="9"/>
    <w:rsid w:val="00E93CFE"/>
    <w:rPr>
      <w:rFonts w:ascii="新細明體" w:cs="新細明體" w:eastAsia="新細明體" w:hAnsi="新細明體"/>
      <w:b w:val="1"/>
      <w:bCs w:val="1"/>
      <w:kern w:val="36"/>
      <w:sz w:val="48"/>
      <w:szCs w:val="48"/>
    </w:rPr>
  </w:style>
  <w:style w:type="paragraph" w:styleId="ac">
    <w:name w:val="List Paragraph"/>
    <w:basedOn w:val="a"/>
    <w:uiPriority w:val="34"/>
    <w:qFormat w:val="1"/>
    <w:rsid w:val="00EE2EEB"/>
    <w:pPr>
      <w:widowControl w:val="1"/>
      <w:ind w:left="480" w:leftChars="200"/>
    </w:pPr>
    <w:rPr>
      <w:rFonts w:ascii="Calibri" w:cs="Calibri" w:eastAsia="新細明體" w:hAnsi="Calibri"/>
      <w:kern w:val="0"/>
      <w:szCs w:val="24"/>
    </w:rPr>
  </w:style>
  <w:style w:type="paragraph" w:styleId="ContactInformation" w:customStyle="1">
    <w:name w:val="ContactInformation"/>
    <w:basedOn w:val="a"/>
    <w:rsid w:val="009E0FD8"/>
    <w:rPr>
      <w:rFonts w:ascii="Calibri" w:cs="新細明體" w:eastAsia="Calibri" w:hAnsi="Calibri"/>
      <w:szCs w:val="24"/>
    </w:rPr>
  </w:style>
  <w:style w:type="character" w:styleId="ad">
    <w:name w:val="FollowedHyperlink"/>
    <w:basedOn w:val="a0"/>
    <w:uiPriority w:val="99"/>
    <w:semiHidden w:val="1"/>
    <w:unhideWhenUsed w:val="1"/>
    <w:rsid w:val="00D06592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 w:val="1"/>
    <w:unhideWhenUsed w:val="1"/>
    <w:rsid w:val="007C4D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7C4D11"/>
  </w:style>
  <w:style w:type="character" w:styleId="af0" w:customStyle="1">
    <w:name w:val="註解文字 字元"/>
    <w:basedOn w:val="a0"/>
    <w:link w:val="af"/>
    <w:uiPriority w:val="99"/>
    <w:semiHidden w:val="1"/>
    <w:rsid w:val="007C4D11"/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7C4D11"/>
    <w:rPr>
      <w:b w:val="1"/>
      <w:bCs w:val="1"/>
    </w:rPr>
  </w:style>
  <w:style w:type="character" w:styleId="af2" w:customStyle="1">
    <w:name w:val="註解主旨 字元"/>
    <w:basedOn w:val="af0"/>
    <w:link w:val="af1"/>
    <w:uiPriority w:val="99"/>
    <w:semiHidden w:val="1"/>
    <w:rsid w:val="007C4D11"/>
    <w:rPr>
      <w:b w:val="1"/>
      <w:bCs w:val="1"/>
    </w:rPr>
  </w:style>
  <w:style w:type="character" w:styleId="wordsection1Char" w:customStyle="1">
    <w:name w:val="wordsection1 Char"/>
    <w:basedOn w:val="a0"/>
    <w:link w:val="wordsection1"/>
    <w:uiPriority w:val="99"/>
    <w:locked w:val="1"/>
    <w:rsid w:val="00DA3BD2"/>
    <w:rPr>
      <w:rFonts w:ascii="SimSun" w:eastAsia="SimSun" w:hAnsi="SimSun"/>
    </w:rPr>
  </w:style>
  <w:style w:type="paragraph" w:styleId="wordsection1" w:customStyle="1">
    <w:name w:val="wordsection1"/>
    <w:aliases w:val="m_,9034989704951977135gmail"/>
    <w:basedOn w:val="a"/>
    <w:link w:val="wordsection1Char"/>
    <w:uiPriority w:val="99"/>
    <w:rsid w:val="00DA3BD2"/>
    <w:pPr>
      <w:widowControl w:val="1"/>
    </w:pPr>
    <w:rPr>
      <w:rFonts w:ascii="SimSun" w:eastAsia="SimSun" w:hAnsi="SimSun"/>
    </w:rPr>
  </w:style>
  <w:style w:type="character" w:styleId="af3">
    <w:name w:val="Emphasis"/>
    <w:basedOn w:val="a0"/>
    <w:uiPriority w:val="20"/>
    <w:qFormat w:val="1"/>
    <w:rsid w:val="00A953DA"/>
    <w:rPr>
      <w:i w:val="1"/>
      <w:iCs w:val="1"/>
    </w:rPr>
  </w:style>
  <w:style w:type="paragraph" w:styleId="af4">
    <w:name w:val="footnote text"/>
    <w:basedOn w:val="a"/>
    <w:link w:val="af5"/>
    <w:uiPriority w:val="99"/>
    <w:semiHidden w:val="1"/>
    <w:unhideWhenUsed w:val="1"/>
    <w:rsid w:val="00EB5B5D"/>
    <w:pPr>
      <w:snapToGrid w:val="0"/>
    </w:pPr>
    <w:rPr>
      <w:sz w:val="20"/>
      <w:szCs w:val="20"/>
    </w:rPr>
  </w:style>
  <w:style w:type="character" w:styleId="af5" w:customStyle="1">
    <w:name w:val="註腳文字 字元"/>
    <w:basedOn w:val="a0"/>
    <w:link w:val="af4"/>
    <w:uiPriority w:val="99"/>
    <w:semiHidden w:val="1"/>
    <w:rsid w:val="00EB5B5D"/>
    <w:rPr>
      <w:sz w:val="20"/>
      <w:szCs w:val="20"/>
    </w:rPr>
  </w:style>
  <w:style w:type="character" w:styleId="af6">
    <w:name w:val="footnote reference"/>
    <w:basedOn w:val="a0"/>
    <w:uiPriority w:val="99"/>
    <w:semiHidden w:val="1"/>
    <w:unhideWhenUsed w:val="1"/>
    <w:rsid w:val="00EB5B5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xpg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xpg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k8rPgCrEN/K6uDe7QHYKxit0g==">CgMxLjAyDmgudXp2cDJwNXF2NWJ0Mg5oLmZyYWVxNzdmdzFvMjgAciExdEt0bUtINUVYdEZ1a2FxT0dwZzhaZVdpbnNZc0F5MEM=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2024-08-13T09:35:00Z</dcterms:created>
</cp:coreProperties>
</file>