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C0B76" w:rsidRPr="008C0B76" w14:paraId="5EA33150" w14:textId="77777777" w:rsidTr="00F47D26">
        <w:trPr>
          <w:trHeight w:hRule="exact" w:val="300"/>
        </w:trPr>
        <w:tc>
          <w:tcPr>
            <w:tcW w:w="8504" w:type="dxa"/>
          </w:tcPr>
          <w:p w14:paraId="4CC9392C" w14:textId="77777777" w:rsidR="008C0B76" w:rsidRPr="008D1132" w:rsidRDefault="00C31EFC" w:rsidP="008D1132">
            <w:pPr>
              <w:pStyle w:val="Intitul"/>
            </w:pPr>
            <w:r>
              <w:t>Informacja prasow</w:t>
            </w:r>
            <w:r w:rsidR="00CC7B62">
              <w:t>a</w:t>
            </w:r>
          </w:p>
        </w:tc>
      </w:tr>
      <w:tr w:rsidR="008C0B76" w:rsidRPr="008C0B76" w14:paraId="7C86B83B" w14:textId="77777777" w:rsidTr="00F47D26">
        <w:trPr>
          <w:trHeight w:hRule="exact" w:val="300"/>
        </w:trPr>
        <w:tc>
          <w:tcPr>
            <w:tcW w:w="8504" w:type="dxa"/>
          </w:tcPr>
          <w:p w14:paraId="35A7AC38" w14:textId="08CAA027" w:rsidR="008C0B76" w:rsidRPr="008D1132" w:rsidRDefault="00442948" w:rsidP="00442948">
            <w:pPr>
              <w:pStyle w:val="Datedudocument"/>
            </w:pPr>
            <w:r>
              <w:t>11.08.</w:t>
            </w:r>
            <w:r w:rsidR="008C0B76" w:rsidRPr="008D1132">
              <w:t>202</w:t>
            </w:r>
            <w:r w:rsidR="00CC7B62">
              <w:t>5</w:t>
            </w:r>
          </w:p>
        </w:tc>
      </w:tr>
      <w:tr w:rsidR="008C0B76" w:rsidRPr="008C0B76" w14:paraId="33FBAD9F" w14:textId="77777777" w:rsidTr="00F47D26">
        <w:trPr>
          <w:trHeight w:hRule="exact" w:val="851"/>
        </w:trPr>
        <w:tc>
          <w:tcPr>
            <w:tcW w:w="8504" w:type="dxa"/>
          </w:tcPr>
          <w:p w14:paraId="5756B21C" w14:textId="77777777" w:rsidR="008C0B76" w:rsidRPr="008C0B76" w:rsidRDefault="008C0B76" w:rsidP="008C0B76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1845587A" w14:textId="632D21ED" w:rsidR="008C0B76" w:rsidRPr="00B157BB" w:rsidRDefault="00BE3202" w:rsidP="00BE3202">
      <w:pPr>
        <w:pStyle w:val="Textedesaisie"/>
        <w:jc w:val="center"/>
        <w:rPr>
          <w:color w:val="auto"/>
        </w:rPr>
      </w:pPr>
      <w:r w:rsidRPr="00BE3202">
        <w:rPr>
          <w:rFonts w:asciiTheme="majorHAnsi" w:eastAsiaTheme="majorEastAsia" w:hAnsiTheme="majorHAnsi" w:cstheme="majorBidi"/>
          <w:b/>
          <w:bCs/>
          <w:color w:val="00AAFF" w:themeColor="accent2"/>
          <w:sz w:val="36"/>
          <w:szCs w:val="36"/>
        </w:rPr>
        <w:t xml:space="preserve">Bezpieczeństwo instalacji </w:t>
      </w:r>
      <w:r>
        <w:rPr>
          <w:rFonts w:asciiTheme="majorHAnsi" w:eastAsiaTheme="majorEastAsia" w:hAnsiTheme="majorHAnsi" w:cstheme="majorBidi"/>
          <w:b/>
          <w:bCs/>
          <w:color w:val="00AAFF" w:themeColor="accent2"/>
          <w:sz w:val="36"/>
          <w:szCs w:val="36"/>
        </w:rPr>
        <w:t>PV</w:t>
      </w:r>
      <w:r w:rsidRPr="00BE3202">
        <w:rPr>
          <w:rFonts w:asciiTheme="majorHAnsi" w:eastAsiaTheme="majorEastAsia" w:hAnsiTheme="majorHAnsi" w:cstheme="majorBidi"/>
          <w:b/>
          <w:bCs/>
          <w:color w:val="00AAFF" w:themeColor="accent2"/>
          <w:sz w:val="36"/>
          <w:szCs w:val="36"/>
        </w:rPr>
        <w:t xml:space="preserve"> zaczyna się od danych</w:t>
      </w:r>
    </w:p>
    <w:p w14:paraId="37600AF3" w14:textId="77777777" w:rsidR="00096706" w:rsidRPr="00B157BB" w:rsidRDefault="00096706" w:rsidP="00562B4F">
      <w:pPr>
        <w:pStyle w:val="Textedesaisie"/>
        <w:rPr>
          <w:b/>
          <w:bCs/>
        </w:rPr>
      </w:pPr>
    </w:p>
    <w:p w14:paraId="4E0348F3" w14:textId="4019CB9E" w:rsidR="005F3742" w:rsidRDefault="00BE3202" w:rsidP="00BE3202">
      <w:pPr>
        <w:pStyle w:val="Textedesaisie"/>
        <w:rPr>
          <w:b/>
          <w:bCs/>
        </w:rPr>
      </w:pPr>
      <w:r w:rsidRPr="00BE3202">
        <w:rPr>
          <w:b/>
          <w:bCs/>
        </w:rPr>
        <w:t xml:space="preserve">Rynek </w:t>
      </w:r>
      <w:proofErr w:type="spellStart"/>
      <w:r w:rsidRPr="00BE3202">
        <w:rPr>
          <w:b/>
          <w:bCs/>
        </w:rPr>
        <w:t>fotowoltaiki</w:t>
      </w:r>
      <w:proofErr w:type="spellEnd"/>
      <w:r w:rsidRPr="00BE3202">
        <w:rPr>
          <w:b/>
          <w:bCs/>
        </w:rPr>
        <w:t xml:space="preserve"> dynamicznie się rozwija, co może generować coraz większe wyzwania w zakresie bezpieczeństwa. Obecnie całkowita moc zainstalowana osiągnęła poziom 21,994 GW</w:t>
      </w:r>
      <w:r>
        <w:rPr>
          <w:rStyle w:val="Odwoanieprzypisudolnego"/>
          <w:b/>
          <w:bCs/>
        </w:rPr>
        <w:footnoteReference w:id="1"/>
      </w:r>
      <w:r w:rsidRPr="00BE3202">
        <w:rPr>
          <w:b/>
          <w:bCs/>
        </w:rPr>
        <w:t>, a ze względu na nadchodzące regulacje, skala inwestycji będzie jeszcze większa. Nowelizacja dyrektywy w sprawie charakterystyki energetycznej budynków (EPBD) wprowadza obowiązek instalowania paneli fotowoltaicznych na dachach budynków publicznych oraz nowo powstających obiektów mieszkalnych. Przepisy wprowadzają również zaostrzone wymagania w zakresie planowania, dokumentacji technicznej i nadzoru nad instalacjami OZE. Jak podkreślają eksperci ENGIE Elektromontaż, panele wymagają stałego monitoringu, nie tylko ze względu na kwestie bezpieczeństwa, ale także wydajności pracy.</w:t>
      </w:r>
    </w:p>
    <w:p w14:paraId="1C6399DD" w14:textId="77777777" w:rsidR="00BE3202" w:rsidRPr="00BE3202" w:rsidRDefault="00BE3202" w:rsidP="00BE3202">
      <w:pPr>
        <w:pStyle w:val="Textedesaisie"/>
        <w:rPr>
          <w:b/>
          <w:bCs/>
        </w:rPr>
      </w:pPr>
    </w:p>
    <w:p w14:paraId="69EB5B89" w14:textId="72FCA7F9" w:rsidR="00BE3202" w:rsidRDefault="00BE3202" w:rsidP="00BE3202">
      <w:pPr>
        <w:pStyle w:val="Textedesaisie"/>
        <w:rPr>
          <w:bCs/>
          <w:color w:val="auto"/>
        </w:rPr>
      </w:pPr>
      <w:r w:rsidRPr="00BE3202">
        <w:rPr>
          <w:bCs/>
          <w:color w:val="auto"/>
        </w:rPr>
        <w:t>Zgodnie z nowelizacją EPBD, od 2026 r. wszystkie nowe budynki publiczne i komercyjne o powierzchni powyżej 250 m² będą musiały być wyposażone w instalacje fotowoltaiczne, o ile nie występują techniczne przeciwwskazania. W kontekście tych zmian oraz rosnącej świadomości w zakresie bezpieczeństwa eksploatacyjnego, coraz więcej właścicieli i operatorów obiektów wdraża kompleksowe systemy diagnostyczne, wspierające zarządzanie ryzykiem technicznym. Choć statystycznie awaryjność dachowych instalacji PV pozostaje niska, potencjalne zagrożenie pożarem, nawet incydentalnym, wymusza wdrożenie rozwiązań umożliwiających szybką identyfikację nieprawidłowości i prewencyjne działania.</w:t>
      </w:r>
    </w:p>
    <w:p w14:paraId="61C4E3C1" w14:textId="77777777" w:rsidR="00BE3202" w:rsidRPr="00BE3202" w:rsidRDefault="00BE3202" w:rsidP="00BE3202">
      <w:pPr>
        <w:pStyle w:val="Textedesaisie"/>
        <w:rPr>
          <w:bCs/>
          <w:color w:val="auto"/>
        </w:rPr>
      </w:pPr>
    </w:p>
    <w:p w14:paraId="052380B9" w14:textId="0299B550" w:rsidR="00BE3202" w:rsidRDefault="00BE3202" w:rsidP="00BE3202">
      <w:pPr>
        <w:pStyle w:val="Textedesaisie"/>
        <w:rPr>
          <w:b/>
          <w:bCs/>
          <w:color w:val="auto"/>
        </w:rPr>
      </w:pPr>
      <w:r w:rsidRPr="00BE3202">
        <w:rPr>
          <w:b/>
          <w:bCs/>
          <w:color w:val="auto"/>
        </w:rPr>
        <w:t>Diagnostyka predykcyjna jako warunek bezpieczeństwa</w:t>
      </w:r>
    </w:p>
    <w:p w14:paraId="5DCD786E" w14:textId="77777777" w:rsidR="00BE3202" w:rsidRPr="00BE3202" w:rsidRDefault="00BE3202" w:rsidP="00BE3202">
      <w:pPr>
        <w:pStyle w:val="Textedesaisie"/>
        <w:rPr>
          <w:bCs/>
          <w:color w:val="auto"/>
        </w:rPr>
      </w:pPr>
    </w:p>
    <w:p w14:paraId="3E0DE68A" w14:textId="6E2AE6A3" w:rsidR="00BE3202" w:rsidRDefault="00BE3202" w:rsidP="00BE3202">
      <w:pPr>
        <w:pStyle w:val="Textedesaisie"/>
        <w:rPr>
          <w:bCs/>
          <w:color w:val="auto"/>
        </w:rPr>
      </w:pPr>
      <w:r w:rsidRPr="00BE3202">
        <w:rPr>
          <w:bCs/>
          <w:color w:val="auto"/>
        </w:rPr>
        <w:t>Z danych Państwowej Straży Pożarnej wynika, że w latach 2018–2021 spośród 411 zdarzeń z udziałem instalacji fotowoltaicznych, aż 75% stanowiły pożary. W blisko połowie tych przypadków (47%) przyczyną były wady urządzeń domowych lub nieprawidłowa eksploatacja, w tym niezgodna z zasadami obsługa instalacji elektrycznej</w:t>
      </w:r>
      <w:r>
        <w:rPr>
          <w:rStyle w:val="Odwoanieprzypisudolnego"/>
          <w:bCs/>
          <w:color w:val="auto"/>
        </w:rPr>
        <w:footnoteReference w:id="2"/>
      </w:r>
      <w:r w:rsidRPr="00BE3202">
        <w:rPr>
          <w:bCs/>
          <w:color w:val="auto"/>
        </w:rPr>
        <w:t>. Choć w ujęciu ogólnym jest to niewielki odsetek, biorąc pod uwagę skalę rynku PV, pozostaje on ważnym sygnałem ostrzegawczym, szczególnie w świetle obowiązku montażu instalacji w obiektach użyteczności publicznej i komercyjnych.</w:t>
      </w:r>
    </w:p>
    <w:p w14:paraId="6F9794CE" w14:textId="77777777" w:rsidR="00BE3202" w:rsidRPr="00BE3202" w:rsidRDefault="00BE3202" w:rsidP="00BE3202">
      <w:pPr>
        <w:pStyle w:val="Textedesaisie"/>
        <w:rPr>
          <w:bCs/>
          <w:color w:val="auto"/>
        </w:rPr>
      </w:pPr>
    </w:p>
    <w:p w14:paraId="75D21708" w14:textId="4410F2BE" w:rsidR="00BE3202" w:rsidRDefault="00BE3202" w:rsidP="00BE3202">
      <w:pPr>
        <w:pStyle w:val="Textedesaisie"/>
        <w:rPr>
          <w:bCs/>
          <w:color w:val="auto"/>
        </w:rPr>
      </w:pPr>
      <w:r w:rsidRPr="00BE3202">
        <w:rPr>
          <w:bCs/>
          <w:color w:val="auto"/>
        </w:rPr>
        <w:t xml:space="preserve">– </w:t>
      </w:r>
      <w:r w:rsidRPr="00BE3202">
        <w:rPr>
          <w:bCs/>
          <w:i/>
          <w:iCs/>
          <w:color w:val="auto"/>
        </w:rPr>
        <w:t xml:space="preserve">Dziś instalacja fotowoltaiczna nie może być traktowana jako odizolowany komponent. Stanowi element złożonej infrastruktury technicznej budynku i musi podlegać bieżącemu nadzorowi. Kluczowe jest monitorowanie takich parametrów jak temperatura złącz, </w:t>
      </w:r>
      <w:proofErr w:type="spellStart"/>
      <w:r w:rsidRPr="00BE3202">
        <w:rPr>
          <w:bCs/>
          <w:i/>
          <w:iCs/>
          <w:color w:val="auto"/>
        </w:rPr>
        <w:t>mikroprzeciążenia</w:t>
      </w:r>
      <w:proofErr w:type="spellEnd"/>
      <w:r w:rsidRPr="00BE3202">
        <w:rPr>
          <w:bCs/>
          <w:i/>
          <w:iCs/>
          <w:color w:val="auto"/>
        </w:rPr>
        <w:t>, charakterystyki pracy falowników czy występowanie anomalii napięciowych. W praktyce najczęstsze awarie mają charakter zewnętrzny – dlatego stale monitorujemy nasze instalacje, by minimalizować ryzyka eksploatacyjne i zapewnić ich niezawodność</w:t>
      </w:r>
      <w:r w:rsidRPr="00BE3202">
        <w:rPr>
          <w:bCs/>
          <w:color w:val="auto"/>
        </w:rPr>
        <w:t xml:space="preserve"> – komentuje </w:t>
      </w:r>
      <w:r w:rsidRPr="00BE3202">
        <w:rPr>
          <w:b/>
          <w:bCs/>
          <w:color w:val="auto"/>
        </w:rPr>
        <w:t xml:space="preserve">Marek </w:t>
      </w:r>
      <w:proofErr w:type="spellStart"/>
      <w:r w:rsidRPr="00BE3202">
        <w:rPr>
          <w:b/>
          <w:bCs/>
          <w:color w:val="auto"/>
        </w:rPr>
        <w:t>Winsczyk</w:t>
      </w:r>
      <w:proofErr w:type="spellEnd"/>
      <w:r w:rsidRPr="00BE3202">
        <w:rPr>
          <w:b/>
          <w:bCs/>
          <w:color w:val="auto"/>
        </w:rPr>
        <w:t xml:space="preserve">, </w:t>
      </w:r>
      <w:r w:rsidRPr="00BE3202">
        <w:rPr>
          <w:bCs/>
          <w:color w:val="auto"/>
        </w:rPr>
        <w:t>Dyrektor kontraktów</w:t>
      </w:r>
      <w:r>
        <w:rPr>
          <w:bCs/>
          <w:color w:val="auto"/>
        </w:rPr>
        <w:t xml:space="preserve"> </w:t>
      </w:r>
      <w:r w:rsidRPr="00BE3202">
        <w:rPr>
          <w:bCs/>
          <w:color w:val="auto"/>
        </w:rPr>
        <w:t>ENGIE Elektromontaż.</w:t>
      </w:r>
    </w:p>
    <w:p w14:paraId="0583AA3F" w14:textId="2F2CBF89" w:rsidR="00BE3202" w:rsidRDefault="00BE3202" w:rsidP="00BE3202">
      <w:pPr>
        <w:pStyle w:val="Textedesaisie"/>
        <w:rPr>
          <w:bCs/>
          <w:color w:val="auto"/>
        </w:rPr>
      </w:pPr>
      <w:r w:rsidRPr="00BE3202">
        <w:rPr>
          <w:bCs/>
          <w:color w:val="auto"/>
        </w:rPr>
        <w:lastRenderedPageBreak/>
        <w:t>W realizacjach ENGIE Elektromontaż wykorzystywane są narzędzia klasy Be4Energy, umożliwiające akwizycję i analizę danych z ponad 20 źródeł, generowanie predykcyjnych alertów z wyprzedzeniem do 30 dni oraz integrację z istniejącą automatyką budynkową. Zastosowane rozwiązania są zgodne z normami EN 50618, PN-HD 60364 oraz rekomendacjami CNBOP-PIB. Uzupełnieniem systemów prewencyjnych są regularne inspekcje termowizyjne, pozwalające na wykrycie punktów przegrzewania i potencjalnych miejsc awarii bez potrzeby wyłączania instalacji z eksploatacji.</w:t>
      </w:r>
    </w:p>
    <w:p w14:paraId="62BCBF49" w14:textId="77777777" w:rsidR="00167B74" w:rsidRPr="00BE3202" w:rsidRDefault="00167B74" w:rsidP="00BE3202">
      <w:pPr>
        <w:pStyle w:val="Textedesaisie"/>
        <w:rPr>
          <w:bCs/>
          <w:color w:val="auto"/>
        </w:rPr>
      </w:pPr>
    </w:p>
    <w:p w14:paraId="2726E265" w14:textId="140849A4" w:rsidR="00BE3202" w:rsidRDefault="00BE3202" w:rsidP="00BE3202">
      <w:pPr>
        <w:pStyle w:val="Textedesaisie"/>
        <w:rPr>
          <w:b/>
          <w:bCs/>
          <w:color w:val="auto"/>
        </w:rPr>
      </w:pPr>
      <w:r w:rsidRPr="00BE3202">
        <w:rPr>
          <w:b/>
          <w:bCs/>
          <w:color w:val="auto"/>
        </w:rPr>
        <w:t>Ufaj, ale sprawdzaj</w:t>
      </w:r>
    </w:p>
    <w:p w14:paraId="1CFDDD4A" w14:textId="77777777" w:rsidR="00BE3202" w:rsidRPr="00BE3202" w:rsidRDefault="00BE3202" w:rsidP="00BE3202">
      <w:pPr>
        <w:pStyle w:val="Textedesaisie"/>
        <w:rPr>
          <w:bCs/>
          <w:color w:val="auto"/>
        </w:rPr>
      </w:pPr>
    </w:p>
    <w:p w14:paraId="19C7F650" w14:textId="3FFEC4AD" w:rsidR="00BE3202" w:rsidRDefault="00BE3202" w:rsidP="00BE3202">
      <w:pPr>
        <w:pStyle w:val="Textedesaisie"/>
        <w:rPr>
          <w:bCs/>
          <w:color w:val="auto"/>
        </w:rPr>
      </w:pPr>
      <w:r w:rsidRPr="00BE3202">
        <w:rPr>
          <w:bCs/>
          <w:color w:val="auto"/>
        </w:rPr>
        <w:t xml:space="preserve">Energia produkowana na potrzeby własne z instalacji fotowoltaicznych to istotny krok w kierunku niezależności energetycznej i redukcji kosztów operacyjnych. Jednak wraz ze wzrostem udziału PV w </w:t>
      </w:r>
      <w:proofErr w:type="spellStart"/>
      <w:r w:rsidRPr="00BE3202">
        <w:rPr>
          <w:bCs/>
          <w:color w:val="auto"/>
        </w:rPr>
        <w:t>miksie</w:t>
      </w:r>
      <w:proofErr w:type="spellEnd"/>
      <w:r w:rsidRPr="00BE3202">
        <w:rPr>
          <w:bCs/>
          <w:color w:val="auto"/>
        </w:rPr>
        <w:t xml:space="preserve"> energetycznym rośnie także odpowiedzialność za ich bezpieczną integrację z infrastrukturą budynków. W większości przypadków tego typu instalacje są bezpieczne i na co dzień nie stanowią zagrożenia dla użytkowników, niemniej, jak każde urządzenie elektryczne, wymagają regularnych przeglądów, konserwacji oraz monitorowania ich stanu technicznego w celu zapewnienia długoterminowej niezawodności i bezpieczeństwa eksploatacji.</w:t>
      </w:r>
    </w:p>
    <w:p w14:paraId="2BCC0939" w14:textId="77777777" w:rsidR="00BE3202" w:rsidRPr="00BE3202" w:rsidRDefault="00BE3202" w:rsidP="00BE3202">
      <w:pPr>
        <w:pStyle w:val="Textedesaisie"/>
        <w:rPr>
          <w:bCs/>
          <w:color w:val="auto"/>
        </w:rPr>
      </w:pPr>
    </w:p>
    <w:p w14:paraId="274128B1" w14:textId="66C0F2E6" w:rsidR="00BE3202" w:rsidRPr="00BE3202" w:rsidRDefault="00BE3202" w:rsidP="00BE3202">
      <w:pPr>
        <w:pStyle w:val="Textedesaisie"/>
        <w:rPr>
          <w:bCs/>
          <w:color w:val="auto"/>
        </w:rPr>
      </w:pPr>
      <w:r w:rsidRPr="00BE3202">
        <w:rPr>
          <w:bCs/>
          <w:color w:val="auto"/>
        </w:rPr>
        <w:t>W najbliższych latach, w obliczu wymogów regulacyjnych i presji na zwiększanie efektywności energetycznej, można oczekiwać dalszej profesjonalizacji rynku PV. Integracja danych, automatyzacja diagnostyki i podejście pre</w:t>
      </w:r>
      <w:r>
        <w:rPr>
          <w:bCs/>
          <w:color w:val="auto"/>
        </w:rPr>
        <w:t xml:space="preserve">dykcyjne staną się standardem, </w:t>
      </w:r>
      <w:r w:rsidRPr="00BE3202">
        <w:rPr>
          <w:bCs/>
          <w:color w:val="auto"/>
        </w:rPr>
        <w:t>nie tylko dla dużych operatorów, ale także dla właścicieli obiektów komercyjnych i publicznych. Ostatecznie to nie tylko technologia, ale sposób jej zarządzania zdecyduje o niezawodności i bezpieczeństwie systemów fotowoltaicznych w nowej rzeczywistości energetycznej.</w:t>
      </w:r>
    </w:p>
    <w:p w14:paraId="36C57CC3" w14:textId="77777777" w:rsidR="005F3742" w:rsidRPr="005F3742" w:rsidRDefault="005F3742" w:rsidP="005F3742">
      <w:pPr>
        <w:pStyle w:val="Textedesaisie"/>
        <w:rPr>
          <w:b/>
          <w:bCs/>
          <w:color w:val="auto"/>
        </w:rPr>
      </w:pPr>
    </w:p>
    <w:p w14:paraId="5516BB67" w14:textId="77777777" w:rsidR="00562B4F" w:rsidRPr="00CC7B62" w:rsidRDefault="00CC7B62" w:rsidP="00CC7B62">
      <w:pPr>
        <w:pStyle w:val="Textedesaisie"/>
        <w:rPr>
          <w:rStyle w:val="Bold"/>
          <w:rFonts w:cstheme="minorBidi"/>
          <w:b w:val="0"/>
          <w:color w:val="auto"/>
          <w:lang w:val="pl-PL" w:eastAsia="en-US"/>
        </w:rPr>
      </w:pPr>
      <w:r w:rsidRPr="00B157BB">
        <w:rPr>
          <w:rStyle w:val="Bold"/>
          <w:lang w:val="pl-PL"/>
        </w:rPr>
        <w:t xml:space="preserve">O </w:t>
      </w:r>
      <w:r w:rsidR="00562B4F" w:rsidRPr="00B157BB">
        <w:rPr>
          <w:rStyle w:val="Bold"/>
          <w:lang w:val="pl-PL"/>
        </w:rPr>
        <w:t>ENGIE</w:t>
      </w:r>
      <w:r w:rsidRPr="00B157BB">
        <w:rPr>
          <w:rStyle w:val="Bold"/>
          <w:lang w:val="pl-PL"/>
        </w:rPr>
        <w:t xml:space="preserve"> Polska</w:t>
      </w:r>
    </w:p>
    <w:p w14:paraId="64204A17" w14:textId="77777777" w:rsidR="008C0B76" w:rsidRPr="00B157BB" w:rsidRDefault="008C0B76" w:rsidP="00F92ECA">
      <w:pPr>
        <w:pStyle w:val="Texteapropos"/>
      </w:pPr>
    </w:p>
    <w:p w14:paraId="45C72EDE" w14:textId="77777777" w:rsidR="00CC7B62" w:rsidRPr="001A1C14" w:rsidRDefault="00CC7B62" w:rsidP="00CC7B62">
      <w:pPr>
        <w:pStyle w:val="Textedesaisie"/>
        <w:rPr>
          <w:rFonts w:ascii="Calibri" w:hAnsi="Calibri" w:cs="Calibri"/>
          <w:color w:val="auto"/>
        </w:rPr>
      </w:pPr>
      <w:r w:rsidRPr="00CC7B62">
        <w:rPr>
          <w:color w:val="auto"/>
        </w:rPr>
        <w:t>ENGIE Polska należy do międzynarodowego koncernu energetycznego ENGIE, który specjalizuje się w niskoemisyjnych produktach i usługach, wspierając transformację energetyczną w Europie i na świecie. W Polsce grupa składa się z sześciu wyspecjalizowanych spółek, które dostarczają innowacyjne rozwiązania energetyczne dla miast, samorządów, przemysłu i sektora nieruchomości. ENGIE Polska koncentruje się na modernizacji systemów ciepłowniczych, rozwoju odnawialnych źródeł energii oraz wdrażaniu inteligentnych technologii zarządzania energią, przyczyniając się do poprawy efektywności energetycznej i redukcji emisji CO</w:t>
      </w:r>
      <w:r w:rsidRPr="00CC7B62">
        <w:rPr>
          <w:rFonts w:ascii="Cambria Math" w:hAnsi="Cambria Math" w:cs="Cambria Math"/>
          <w:color w:val="auto"/>
        </w:rPr>
        <w:t>₂</w:t>
      </w:r>
      <w:r w:rsidRPr="00CC7B62">
        <w:rPr>
          <w:color w:val="auto"/>
        </w:rPr>
        <w:t>.</w:t>
      </w:r>
    </w:p>
    <w:p w14:paraId="055DE4AD" w14:textId="77777777" w:rsidR="00CC7B62" w:rsidRPr="001A1C14" w:rsidRDefault="00CC7B62" w:rsidP="00CC7B62">
      <w:pPr>
        <w:pStyle w:val="Textedesaisie"/>
        <w:rPr>
          <w:rFonts w:ascii="Calibri" w:hAnsi="Calibri" w:cs="Calibri"/>
          <w:color w:val="auto"/>
        </w:rPr>
      </w:pPr>
    </w:p>
    <w:tbl>
      <w:tblPr>
        <w:tblStyle w:val="Tabela-Siatka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</w:tblGrid>
      <w:tr w:rsidR="00CC7B62" w:rsidRPr="00486946" w14:paraId="4C61CA05" w14:textId="77777777" w:rsidTr="002A757D">
        <w:tc>
          <w:tcPr>
            <w:tcW w:w="4252" w:type="dxa"/>
          </w:tcPr>
          <w:p w14:paraId="7E1A7525" w14:textId="77777777" w:rsidR="00CC7B62" w:rsidRPr="001A1C14" w:rsidRDefault="00CC7B62" w:rsidP="002A757D">
            <w:pPr>
              <w:pStyle w:val="Textecontact"/>
              <w:rPr>
                <w:rStyle w:val="Bold"/>
                <w:rFonts w:ascii="Calibri" w:hAnsi="Calibri" w:cs="Calibri"/>
                <w:lang w:val="pl-PL"/>
              </w:rPr>
            </w:pPr>
            <w:r w:rsidRPr="001A1C14">
              <w:rPr>
                <w:rStyle w:val="Bold"/>
                <w:rFonts w:ascii="Calibri" w:hAnsi="Calibri" w:cs="Calibri"/>
                <w:lang w:val="pl-PL"/>
              </w:rPr>
              <w:t>Kontakt dla mediów:</w:t>
            </w:r>
          </w:p>
          <w:p w14:paraId="580D0467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  <w:r w:rsidRPr="00486946">
              <w:rPr>
                <w:rFonts w:ascii="Calibri" w:hAnsi="Calibri" w:cs="Calibri"/>
                <w:bCs/>
              </w:rPr>
              <w:t>Magdalena Jaromińska</w:t>
            </w:r>
          </w:p>
          <w:p w14:paraId="066EB5EB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  <w:r w:rsidRPr="00486946">
              <w:rPr>
                <w:rFonts w:ascii="Calibri" w:hAnsi="Calibri" w:cs="Calibri"/>
              </w:rPr>
              <w:t xml:space="preserve">Chief Communications </w:t>
            </w:r>
            <w:proofErr w:type="spellStart"/>
            <w:r w:rsidRPr="00486946">
              <w:rPr>
                <w:rFonts w:ascii="Calibri" w:hAnsi="Calibri" w:cs="Calibri"/>
              </w:rPr>
              <w:t>Officer</w:t>
            </w:r>
            <w:proofErr w:type="spellEnd"/>
            <w:r w:rsidRPr="00486946">
              <w:rPr>
                <w:rFonts w:ascii="Calibri" w:hAnsi="Calibri" w:cs="Calibri"/>
              </w:rPr>
              <w:t>/Kierownik ds. komunikacji</w:t>
            </w:r>
          </w:p>
          <w:p w14:paraId="6045AB52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  <w:r w:rsidRPr="00486946">
              <w:rPr>
                <w:rFonts w:ascii="Calibri" w:hAnsi="Calibri" w:cs="Calibri"/>
              </w:rPr>
              <w:t>M: +48 604 299 672</w:t>
            </w:r>
            <w:r w:rsidRPr="00486946">
              <w:rPr>
                <w:rFonts w:ascii="Calibri" w:hAnsi="Calibri" w:cs="Calibri"/>
              </w:rPr>
              <w:br/>
            </w:r>
            <w:hyperlink r:id="rId12" w:tgtFrame="_blank" w:history="1">
              <w:r w:rsidRPr="00486946">
                <w:rPr>
                  <w:rStyle w:val="Hipercze"/>
                  <w:rFonts w:ascii="Calibri" w:hAnsi="Calibri" w:cs="Calibri"/>
                </w:rPr>
                <w:t>magdalena.jarominska@engie.com</w:t>
              </w:r>
            </w:hyperlink>
          </w:p>
          <w:p w14:paraId="6BCA5668" w14:textId="77777777" w:rsidR="00CC7B62" w:rsidRPr="00486946" w:rsidRDefault="00CC7B62" w:rsidP="002A757D">
            <w:pPr>
              <w:pStyle w:val="Textecontact"/>
              <w:rPr>
                <w:rFonts w:ascii="Calibri" w:hAnsi="Calibri" w:cs="Calibri"/>
              </w:rPr>
            </w:pPr>
          </w:p>
        </w:tc>
      </w:tr>
    </w:tbl>
    <w:p w14:paraId="5E8FED91" w14:textId="77777777" w:rsidR="00F92ECA" w:rsidRDefault="00F92ECA" w:rsidP="00CC7B62">
      <w:pPr>
        <w:pStyle w:val="Textedesaisie"/>
        <w:rPr>
          <w:color w:val="auto"/>
        </w:rPr>
      </w:pPr>
    </w:p>
    <w:sectPr w:rsidR="00F92ECA" w:rsidSect="00BA6623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851" w:right="1701" w:bottom="851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3A02" w14:textId="77777777" w:rsidR="00500481" w:rsidRDefault="00500481" w:rsidP="003865B7">
      <w:r>
        <w:separator/>
      </w:r>
    </w:p>
  </w:endnote>
  <w:endnote w:type="continuationSeparator" w:id="0">
    <w:p w14:paraId="5F53047A" w14:textId="77777777" w:rsidR="00500481" w:rsidRDefault="00500481" w:rsidP="003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lack">
    <w:charset w:val="00"/>
    <w:family w:val="auto"/>
    <w:pitch w:val="variable"/>
    <w:sig w:usb0="A00000AF" w:usb1="50000048" w:usb2="00000000" w:usb3="00000000" w:csb0="000001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80"/>
      <w:gridCol w:w="540"/>
      <w:gridCol w:w="584"/>
    </w:tblGrid>
    <w:tr w:rsidR="00B63ACD" w14:paraId="1DD35EB1" w14:textId="77777777" w:rsidTr="00B63ACD">
      <w:trPr>
        <w:trHeight w:hRule="exact" w:val="142"/>
      </w:trPr>
      <w:tc>
        <w:tcPr>
          <w:tcW w:w="7920" w:type="dxa"/>
          <w:gridSpan w:val="3"/>
          <w:tcBorders>
            <w:bottom w:val="single" w:sz="4" w:space="0" w:color="00817D" w:themeColor="accent3"/>
          </w:tcBorders>
          <w:vAlign w:val="bottom"/>
        </w:tcPr>
        <w:p w14:paraId="0227A163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  <w:tc>
        <w:tcPr>
          <w:tcW w:w="584" w:type="dxa"/>
          <w:vMerge w:val="restart"/>
          <w:vAlign w:val="center"/>
        </w:tcPr>
        <w:p w14:paraId="45670FBB" w14:textId="653BCAB1" w:rsidR="00B63ACD" w:rsidRPr="00585399" w:rsidRDefault="00B63ACD" w:rsidP="000A1580">
          <w:pPr>
            <w:pStyle w:val="Stopk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730F50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  <w:tr w:rsidR="00B63ACD" w14:paraId="50015624" w14:textId="77777777" w:rsidTr="00B63ACD">
      <w:trPr>
        <w:trHeight w:hRule="exact" w:val="142"/>
      </w:trPr>
      <w:tc>
        <w:tcPr>
          <w:tcW w:w="7920" w:type="dxa"/>
          <w:gridSpan w:val="3"/>
          <w:tcBorders>
            <w:top w:val="single" w:sz="4" w:space="0" w:color="00817D" w:themeColor="accent3"/>
          </w:tcBorders>
          <w:vAlign w:val="bottom"/>
        </w:tcPr>
        <w:p w14:paraId="50E46A0A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  <w:tc>
        <w:tcPr>
          <w:tcW w:w="584" w:type="dxa"/>
          <w:vMerge/>
          <w:vAlign w:val="bottom"/>
        </w:tcPr>
        <w:p w14:paraId="65C4F53F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</w:tr>
    <w:tr w:rsidR="00B63ACD" w14:paraId="641DFC31" w14:textId="77777777" w:rsidTr="0046543F">
      <w:tc>
        <w:tcPr>
          <w:tcW w:w="7200" w:type="dxa"/>
          <w:vAlign w:val="bottom"/>
        </w:tcPr>
        <w:p w14:paraId="5E527E44" w14:textId="77777777" w:rsidR="00B63ACD" w:rsidRPr="0046543F" w:rsidRDefault="00B63ACD" w:rsidP="0046543F">
          <w:pPr>
            <w:pStyle w:val="Adressepieddepage"/>
            <w:rPr>
              <w:color w:val="84A0AF"/>
            </w:rPr>
          </w:pPr>
          <w:r w:rsidRPr="0046543F">
            <w:rPr>
              <w:color w:val="84A0AF"/>
            </w:rPr>
            <w:t xml:space="preserve">Tour T1 – 1 place Samuel de Champlain – Faubourg de l’Arche - 92930 Paris La Défense cedex – France </w:t>
          </w:r>
        </w:p>
        <w:p w14:paraId="1DC2D2B8" w14:textId="77777777" w:rsidR="00B63ACD" w:rsidRPr="00585399" w:rsidRDefault="00B63ACD" w:rsidP="0046543F">
          <w:pPr>
            <w:pStyle w:val="Adressepieddepage"/>
          </w:pPr>
          <w:r w:rsidRPr="0046543F">
            <w:rPr>
              <w:color w:val="84A0AF"/>
            </w:rPr>
            <w:t>ENGIE – SA AU CAPITAL DE 2 435 285 011 EUROS – RCS NANTERRE 542 107 651 - Tél. : +33 (0)1 44 22 00 00</w:t>
          </w:r>
        </w:p>
      </w:tc>
      <w:tc>
        <w:tcPr>
          <w:tcW w:w="180" w:type="dxa"/>
          <w:vMerge w:val="restart"/>
        </w:tcPr>
        <w:p w14:paraId="561A926B" w14:textId="77777777" w:rsidR="00B63ACD" w:rsidRDefault="00B63ACD" w:rsidP="00585399">
          <w:pPr>
            <w:pStyle w:val="Stopka"/>
          </w:pPr>
        </w:p>
      </w:tc>
      <w:tc>
        <w:tcPr>
          <w:tcW w:w="1124" w:type="dxa"/>
          <w:gridSpan w:val="2"/>
          <w:vMerge w:val="restart"/>
          <w:vAlign w:val="bottom"/>
        </w:tcPr>
        <w:p w14:paraId="546FE7D7" w14:textId="77777777" w:rsidR="00B63ACD" w:rsidRPr="00B63ACD" w:rsidRDefault="00B63ACD" w:rsidP="00B63ACD">
          <w:pPr>
            <w:pStyle w:val="Texteadresseinternet"/>
          </w:pPr>
          <w:r w:rsidRPr="00B63ACD">
            <w:t>engie.com</w:t>
          </w:r>
        </w:p>
      </w:tc>
    </w:tr>
    <w:tr w:rsidR="00B63ACD" w14:paraId="728FA472" w14:textId="77777777" w:rsidTr="0046543F">
      <w:trPr>
        <w:trHeight w:hRule="exact" w:val="85"/>
      </w:trPr>
      <w:tc>
        <w:tcPr>
          <w:tcW w:w="7200" w:type="dxa"/>
          <w:vAlign w:val="bottom"/>
        </w:tcPr>
        <w:p w14:paraId="6D60E2E0" w14:textId="77777777" w:rsidR="00B63ACD" w:rsidRPr="009705F1" w:rsidRDefault="00B63ACD" w:rsidP="00585399">
          <w:pPr>
            <w:pStyle w:val="Stopka"/>
            <w:spacing w:line="180" w:lineRule="atLeast"/>
            <w:rPr>
              <w:sz w:val="14"/>
              <w:szCs w:val="14"/>
            </w:rPr>
          </w:pPr>
        </w:p>
      </w:tc>
      <w:tc>
        <w:tcPr>
          <w:tcW w:w="180" w:type="dxa"/>
          <w:vMerge/>
        </w:tcPr>
        <w:p w14:paraId="38ECADFA" w14:textId="77777777" w:rsidR="00B63ACD" w:rsidRDefault="00B63ACD" w:rsidP="00585399">
          <w:pPr>
            <w:pStyle w:val="Stopka"/>
          </w:pPr>
        </w:p>
      </w:tc>
      <w:tc>
        <w:tcPr>
          <w:tcW w:w="1124" w:type="dxa"/>
          <w:gridSpan w:val="2"/>
          <w:vMerge/>
          <w:vAlign w:val="bottom"/>
        </w:tcPr>
        <w:p w14:paraId="6ADB1A5F" w14:textId="77777777" w:rsidR="00B63ACD" w:rsidRPr="00585399" w:rsidRDefault="00B63ACD" w:rsidP="00585399">
          <w:pPr>
            <w:pStyle w:val="Stopka"/>
            <w:jc w:val="right"/>
            <w:rPr>
              <w:sz w:val="18"/>
              <w:szCs w:val="18"/>
            </w:rPr>
          </w:pPr>
        </w:p>
      </w:tc>
    </w:tr>
  </w:tbl>
  <w:p w14:paraId="0BA4A606" w14:textId="77777777" w:rsidR="00B63ACD" w:rsidRPr="00585399" w:rsidRDefault="00B63ACD" w:rsidP="00585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0798" w14:textId="77777777" w:rsidR="00500481" w:rsidRDefault="00500481" w:rsidP="003865B7">
      <w:r>
        <w:separator/>
      </w:r>
    </w:p>
  </w:footnote>
  <w:footnote w:type="continuationSeparator" w:id="0">
    <w:p w14:paraId="75BC6453" w14:textId="77777777" w:rsidR="00500481" w:rsidRDefault="00500481" w:rsidP="003865B7">
      <w:r>
        <w:continuationSeparator/>
      </w:r>
    </w:p>
  </w:footnote>
  <w:footnote w:id="1">
    <w:p w14:paraId="38A54677" w14:textId="2F57AFF3" w:rsidR="00BE3202" w:rsidRPr="00BE3202" w:rsidRDefault="00BE3202" w:rsidP="00BE3202">
      <w:pPr>
        <w:pStyle w:val="Tekstprzypisudolnego"/>
        <w:rPr>
          <w:sz w:val="18"/>
        </w:rPr>
      </w:pPr>
      <w:r w:rsidRPr="00BE3202">
        <w:rPr>
          <w:rStyle w:val="Odwoanieprzypisudolnego"/>
          <w:sz w:val="18"/>
        </w:rPr>
        <w:footnoteRef/>
      </w:r>
      <w:r w:rsidRPr="00BE3202">
        <w:rPr>
          <w:sz w:val="18"/>
        </w:rPr>
        <w:t xml:space="preserve">  </w:t>
      </w:r>
      <w:bookmarkStart w:id="0" w:name="_GoBack"/>
      <w:r w:rsidRPr="00BE3202">
        <w:rPr>
          <w:sz w:val="18"/>
        </w:rPr>
        <w:t xml:space="preserve">Instytut Energetyki Odnawialnej, Raport „Rynek </w:t>
      </w:r>
      <w:proofErr w:type="spellStart"/>
      <w:r w:rsidRPr="00BE3202">
        <w:rPr>
          <w:sz w:val="18"/>
        </w:rPr>
        <w:t>fotowoltaiki</w:t>
      </w:r>
      <w:proofErr w:type="spellEnd"/>
      <w:r w:rsidRPr="00BE3202">
        <w:rPr>
          <w:sz w:val="18"/>
        </w:rPr>
        <w:t xml:space="preserve"> w Polsce 2025”, 30.06.2025, </w:t>
      </w:r>
      <w:hyperlink r:id="rId1" w:history="1">
        <w:r w:rsidRPr="00BE3202">
          <w:rPr>
            <w:rStyle w:val="Hipercze"/>
            <w:sz w:val="18"/>
          </w:rPr>
          <w:t>https://ieo.pl/aktualnosci/1710-premiera-raportu-rynek-fotowoltaiki-w-polsce-2025</w:t>
        </w:r>
      </w:hyperlink>
      <w:r w:rsidRPr="00BE3202">
        <w:rPr>
          <w:sz w:val="18"/>
        </w:rPr>
        <w:t xml:space="preserve"> </w:t>
      </w:r>
      <w:bookmarkEnd w:id="0"/>
    </w:p>
  </w:footnote>
  <w:footnote w:id="2">
    <w:p w14:paraId="7EDEF558" w14:textId="1B7693F1" w:rsidR="00BE3202" w:rsidRDefault="00BE3202">
      <w:pPr>
        <w:pStyle w:val="Tekstprzypisudolnego"/>
      </w:pPr>
      <w:r w:rsidRPr="00BE3202">
        <w:rPr>
          <w:rStyle w:val="Odwoanieprzypisudolnego"/>
          <w:sz w:val="18"/>
        </w:rPr>
        <w:footnoteRef/>
      </w:r>
      <w:r w:rsidRPr="00BE3202">
        <w:rPr>
          <w:sz w:val="18"/>
        </w:rPr>
        <w:t xml:space="preserve"> </w:t>
      </w:r>
      <w:hyperlink r:id="rId2" w:anchor=":~:text=W%20przeanalizowanych%20411%20zdarzeniach%20z%20instalacj%C4%85%20fotowoltaiczn%C4%85%20oko%C5%82o,jedynie%20przypuszcza%C4%87%2C%20czy%20dotyczy%C5%82o%20to%20bezpo%C5%9Brednio%20system%C3%B3w%20PV." w:history="1">
        <w:proofErr w:type="spellStart"/>
        <w:r w:rsidRPr="00BE3202">
          <w:rPr>
            <w:rStyle w:val="Hipercze"/>
            <w:sz w:val="18"/>
          </w:rPr>
          <w:t>Fotowoltaika</w:t>
        </w:r>
        <w:proofErr w:type="spellEnd"/>
        <w:r w:rsidRPr="00BE3202">
          <w:rPr>
            <w:rStyle w:val="Hipercze"/>
            <w:sz w:val="18"/>
          </w:rPr>
          <w:t xml:space="preserve"> pod lupą | Przegląd Pożarniczy - PP KGPSP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4C54" w14:textId="77777777" w:rsidR="00B63ACD" w:rsidRDefault="00B63ACD" w:rsidP="003C7C34">
    <w:pPr>
      <w:pStyle w:val="Nagwek"/>
    </w:pPr>
  </w:p>
  <w:p w14:paraId="2322F8E0" w14:textId="77777777" w:rsidR="00B63ACD" w:rsidRPr="00A47F4D" w:rsidRDefault="00B63ACD" w:rsidP="00A47F4D">
    <w:pPr>
      <w:pStyle w:val="Nagwek"/>
    </w:pPr>
  </w:p>
  <w:p w14:paraId="0FB2725C" w14:textId="77777777" w:rsidR="00B63ACD" w:rsidRPr="00A47F4D" w:rsidRDefault="00B63ACD" w:rsidP="00A47F4D">
    <w:pPr>
      <w:pStyle w:val="Nagwek"/>
    </w:pPr>
  </w:p>
  <w:p w14:paraId="4BD9E3C0" w14:textId="77777777" w:rsidR="00B63ACD" w:rsidRPr="00A47F4D" w:rsidRDefault="00B63ACD" w:rsidP="00A47F4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AFBBC16" wp14:editId="066B6D90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803600" cy="1440000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31CAA" w14:textId="77777777" w:rsidR="00B63ACD" w:rsidRPr="00A47F4D" w:rsidRDefault="00B63ACD" w:rsidP="00A47F4D">
    <w:pPr>
      <w:pStyle w:val="Nagwek"/>
    </w:pPr>
  </w:p>
  <w:p w14:paraId="6F6F460D" w14:textId="77777777" w:rsidR="00B63ACD" w:rsidRPr="00A47F4D" w:rsidRDefault="00B63ACD" w:rsidP="00A47F4D">
    <w:pPr>
      <w:pStyle w:val="Nagwek"/>
    </w:pPr>
  </w:p>
  <w:p w14:paraId="1ADF4594" w14:textId="77777777" w:rsidR="00B63ACD" w:rsidRPr="00A47F4D" w:rsidRDefault="00B63ACD" w:rsidP="00A47F4D">
    <w:pPr>
      <w:pStyle w:val="Nagwek"/>
    </w:pPr>
  </w:p>
  <w:p w14:paraId="027D1084" w14:textId="77777777" w:rsidR="00B63ACD" w:rsidRPr="00A47F4D" w:rsidRDefault="00B63ACD" w:rsidP="00FA024F">
    <w:pPr>
      <w:pStyle w:val="Nagwek"/>
      <w:spacing w:line="27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650D" w14:textId="77777777" w:rsidR="00B63ACD" w:rsidRDefault="00B63ACD">
    <w:pPr>
      <w:pStyle w:val="Nagwek"/>
    </w:pPr>
  </w:p>
  <w:p w14:paraId="3A195BD8" w14:textId="77777777" w:rsidR="00B63ACD" w:rsidRDefault="00B63ACD">
    <w:pPr>
      <w:pStyle w:val="Nagwek"/>
    </w:pPr>
  </w:p>
  <w:p w14:paraId="79E5492E" w14:textId="77777777" w:rsidR="00B63ACD" w:rsidRDefault="00B63ACD">
    <w:pPr>
      <w:pStyle w:val="Nagwek"/>
    </w:pPr>
  </w:p>
  <w:p w14:paraId="6C355B99" w14:textId="77777777" w:rsidR="00B63ACD" w:rsidRDefault="00B63ACD">
    <w:pPr>
      <w:pStyle w:val="Nagwek"/>
    </w:pPr>
  </w:p>
  <w:p w14:paraId="56080061" w14:textId="77777777" w:rsidR="00B63ACD" w:rsidRDefault="00B63ACD">
    <w:pPr>
      <w:pStyle w:val="Nagwek"/>
    </w:pPr>
  </w:p>
  <w:p w14:paraId="0C037690" w14:textId="77777777" w:rsidR="00B63ACD" w:rsidRDefault="00B63ACD">
    <w:pPr>
      <w:pStyle w:val="Nagwek"/>
    </w:pPr>
  </w:p>
  <w:p w14:paraId="7BE8264F" w14:textId="77777777" w:rsidR="00B63ACD" w:rsidRDefault="00B63ACD">
    <w:pPr>
      <w:pStyle w:val="Nagwek"/>
    </w:pPr>
  </w:p>
  <w:p w14:paraId="1412A727" w14:textId="77777777" w:rsidR="00B63ACD" w:rsidRPr="00F7646B" w:rsidRDefault="00B63ACD" w:rsidP="00DB38D1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D4A9F"/>
    <w:multiLevelType w:val="hybridMultilevel"/>
    <w:tmpl w:val="F280B2FE"/>
    <w:lvl w:ilvl="0" w:tplc="237226DC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  <w:caps w:val="0"/>
        <w:strike w:val="0"/>
        <w:dstrike w:val="0"/>
        <w:vanish w:val="0"/>
        <w:sz w:val="4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C366D"/>
    <w:multiLevelType w:val="hybridMultilevel"/>
    <w:tmpl w:val="A08C9E06"/>
    <w:lvl w:ilvl="0" w:tplc="9DC629C2">
      <w:start w:val="1"/>
      <w:numFmt w:val="bullet"/>
      <w:lvlText w:val="–"/>
      <w:lvlJc w:val="left"/>
      <w:pPr>
        <w:ind w:left="720" w:hanging="360"/>
      </w:pPr>
      <w:rPr>
        <w:rFonts w:asciiTheme="majorHAnsi" w:hAnsiTheme="majorHAnsi" w:hint="default"/>
        <w:caps w:val="0"/>
        <w:strike w:val="0"/>
        <w:dstrike w:val="0"/>
        <w:vanish w:val="0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5EF3"/>
    <w:multiLevelType w:val="hybridMultilevel"/>
    <w:tmpl w:val="D4DA5AFE"/>
    <w:lvl w:ilvl="0" w:tplc="7B62D2AC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460F"/>
    <w:multiLevelType w:val="hybridMultilevel"/>
    <w:tmpl w:val="D0F28BBC"/>
    <w:lvl w:ilvl="0" w:tplc="9FC28624">
      <w:start w:val="1"/>
      <w:numFmt w:val="bullet"/>
      <w:lvlText w:val="–"/>
      <w:lvlJc w:val="left"/>
      <w:pPr>
        <w:ind w:left="720" w:hanging="360"/>
      </w:pPr>
      <w:rPr>
        <w:rFonts w:ascii="Gotham Black" w:hAnsi="Gotham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94287"/>
    <w:multiLevelType w:val="hybridMultilevel"/>
    <w:tmpl w:val="E8DCEFBA"/>
    <w:lvl w:ilvl="0" w:tplc="33CC7510">
      <w:start w:val="1"/>
      <w:numFmt w:val="bullet"/>
      <w:pStyle w:val="Textepuce"/>
      <w:lvlText w:val="–"/>
      <w:lvlJc w:val="left"/>
      <w:pPr>
        <w:ind w:left="700" w:hanging="360"/>
      </w:pPr>
      <w:rPr>
        <w:rFonts w:asciiTheme="majorHAnsi" w:hAnsiTheme="majorHAnsi" w:cs="Times New Roman" w:hint="default"/>
        <w:caps w:val="0"/>
        <w:strike w:val="0"/>
        <w:dstrike w:val="0"/>
        <w:vanish w:val="0"/>
        <w:color w:val="00AAFF" w:themeColor="accent2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2"/>
    <w:rsid w:val="00004D5E"/>
    <w:rsid w:val="000126F7"/>
    <w:rsid w:val="00016461"/>
    <w:rsid w:val="00040852"/>
    <w:rsid w:val="0005751F"/>
    <w:rsid w:val="00081A29"/>
    <w:rsid w:val="00096706"/>
    <w:rsid w:val="000A1580"/>
    <w:rsid w:val="000C2302"/>
    <w:rsid w:val="000C711B"/>
    <w:rsid w:val="000E31DA"/>
    <w:rsid w:val="000F02A0"/>
    <w:rsid w:val="001064AF"/>
    <w:rsid w:val="001213BB"/>
    <w:rsid w:val="00167B74"/>
    <w:rsid w:val="001716F8"/>
    <w:rsid w:val="001960F0"/>
    <w:rsid w:val="001B5EC4"/>
    <w:rsid w:val="001F5ED4"/>
    <w:rsid w:val="002019AB"/>
    <w:rsid w:val="00241492"/>
    <w:rsid w:val="00241691"/>
    <w:rsid w:val="00294404"/>
    <w:rsid w:val="002D2268"/>
    <w:rsid w:val="002F4E63"/>
    <w:rsid w:val="003076F7"/>
    <w:rsid w:val="00317240"/>
    <w:rsid w:val="00353E47"/>
    <w:rsid w:val="00386092"/>
    <w:rsid w:val="003865B7"/>
    <w:rsid w:val="00396690"/>
    <w:rsid w:val="003C1479"/>
    <w:rsid w:val="003C7C34"/>
    <w:rsid w:val="00431335"/>
    <w:rsid w:val="00435BD1"/>
    <w:rsid w:val="004423D8"/>
    <w:rsid w:val="00442948"/>
    <w:rsid w:val="0046543F"/>
    <w:rsid w:val="00471F4E"/>
    <w:rsid w:val="004A38D0"/>
    <w:rsid w:val="004A51C2"/>
    <w:rsid w:val="004E5EE3"/>
    <w:rsid w:val="004F135C"/>
    <w:rsid w:val="00500481"/>
    <w:rsid w:val="005232F9"/>
    <w:rsid w:val="00550AF2"/>
    <w:rsid w:val="00562B4F"/>
    <w:rsid w:val="00585399"/>
    <w:rsid w:val="005F3742"/>
    <w:rsid w:val="00633F2B"/>
    <w:rsid w:val="00654CAA"/>
    <w:rsid w:val="00702726"/>
    <w:rsid w:val="00706E83"/>
    <w:rsid w:val="00714945"/>
    <w:rsid w:val="00730F50"/>
    <w:rsid w:val="007310D3"/>
    <w:rsid w:val="00733A49"/>
    <w:rsid w:val="00747F71"/>
    <w:rsid w:val="007710A1"/>
    <w:rsid w:val="00775F4A"/>
    <w:rsid w:val="0078427B"/>
    <w:rsid w:val="007A4D69"/>
    <w:rsid w:val="007C4C11"/>
    <w:rsid w:val="00814DE8"/>
    <w:rsid w:val="00831EBB"/>
    <w:rsid w:val="00840603"/>
    <w:rsid w:val="0084231F"/>
    <w:rsid w:val="00851EAB"/>
    <w:rsid w:val="00891760"/>
    <w:rsid w:val="008C0B76"/>
    <w:rsid w:val="008D1132"/>
    <w:rsid w:val="008D2D5E"/>
    <w:rsid w:val="008E4758"/>
    <w:rsid w:val="008E4A83"/>
    <w:rsid w:val="00912DAB"/>
    <w:rsid w:val="00926547"/>
    <w:rsid w:val="009705F1"/>
    <w:rsid w:val="00971591"/>
    <w:rsid w:val="009764FA"/>
    <w:rsid w:val="00A17125"/>
    <w:rsid w:val="00A47F4D"/>
    <w:rsid w:val="00A63F44"/>
    <w:rsid w:val="00A70313"/>
    <w:rsid w:val="00A80E77"/>
    <w:rsid w:val="00B157BB"/>
    <w:rsid w:val="00B44367"/>
    <w:rsid w:val="00B63ACD"/>
    <w:rsid w:val="00B63B08"/>
    <w:rsid w:val="00B75B31"/>
    <w:rsid w:val="00B77598"/>
    <w:rsid w:val="00BA64D6"/>
    <w:rsid w:val="00BA6623"/>
    <w:rsid w:val="00BB3742"/>
    <w:rsid w:val="00BE3202"/>
    <w:rsid w:val="00C31EFC"/>
    <w:rsid w:val="00C5716E"/>
    <w:rsid w:val="00C86EEF"/>
    <w:rsid w:val="00CC7B62"/>
    <w:rsid w:val="00D174B9"/>
    <w:rsid w:val="00D828E7"/>
    <w:rsid w:val="00DB38D1"/>
    <w:rsid w:val="00DC29DB"/>
    <w:rsid w:val="00DD2712"/>
    <w:rsid w:val="00DE1589"/>
    <w:rsid w:val="00DF4C32"/>
    <w:rsid w:val="00E34CFC"/>
    <w:rsid w:val="00E63996"/>
    <w:rsid w:val="00E97EF5"/>
    <w:rsid w:val="00EB73C0"/>
    <w:rsid w:val="00EC1658"/>
    <w:rsid w:val="00F34DCE"/>
    <w:rsid w:val="00F45E8D"/>
    <w:rsid w:val="00F47D26"/>
    <w:rsid w:val="00F51D4C"/>
    <w:rsid w:val="00F646A7"/>
    <w:rsid w:val="00F7646B"/>
    <w:rsid w:val="00F80A72"/>
    <w:rsid w:val="00F92ECA"/>
    <w:rsid w:val="00F966D5"/>
    <w:rsid w:val="00FA024F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9A58"/>
  <w15:docId w15:val="{B038F019-60A3-4683-A1DD-D67CC6F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ECA"/>
    <w:pPr>
      <w:spacing w:after="0" w:line="240" w:lineRule="atLeast"/>
    </w:pPr>
    <w:rPr>
      <w:color w:val="67AE6E" w:themeColor="background2"/>
      <w:sz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132"/>
    <w:pPr>
      <w:keepNext/>
      <w:keepLines/>
      <w:spacing w:line="432" w:lineRule="exact"/>
      <w:jc w:val="center"/>
      <w:outlineLvl w:val="0"/>
    </w:pPr>
    <w:rPr>
      <w:rFonts w:asciiTheme="majorHAnsi" w:eastAsiaTheme="majorEastAsia" w:hAnsiTheme="majorHAnsi" w:cstheme="majorBidi"/>
      <w:bCs/>
      <w:color w:val="00AAFF" w:themeColor="accent2"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019AB"/>
    <w:rPr>
      <w:sz w:val="20"/>
    </w:rPr>
  </w:style>
  <w:style w:type="paragraph" w:styleId="Stopka">
    <w:name w:val="footer"/>
    <w:link w:val="StopkaZnak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C7C34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D1132"/>
    <w:rPr>
      <w:rFonts w:asciiTheme="majorHAnsi" w:eastAsiaTheme="majorEastAsia" w:hAnsiTheme="majorHAnsi" w:cstheme="majorBidi"/>
      <w:bCs/>
      <w:color w:val="00AAFF" w:themeColor="accent2"/>
      <w:sz w:val="36"/>
      <w:szCs w:val="36"/>
      <w:lang w:val="en-US"/>
    </w:rPr>
  </w:style>
  <w:style w:type="table" w:styleId="Tabela-Siatka">
    <w:name w:val="Table Grid"/>
    <w:basedOn w:val="Standardowy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ny"/>
    <w:semiHidden/>
    <w:rsid w:val="00317240"/>
    <w:pPr>
      <w:spacing w:line="200" w:lineRule="atLeast"/>
    </w:pPr>
    <w:rPr>
      <w:color w:val="F4C867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17255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ny"/>
    <w:qFormat/>
    <w:rsid w:val="008D1132"/>
    <w:pPr>
      <w:jc w:val="right"/>
    </w:pPr>
    <w:rPr>
      <w:color w:val="17255F" w:themeColor="accent1"/>
      <w:sz w:val="28"/>
      <w:szCs w:val="28"/>
    </w:rPr>
  </w:style>
  <w:style w:type="paragraph" w:customStyle="1" w:styleId="Textepuce">
    <w:name w:val="Texte puce"/>
    <w:basedOn w:val="Textedesaisie"/>
    <w:qFormat/>
    <w:rsid w:val="00714945"/>
    <w:pPr>
      <w:numPr>
        <w:numId w:val="15"/>
      </w:numPr>
      <w:ind w:left="680" w:hanging="340"/>
    </w:pPr>
  </w:style>
  <w:style w:type="paragraph" w:customStyle="1" w:styleId="Texteadresseinternet">
    <w:name w:val="Texte adresse internet"/>
    <w:basedOn w:val="Stopka"/>
    <w:qFormat/>
    <w:rsid w:val="00B63ACD"/>
    <w:pPr>
      <w:jc w:val="right"/>
    </w:pPr>
    <w:rPr>
      <w:color w:val="00817D" w:themeColor="accent3"/>
      <w:sz w:val="18"/>
      <w:szCs w:val="18"/>
    </w:rPr>
  </w:style>
  <w:style w:type="paragraph" w:customStyle="1" w:styleId="Adressepieddepage">
    <w:name w:val="Adresse pied de page"/>
    <w:basedOn w:val="Stopka"/>
    <w:qFormat/>
    <w:rsid w:val="00BA6623"/>
    <w:pPr>
      <w:spacing w:line="180" w:lineRule="atLeast"/>
    </w:pPr>
    <w:rPr>
      <w:color w:val="00817D" w:themeColor="accent3"/>
      <w:sz w:val="14"/>
      <w:szCs w:val="14"/>
    </w:rPr>
  </w:style>
  <w:style w:type="character" w:customStyle="1" w:styleId="Bold">
    <w:name w:val="Bold"/>
    <w:basedOn w:val="Domylnaczcionkaakapitu"/>
    <w:uiPriority w:val="1"/>
    <w:qFormat/>
    <w:rsid w:val="0078427B"/>
    <w:rPr>
      <w:rFonts w:cs="Times New Roman"/>
      <w:b/>
      <w:lang w:val="en-US" w:eastAsia="x-none"/>
    </w:rPr>
  </w:style>
  <w:style w:type="paragraph" w:customStyle="1" w:styleId="Textedesaisie">
    <w:name w:val="Texte de saisie"/>
    <w:basedOn w:val="Normalny"/>
    <w:qFormat/>
    <w:rsid w:val="00562B4F"/>
    <w:pPr>
      <w:jc w:val="both"/>
    </w:pPr>
    <w:rPr>
      <w:color w:val="000000" w:themeColor="text1"/>
    </w:rPr>
  </w:style>
  <w:style w:type="paragraph" w:customStyle="1" w:styleId="Texteintroduction">
    <w:name w:val="Texte introduction"/>
    <w:basedOn w:val="Textedesaisie"/>
    <w:qFormat/>
    <w:rsid w:val="008C0B76"/>
    <w:rPr>
      <w:b/>
      <w:sz w:val="22"/>
    </w:rPr>
  </w:style>
  <w:style w:type="paragraph" w:customStyle="1" w:styleId="Datedudocument">
    <w:name w:val="Date du document"/>
    <w:basedOn w:val="Normalny"/>
    <w:qFormat/>
    <w:rsid w:val="008D1132"/>
    <w:pPr>
      <w:jc w:val="right"/>
    </w:pPr>
    <w:rPr>
      <w:color w:val="17255F" w:themeColor="accent1"/>
      <w:sz w:val="28"/>
      <w:szCs w:val="28"/>
    </w:rPr>
  </w:style>
  <w:style w:type="character" w:styleId="Hipercze">
    <w:name w:val="Hyperlink"/>
    <w:basedOn w:val="Domylnaczcionkaakapitu"/>
    <w:uiPriority w:val="99"/>
    <w:rsid w:val="008D1132"/>
    <w:rPr>
      <w:color w:val="00AAFF" w:themeColor="accent2"/>
      <w:u w:val="single"/>
    </w:rPr>
  </w:style>
  <w:style w:type="paragraph" w:customStyle="1" w:styleId="Texteapropos">
    <w:name w:val="Texte a propos"/>
    <w:basedOn w:val="Textedesaisie"/>
    <w:qFormat/>
    <w:rsid w:val="00F92ECA"/>
    <w:pPr>
      <w:spacing w:line="216" w:lineRule="atLeast"/>
    </w:pPr>
    <w:rPr>
      <w:color w:val="auto"/>
      <w:sz w:val="18"/>
      <w:szCs w:val="18"/>
    </w:rPr>
  </w:style>
  <w:style w:type="paragraph" w:customStyle="1" w:styleId="Textecontact">
    <w:name w:val="Texte contact"/>
    <w:basedOn w:val="Textedesaisie"/>
    <w:qFormat/>
    <w:rsid w:val="00F92ECA"/>
    <w:pPr>
      <w:spacing w:line="216" w:lineRule="atLeast"/>
      <w:jc w:val="left"/>
    </w:pPr>
    <w:rPr>
      <w:color w:val="auto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C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33A49"/>
    <w:pPr>
      <w:spacing w:after="0" w:line="240" w:lineRule="auto"/>
    </w:pPr>
    <w:rPr>
      <w:color w:val="67AE6E" w:themeColor="background2"/>
      <w:sz w:val="20"/>
    </w:rPr>
  </w:style>
  <w:style w:type="character" w:styleId="Pogrubienie">
    <w:name w:val="Strong"/>
    <w:basedOn w:val="Domylnaczcionkaakapitu"/>
    <w:uiPriority w:val="22"/>
    <w:qFormat/>
    <w:rsid w:val="005F374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202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202"/>
    <w:rPr>
      <w:color w:val="67AE6E" w:themeColor="background2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20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30F5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gdalena.jarominska@engi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poz.pl/czytelnia/ratownictwo-i-ochrona-ludnosci/Fotowoltaika-pod-lupa/idn:2751" TargetMode="External"/><Relationship Id="rId1" Type="http://schemas.openxmlformats.org/officeDocument/2006/relationships/hyperlink" Target="https://ieo.pl/aktualnosci/1710-premiera-raportu-rynek-fotowoltaiki-w-polsce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j\Downloads\Press%20release%20Template%20(2).dotx" TargetMode="External"/></Relationships>
</file>

<file path=word/theme/theme1.xml><?xml version="1.0" encoding="utf-8"?>
<a:theme xmlns:a="http://schemas.openxmlformats.org/drawingml/2006/main" name="Thème Office">
  <a:themeElements>
    <a:clrScheme name="ENGIE WORD">
      <a:dk1>
        <a:sysClr val="windowText" lastClr="000000"/>
      </a:dk1>
      <a:lt1>
        <a:sysClr val="window" lastClr="FFFFFF"/>
      </a:lt1>
      <a:dk2>
        <a:srgbClr val="F4C867"/>
      </a:dk2>
      <a:lt2>
        <a:srgbClr val="67AE6E"/>
      </a:lt2>
      <a:accent1>
        <a:srgbClr val="17255F"/>
      </a:accent1>
      <a:accent2>
        <a:srgbClr val="00AAFF"/>
      </a:accent2>
      <a:accent3>
        <a:srgbClr val="00817D"/>
      </a:accent3>
      <a:accent4>
        <a:srgbClr val="E18554"/>
      </a:accent4>
      <a:accent5>
        <a:srgbClr val="1D8CBC"/>
      </a:accent5>
      <a:accent6>
        <a:srgbClr val="4BB0B9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EBC1F51AFBC4FA9CABE1273F680D0" ma:contentTypeVersion="16" ma:contentTypeDescription="Utwórz nowy dokument." ma:contentTypeScope="" ma:versionID="5fe782b47889094dd2a2c9da467a79e4">
  <xsd:schema xmlns:xsd="http://www.w3.org/2001/XMLSchema" xmlns:xs="http://www.w3.org/2001/XMLSchema" xmlns:p="http://schemas.microsoft.com/office/2006/metadata/properties" xmlns:ns2="87037488-ec5d-4aba-84c2-9b1d22638e8e" xmlns:ns3="58b5a6ef-3976-4b86-a61c-2b233245df1a" xmlns:ns4="e0555a73-95f1-4537-8631-abe7d984fa9b" targetNamespace="http://schemas.microsoft.com/office/2006/metadata/properties" ma:root="true" ma:fieldsID="e2c88469c185f4f57674055d7e4ec425" ns2:_="" ns3:_="" ns4:_="">
    <xsd:import namespace="87037488-ec5d-4aba-84c2-9b1d22638e8e"/>
    <xsd:import namespace="58b5a6ef-3976-4b86-a61c-2b233245df1a"/>
    <xsd:import namespace="e0555a73-95f1-4537-8631-abe7d984fa9b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b10c86-abff-4866-8eb6-950d4954d5e5}" ma:internalName="TaxCatchAll" ma:showField="CatchAllData" ma:web="e0555a73-95f1-4537-8631-abe7d984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b10c86-abff-4866-8eb6-950d4954d5e5}" ma:internalName="TaxCatchAllLabel" ma:readOnly="true" ma:showField="CatchAllDataLabel" ma:web="e0555a73-95f1-4537-8631-abe7d984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a6ef-3976-4b86-a61c-2b233245d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55a73-95f1-4537-8631-abe7d984f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5a6ef-3976-4b86-a61c-2b233245df1a">
      <Terms xmlns="http://schemas.microsoft.com/office/infopath/2007/PartnerControls"/>
    </lcf76f155ced4ddcb4097134ff3c332f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7AC7-08C6-48A5-BA35-3E95013CF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8b5a6ef-3976-4b86-a61c-2b233245df1a"/>
    <ds:schemaRef ds:uri="e0555a73-95f1-4537-8631-abe7d984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70757-20A6-4983-BC83-EA142C2D63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2E00FE-3F8A-4101-9AA7-C405E5B84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69931-3C41-47CF-A7DE-5846CA1A3900}">
  <ds:schemaRefs>
    <ds:schemaRef ds:uri="http://schemas.microsoft.com/office/2006/metadata/properties"/>
    <ds:schemaRef ds:uri="http://schemas.microsoft.com/office/infopath/2007/PartnerControls"/>
    <ds:schemaRef ds:uri="58b5a6ef-3976-4b86-a61c-2b233245df1a"/>
    <ds:schemaRef ds:uri="87037488-ec5d-4aba-84c2-9b1d22638e8e"/>
  </ds:schemaRefs>
</ds:datastoreItem>
</file>

<file path=customXml/itemProps5.xml><?xml version="1.0" encoding="utf-8"?>
<ds:datastoreItem xmlns:ds="http://schemas.openxmlformats.org/officeDocument/2006/customXml" ds:itemID="{B5D31BA9-18FB-4434-A1C7-589B123E46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(2)</Template>
  <TotalTime>26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ENGIE</vt:lpstr>
      <vt:lpstr>ENGIE</vt:lpstr>
    </vt:vector>
  </TitlesOfParts>
  <Manager>ENGIE</Manager>
  <Company>ENGIE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Alicja Dołęgowska</dc:creator>
  <cp:lastModifiedBy>Alicja Dołęgowska</cp:lastModifiedBy>
  <cp:revision>12</cp:revision>
  <dcterms:created xsi:type="dcterms:W3CDTF">2025-07-16T10:00:00Z</dcterms:created>
  <dcterms:modified xsi:type="dcterms:W3CDTF">2025-08-08T11:38:00Z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0x01010051BEBC1F51AFBC4FA9CABE1273F680D0</vt:lpwstr>
  </property>
</Properties>
</file>