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2D5D3" w14:textId="63439865" w:rsidR="00942C54" w:rsidRPr="00343A5C" w:rsidRDefault="00393D68" w:rsidP="008770F1">
      <w:pPr>
        <w:jc w:val="right"/>
        <w:rPr>
          <w:b/>
          <w:bCs/>
          <w:color w:val="000000" w:themeColor="text1"/>
          <w:sz w:val="22"/>
          <w:szCs w:val="22"/>
        </w:rPr>
      </w:pPr>
      <w:r>
        <w:rPr>
          <w:noProof/>
        </w:rPr>
        <w:drawing>
          <wp:anchor distT="0" distB="0" distL="114300" distR="114300" simplePos="0" relativeHeight="251658240" behindDoc="0" locked="0" layoutInCell="1" allowOverlap="1" wp14:anchorId="0A878D9A" wp14:editId="00113421">
            <wp:simplePos x="0" y="0"/>
            <wp:positionH relativeFrom="margin">
              <wp:align>left</wp:align>
            </wp:positionH>
            <wp:positionV relativeFrom="paragraph">
              <wp:posOffset>0</wp:posOffset>
            </wp:positionV>
            <wp:extent cx="1070986" cy="389106"/>
            <wp:effectExtent l="0" t="0" r="0" b="0"/>
            <wp:wrapSquare wrapText="bothSides"/>
            <wp:docPr id="615105156" name="Obraz 1" descr="Obraz zawierający krąg, zrzut ekranu, Grafika, ciemność&#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05156" name="Obraz 1" descr="Obraz zawierający krąg, zrzut ekranu, Grafika, ciemność&#10;&#10;Zawartość wygenerowana przez AI może być niepopraw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0986" cy="3891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3A5C">
        <w:rPr>
          <w:b/>
          <w:bCs/>
          <w:color w:val="000000" w:themeColor="text1"/>
          <w:sz w:val="22"/>
          <w:szCs w:val="22"/>
        </w:rPr>
        <w:t>Informacja prasowa</w:t>
      </w:r>
    </w:p>
    <w:p w14:paraId="46D98025" w14:textId="7E3EDC3F" w:rsidR="00393D68" w:rsidRPr="00C56DF2" w:rsidRDefault="00393D68" w:rsidP="00393D68">
      <w:pPr>
        <w:jc w:val="right"/>
        <w:rPr>
          <w:color w:val="000000" w:themeColor="text1"/>
          <w:sz w:val="22"/>
          <w:szCs w:val="22"/>
        </w:rPr>
      </w:pPr>
      <w:r w:rsidRPr="00C56DF2">
        <w:rPr>
          <w:color w:val="000000" w:themeColor="text1"/>
          <w:sz w:val="22"/>
          <w:szCs w:val="22"/>
        </w:rPr>
        <w:t xml:space="preserve">Warszawa, </w:t>
      </w:r>
      <w:r w:rsidR="008147AE">
        <w:rPr>
          <w:color w:val="000000" w:themeColor="text1"/>
          <w:sz w:val="22"/>
          <w:szCs w:val="22"/>
        </w:rPr>
        <w:t>8 sierpnia</w:t>
      </w:r>
      <w:r w:rsidRPr="00FD7A4B">
        <w:rPr>
          <w:color w:val="000000" w:themeColor="text1"/>
          <w:sz w:val="22"/>
          <w:szCs w:val="22"/>
        </w:rPr>
        <w:t xml:space="preserve"> 2025</w:t>
      </w:r>
      <w:r w:rsidR="00FD7A4B">
        <w:rPr>
          <w:color w:val="000000" w:themeColor="text1"/>
          <w:sz w:val="22"/>
          <w:szCs w:val="22"/>
        </w:rPr>
        <w:t xml:space="preserve"> r. </w:t>
      </w:r>
    </w:p>
    <w:p w14:paraId="6E9BF149" w14:textId="393128E1" w:rsidR="00C56DF2" w:rsidRPr="00343A5C" w:rsidRDefault="00AB0C1D" w:rsidP="00B56212">
      <w:pPr>
        <w:jc w:val="both"/>
        <w:rPr>
          <w:b/>
          <w:bCs/>
          <w:color w:val="000000" w:themeColor="text1"/>
          <w:sz w:val="28"/>
          <w:szCs w:val="28"/>
        </w:rPr>
      </w:pPr>
      <w:r>
        <w:rPr>
          <w:b/>
          <w:bCs/>
          <w:color w:val="000000" w:themeColor="text1"/>
          <w:sz w:val="28"/>
          <w:szCs w:val="28"/>
        </w:rPr>
        <w:t>Benefity w dobie przejrzystości wynagrodzeń</w:t>
      </w:r>
    </w:p>
    <w:p w14:paraId="62375B1E" w14:textId="5D80348A" w:rsidR="00091D2D" w:rsidRPr="009F4992" w:rsidRDefault="0074177B" w:rsidP="009F4992">
      <w:pPr>
        <w:jc w:val="both"/>
        <w:rPr>
          <w:b/>
          <w:bCs/>
          <w:sz w:val="22"/>
          <w:szCs w:val="22"/>
        </w:rPr>
      </w:pPr>
      <w:r>
        <w:rPr>
          <w:b/>
          <w:bCs/>
          <w:color w:val="000000" w:themeColor="text1"/>
          <w:sz w:val="22"/>
          <w:szCs w:val="22"/>
        </w:rPr>
        <w:t xml:space="preserve">Unijna dyrektywa o przejrzystości wynagrodzeń wprowadza nową definicję wynagrodzenia. </w:t>
      </w:r>
      <w:r w:rsidR="00397CBC" w:rsidRPr="009E067A">
        <w:rPr>
          <w:b/>
          <w:bCs/>
          <w:color w:val="000000" w:themeColor="text1"/>
          <w:sz w:val="22"/>
          <w:szCs w:val="22"/>
        </w:rPr>
        <w:t xml:space="preserve">Na </w:t>
      </w:r>
      <w:r w:rsidR="00756F47" w:rsidRPr="009E067A">
        <w:rPr>
          <w:b/>
          <w:bCs/>
          <w:color w:val="000000" w:themeColor="text1"/>
          <w:sz w:val="22"/>
          <w:szCs w:val="22"/>
        </w:rPr>
        <w:t xml:space="preserve">jej mocy </w:t>
      </w:r>
      <w:r w:rsidR="00397CBC" w:rsidRPr="009E067A">
        <w:rPr>
          <w:b/>
          <w:bCs/>
          <w:color w:val="000000" w:themeColor="text1"/>
          <w:sz w:val="22"/>
          <w:szCs w:val="22"/>
        </w:rPr>
        <w:t xml:space="preserve"> pracodawcy będą zobowiązani do </w:t>
      </w:r>
      <w:r w:rsidR="009318C9" w:rsidRPr="009E067A">
        <w:rPr>
          <w:b/>
          <w:bCs/>
          <w:color w:val="000000" w:themeColor="text1"/>
          <w:sz w:val="22"/>
          <w:szCs w:val="22"/>
        </w:rPr>
        <w:t>p</w:t>
      </w:r>
      <w:r w:rsidR="009E6728" w:rsidRPr="009E067A">
        <w:rPr>
          <w:b/>
          <w:bCs/>
          <w:color w:val="000000" w:themeColor="text1"/>
          <w:sz w:val="22"/>
          <w:szCs w:val="22"/>
        </w:rPr>
        <w:t>rezentowania</w:t>
      </w:r>
      <w:r w:rsidR="00397CBC" w:rsidRPr="009E067A">
        <w:rPr>
          <w:b/>
          <w:bCs/>
          <w:color w:val="000000" w:themeColor="text1"/>
          <w:sz w:val="22"/>
          <w:szCs w:val="22"/>
        </w:rPr>
        <w:t xml:space="preserve"> wynagrodzenia na nowych zasadach</w:t>
      </w:r>
      <w:r w:rsidR="00CB38AC" w:rsidRPr="009E067A">
        <w:rPr>
          <w:b/>
          <w:bCs/>
          <w:color w:val="000000" w:themeColor="text1"/>
          <w:sz w:val="22"/>
          <w:szCs w:val="22"/>
        </w:rPr>
        <w:t>,</w:t>
      </w:r>
      <w:r w:rsidR="00397CBC" w:rsidRPr="009E067A">
        <w:rPr>
          <w:b/>
          <w:bCs/>
          <w:color w:val="000000" w:themeColor="text1"/>
          <w:sz w:val="22"/>
          <w:szCs w:val="22"/>
        </w:rPr>
        <w:t xml:space="preserve"> uwzględniających nie tylko świadczenia pieniężne, ale także </w:t>
      </w:r>
      <w:r w:rsidR="009E6728" w:rsidRPr="009E067A">
        <w:rPr>
          <w:b/>
          <w:bCs/>
          <w:color w:val="000000" w:themeColor="text1"/>
          <w:sz w:val="22"/>
          <w:szCs w:val="22"/>
        </w:rPr>
        <w:t>wartość</w:t>
      </w:r>
      <w:r w:rsidR="00397CBC" w:rsidRPr="009E067A">
        <w:rPr>
          <w:b/>
          <w:bCs/>
          <w:color w:val="000000" w:themeColor="text1"/>
          <w:sz w:val="22"/>
          <w:szCs w:val="22"/>
        </w:rPr>
        <w:t xml:space="preserve"> benefitów</w:t>
      </w:r>
      <w:r w:rsidR="00FF1696" w:rsidRPr="009E067A">
        <w:rPr>
          <w:b/>
          <w:bCs/>
          <w:color w:val="000000" w:themeColor="text1"/>
          <w:sz w:val="22"/>
          <w:szCs w:val="22"/>
        </w:rPr>
        <w:t xml:space="preserve"> i dodatków rzeczowych</w:t>
      </w:r>
      <w:r w:rsidR="00397CBC" w:rsidRPr="009E067A">
        <w:rPr>
          <w:b/>
          <w:bCs/>
          <w:color w:val="000000" w:themeColor="text1"/>
          <w:sz w:val="22"/>
          <w:szCs w:val="22"/>
        </w:rPr>
        <w:t>.</w:t>
      </w:r>
      <w:r w:rsidR="00CB38AC" w:rsidRPr="009E067A">
        <w:rPr>
          <w:b/>
          <w:bCs/>
          <w:color w:val="000000" w:themeColor="text1"/>
          <w:sz w:val="22"/>
          <w:szCs w:val="22"/>
        </w:rPr>
        <w:t xml:space="preserve"> </w:t>
      </w:r>
      <w:r w:rsidR="00D00610" w:rsidRPr="009E067A">
        <w:rPr>
          <w:b/>
          <w:bCs/>
          <w:color w:val="000000" w:themeColor="text1"/>
          <w:sz w:val="22"/>
          <w:szCs w:val="22"/>
        </w:rPr>
        <w:t xml:space="preserve"> </w:t>
      </w:r>
      <w:r w:rsidR="009F4992">
        <w:rPr>
          <w:b/>
          <w:bCs/>
          <w:color w:val="000000" w:themeColor="text1"/>
          <w:sz w:val="22"/>
          <w:szCs w:val="22"/>
        </w:rPr>
        <w:t xml:space="preserve">Obecnie aż 85 proc. pracowników nie wie ile warte są </w:t>
      </w:r>
      <w:r w:rsidR="000078C6">
        <w:rPr>
          <w:b/>
          <w:bCs/>
          <w:color w:val="000000" w:themeColor="text1"/>
          <w:sz w:val="22"/>
          <w:szCs w:val="22"/>
        </w:rPr>
        <w:t>świadczenia zapewniane przez pracodawcę, a wielu z nich nie zna pełnej oferty benefitów</w:t>
      </w:r>
      <w:r w:rsidR="009F4992">
        <w:rPr>
          <w:b/>
          <w:bCs/>
          <w:color w:val="000000" w:themeColor="text1"/>
          <w:sz w:val="22"/>
          <w:szCs w:val="22"/>
        </w:rPr>
        <w:t xml:space="preserve">. </w:t>
      </w:r>
      <w:r w:rsidR="000078C6">
        <w:rPr>
          <w:b/>
          <w:bCs/>
          <w:sz w:val="22"/>
          <w:szCs w:val="22"/>
        </w:rPr>
        <w:t xml:space="preserve"> Zmiany w prawie to wyraźny sygnał dla pracodawców, by wzmocnili </w:t>
      </w:r>
      <w:r w:rsidR="00FC0915" w:rsidRPr="009F4992">
        <w:rPr>
          <w:b/>
          <w:bCs/>
          <w:sz w:val="22"/>
          <w:szCs w:val="22"/>
        </w:rPr>
        <w:t>komunikacj</w:t>
      </w:r>
      <w:r w:rsidR="000078C6">
        <w:rPr>
          <w:b/>
          <w:bCs/>
          <w:sz w:val="22"/>
          <w:szCs w:val="22"/>
        </w:rPr>
        <w:t>ę</w:t>
      </w:r>
      <w:r w:rsidR="00FC0915" w:rsidRPr="009F4992">
        <w:rPr>
          <w:b/>
          <w:bCs/>
          <w:sz w:val="22"/>
          <w:szCs w:val="22"/>
        </w:rPr>
        <w:t xml:space="preserve"> </w:t>
      </w:r>
      <w:r w:rsidR="004B1D13">
        <w:rPr>
          <w:b/>
          <w:bCs/>
          <w:sz w:val="22"/>
          <w:szCs w:val="22"/>
        </w:rPr>
        <w:t>cał</w:t>
      </w:r>
      <w:r w:rsidR="0066006C">
        <w:rPr>
          <w:b/>
          <w:bCs/>
          <w:sz w:val="22"/>
          <w:szCs w:val="22"/>
        </w:rPr>
        <w:t>ego</w:t>
      </w:r>
      <w:r w:rsidR="004B1D13">
        <w:rPr>
          <w:b/>
          <w:bCs/>
          <w:sz w:val="22"/>
          <w:szCs w:val="22"/>
        </w:rPr>
        <w:t xml:space="preserve"> pakietu wynagrodzeń</w:t>
      </w:r>
      <w:r w:rsidR="00DB39D1">
        <w:rPr>
          <w:b/>
          <w:bCs/>
          <w:sz w:val="22"/>
          <w:szCs w:val="22"/>
        </w:rPr>
        <w:t>, a tym samym</w:t>
      </w:r>
      <w:r w:rsidR="004926EC">
        <w:rPr>
          <w:b/>
          <w:bCs/>
          <w:sz w:val="22"/>
          <w:szCs w:val="22"/>
        </w:rPr>
        <w:t xml:space="preserve"> </w:t>
      </w:r>
      <w:r w:rsidR="00F15643">
        <w:rPr>
          <w:b/>
          <w:bCs/>
          <w:sz w:val="22"/>
          <w:szCs w:val="22"/>
        </w:rPr>
        <w:t>swoją pozycję konkurencyjną na rynku</w:t>
      </w:r>
      <w:r w:rsidR="00B502F6">
        <w:rPr>
          <w:b/>
          <w:bCs/>
          <w:sz w:val="22"/>
          <w:szCs w:val="22"/>
        </w:rPr>
        <w:t>.</w:t>
      </w:r>
      <w:r w:rsidR="00F15643">
        <w:rPr>
          <w:b/>
          <w:bCs/>
          <w:sz w:val="22"/>
          <w:szCs w:val="22"/>
        </w:rPr>
        <w:t xml:space="preserve"> </w:t>
      </w:r>
      <w:r w:rsidR="00FC0915" w:rsidRPr="009F4992">
        <w:rPr>
          <w:b/>
          <w:bCs/>
          <w:sz w:val="22"/>
          <w:szCs w:val="22"/>
        </w:rPr>
        <w:t xml:space="preserve"> </w:t>
      </w:r>
    </w:p>
    <w:p w14:paraId="2EFBA4F6" w14:textId="77777777" w:rsidR="00511DD4" w:rsidRPr="004A7123" w:rsidRDefault="00511DD4" w:rsidP="00511DD4">
      <w:pPr>
        <w:pStyle w:val="Akapitzlist"/>
        <w:numPr>
          <w:ilvl w:val="0"/>
          <w:numId w:val="7"/>
        </w:numPr>
        <w:jc w:val="both"/>
        <w:rPr>
          <w:sz w:val="18"/>
          <w:szCs w:val="18"/>
        </w:rPr>
      </w:pPr>
      <w:r w:rsidRPr="004A7123">
        <w:rPr>
          <w:sz w:val="18"/>
          <w:szCs w:val="18"/>
        </w:rPr>
        <w:t>30 proc. pracowników ocenia firmową komunikację w zakresie benefitów jako nieskuteczną.</w:t>
      </w:r>
    </w:p>
    <w:p w14:paraId="0D5058C0" w14:textId="1ADBDB37" w:rsidR="000078C6" w:rsidRPr="004A7123" w:rsidRDefault="000E5534" w:rsidP="000078C6">
      <w:pPr>
        <w:pStyle w:val="Akapitzlist"/>
        <w:numPr>
          <w:ilvl w:val="0"/>
          <w:numId w:val="7"/>
        </w:numPr>
        <w:jc w:val="both"/>
        <w:rPr>
          <w:sz w:val="18"/>
          <w:szCs w:val="18"/>
        </w:rPr>
      </w:pPr>
      <w:r>
        <w:rPr>
          <w:sz w:val="18"/>
          <w:szCs w:val="18"/>
        </w:rPr>
        <w:t>C</w:t>
      </w:r>
      <w:r w:rsidR="000078C6" w:rsidRPr="004A7123">
        <w:rPr>
          <w:sz w:val="18"/>
          <w:szCs w:val="18"/>
        </w:rPr>
        <w:t xml:space="preserve">o 4. pracownik, w firmach zatrudniających co najmniej  9 osób, uważa, że pracodawca powinien zapewniać jak najszerszy pakiet benefitów, nawet </w:t>
      </w:r>
      <w:r w:rsidR="00E20A6E">
        <w:rPr>
          <w:sz w:val="18"/>
          <w:szCs w:val="18"/>
        </w:rPr>
        <w:t xml:space="preserve">jeśli miałyby one wpływ na wynagrodzenie pieniężne. </w:t>
      </w:r>
    </w:p>
    <w:p w14:paraId="23E8013C" w14:textId="77777777" w:rsidR="005B1C7E" w:rsidRDefault="000E5534" w:rsidP="00511DD4">
      <w:pPr>
        <w:pStyle w:val="Akapitzlist"/>
        <w:numPr>
          <w:ilvl w:val="0"/>
          <w:numId w:val="7"/>
        </w:numPr>
        <w:jc w:val="both"/>
        <w:rPr>
          <w:sz w:val="18"/>
          <w:szCs w:val="18"/>
        </w:rPr>
      </w:pPr>
      <w:r w:rsidRPr="005B1C7E">
        <w:rPr>
          <w:sz w:val="18"/>
          <w:szCs w:val="18"/>
        </w:rPr>
        <w:t xml:space="preserve">40 proc. pracowników firm zatrudniających co najmniej 9 osób, przyznaje, że gdyby zmieniali pracę, oferta benefitów  mogłyby wpłynąć na </w:t>
      </w:r>
      <w:r w:rsidR="00431EA6">
        <w:rPr>
          <w:sz w:val="18"/>
          <w:szCs w:val="18"/>
        </w:rPr>
        <w:t xml:space="preserve">wybór pracodawcy. </w:t>
      </w:r>
    </w:p>
    <w:p w14:paraId="7078810E" w14:textId="272A7C1C" w:rsidR="00511DD4" w:rsidRPr="004A7123" w:rsidRDefault="00511DD4" w:rsidP="00511DD4">
      <w:pPr>
        <w:pStyle w:val="Akapitzlist"/>
        <w:numPr>
          <w:ilvl w:val="0"/>
          <w:numId w:val="7"/>
        </w:numPr>
        <w:jc w:val="both"/>
        <w:rPr>
          <w:sz w:val="18"/>
          <w:szCs w:val="18"/>
        </w:rPr>
      </w:pPr>
      <w:r w:rsidRPr="004A7123">
        <w:rPr>
          <w:sz w:val="18"/>
          <w:szCs w:val="18"/>
        </w:rPr>
        <w:t xml:space="preserve">89 proc. międzynarodowych pracodawców uznaje rozwiązania technologiczne za kluczowe w budowaniu świadomości na temat świadczeń pozapłacowych. </w:t>
      </w:r>
    </w:p>
    <w:p w14:paraId="3E6967A9" w14:textId="7C266C4E" w:rsidR="002F1EDC" w:rsidRDefault="00ED1582" w:rsidP="00B56212">
      <w:pPr>
        <w:jc w:val="both"/>
        <w:rPr>
          <w:sz w:val="22"/>
          <w:szCs w:val="22"/>
        </w:rPr>
      </w:pPr>
      <w:r>
        <w:rPr>
          <w:sz w:val="22"/>
          <w:szCs w:val="22"/>
        </w:rPr>
        <w:t>Wraz z wejściem w życie przepisów o przejrzystości wynagrodzeń</w:t>
      </w:r>
      <w:r w:rsidR="00FD2234">
        <w:rPr>
          <w:sz w:val="22"/>
          <w:szCs w:val="22"/>
        </w:rPr>
        <w:t xml:space="preserve"> wzrośnie rola i znaczenie benefitów. </w:t>
      </w:r>
      <w:r>
        <w:rPr>
          <w:sz w:val="22"/>
          <w:szCs w:val="22"/>
        </w:rPr>
        <w:t xml:space="preserve"> </w:t>
      </w:r>
      <w:r w:rsidR="002F1EDC">
        <w:rPr>
          <w:sz w:val="22"/>
          <w:szCs w:val="22"/>
        </w:rPr>
        <w:t xml:space="preserve"> </w:t>
      </w:r>
    </w:p>
    <w:p w14:paraId="49C7CAC0" w14:textId="0804AB90" w:rsidR="00E33DC6" w:rsidRDefault="00E33DC6" w:rsidP="00E33DC6">
      <w:pPr>
        <w:jc w:val="both"/>
        <w:rPr>
          <w:sz w:val="22"/>
          <w:szCs w:val="22"/>
        </w:rPr>
      </w:pPr>
      <w:r w:rsidRPr="00DE6052">
        <w:rPr>
          <w:sz w:val="22"/>
          <w:szCs w:val="22"/>
        </w:rPr>
        <w:t xml:space="preserve">– </w:t>
      </w:r>
      <w:r w:rsidRPr="00A67FF2">
        <w:rPr>
          <w:i/>
          <w:iCs/>
          <w:sz w:val="22"/>
          <w:szCs w:val="22"/>
        </w:rPr>
        <w:t xml:space="preserve">W kontekście nadchodzących zmian wynikających z Dyrektywy UE o przejrzystości wynagrodzeń, firmy muszą zrewidować swoje podejście do świadczeń pozapłacowych. Dotychczas często traktowane jako </w:t>
      </w:r>
      <w:r>
        <w:rPr>
          <w:i/>
          <w:iCs/>
          <w:sz w:val="22"/>
          <w:szCs w:val="22"/>
        </w:rPr>
        <w:t>dodatek</w:t>
      </w:r>
      <w:r w:rsidRPr="00A67FF2">
        <w:rPr>
          <w:i/>
          <w:iCs/>
          <w:sz w:val="22"/>
          <w:szCs w:val="22"/>
        </w:rPr>
        <w:t>, benefity staną się pełnoprawnym elementem całkowitego wynagrodzenia, który podlega analizie, raportowaniu i ocenie pod kątem równości</w:t>
      </w:r>
      <w:r>
        <w:rPr>
          <w:sz w:val="22"/>
          <w:szCs w:val="22"/>
        </w:rPr>
        <w:t xml:space="preserve"> </w:t>
      </w:r>
      <w:r w:rsidRPr="00DE6052">
        <w:rPr>
          <w:sz w:val="22"/>
          <w:szCs w:val="22"/>
        </w:rPr>
        <w:t xml:space="preserve">– </w:t>
      </w:r>
      <w:r>
        <w:rPr>
          <w:sz w:val="22"/>
          <w:szCs w:val="22"/>
        </w:rPr>
        <w:t xml:space="preserve">mówi </w:t>
      </w:r>
      <w:r w:rsidRPr="00DE6052">
        <w:rPr>
          <w:sz w:val="22"/>
          <w:szCs w:val="22"/>
        </w:rPr>
        <w:t xml:space="preserve">Joanna Liksza, ekspertka </w:t>
      </w:r>
      <w:proofErr w:type="spellStart"/>
      <w:r w:rsidRPr="00DE6052">
        <w:rPr>
          <w:sz w:val="22"/>
          <w:szCs w:val="22"/>
        </w:rPr>
        <w:t>MyBenefit</w:t>
      </w:r>
      <w:proofErr w:type="spellEnd"/>
      <w:r w:rsidRPr="00DE6052">
        <w:rPr>
          <w:sz w:val="22"/>
          <w:szCs w:val="22"/>
        </w:rPr>
        <w:t xml:space="preserve"> w Benefit Systems oraz kierowniczka studiów podyplomowych </w:t>
      </w:r>
      <w:proofErr w:type="spellStart"/>
      <w:r w:rsidRPr="00DE6052">
        <w:rPr>
          <w:sz w:val="22"/>
          <w:szCs w:val="22"/>
        </w:rPr>
        <w:t>Compensation</w:t>
      </w:r>
      <w:proofErr w:type="spellEnd"/>
      <w:r w:rsidRPr="00DE6052">
        <w:rPr>
          <w:sz w:val="22"/>
          <w:szCs w:val="22"/>
        </w:rPr>
        <w:t xml:space="preserve"> &amp; </w:t>
      </w:r>
      <w:proofErr w:type="spellStart"/>
      <w:r w:rsidRPr="00DE6052">
        <w:rPr>
          <w:sz w:val="22"/>
          <w:szCs w:val="22"/>
        </w:rPr>
        <w:t>Benefits</w:t>
      </w:r>
      <w:proofErr w:type="spellEnd"/>
      <w:r w:rsidRPr="00DE6052">
        <w:rPr>
          <w:sz w:val="22"/>
          <w:szCs w:val="22"/>
        </w:rPr>
        <w:t xml:space="preserve"> na Uczelni Łazarskiego.</w:t>
      </w:r>
    </w:p>
    <w:p w14:paraId="191EBCCA" w14:textId="1016C2B3" w:rsidR="0015029B" w:rsidRPr="005B1C7E" w:rsidRDefault="002C0D66" w:rsidP="00B56212">
      <w:pPr>
        <w:jc w:val="both"/>
        <w:rPr>
          <w:b/>
          <w:bCs/>
          <w:sz w:val="22"/>
          <w:szCs w:val="22"/>
        </w:rPr>
      </w:pPr>
      <w:r>
        <w:rPr>
          <w:sz w:val="22"/>
          <w:szCs w:val="22"/>
        </w:rPr>
        <w:t xml:space="preserve">Już od początku przyszłego roku, firmy powinny być gotowe do przekazania kandydatom ubiegającym się o pracę pełnej informacji o całkowitym pakiecie wynagrodzenia – w tym wszystkich świadczeniach zawartych w regulaminach i układach zborowych. </w:t>
      </w:r>
      <w:r w:rsidR="000078C6">
        <w:rPr>
          <w:sz w:val="22"/>
          <w:szCs w:val="22"/>
        </w:rPr>
        <w:t xml:space="preserve">W połowie </w:t>
      </w:r>
      <w:r w:rsidR="00E33DC6">
        <w:rPr>
          <w:sz w:val="22"/>
          <w:szCs w:val="22"/>
        </w:rPr>
        <w:t xml:space="preserve">2026 roku firmy powinny być gotowe do przekazywania informacji pracownikom w zakresie ich wynagrodzenia, </w:t>
      </w:r>
      <w:r w:rsidR="00FF4F76">
        <w:rPr>
          <w:sz w:val="22"/>
          <w:szCs w:val="22"/>
        </w:rPr>
        <w:t xml:space="preserve">prezentowanego </w:t>
      </w:r>
      <w:r w:rsidR="001C45DF">
        <w:rPr>
          <w:sz w:val="22"/>
          <w:szCs w:val="22"/>
        </w:rPr>
        <w:t xml:space="preserve">według </w:t>
      </w:r>
      <w:r w:rsidR="00E33DC6">
        <w:rPr>
          <w:sz w:val="22"/>
          <w:szCs w:val="22"/>
        </w:rPr>
        <w:t>nowych zasadach</w:t>
      </w:r>
      <w:r w:rsidR="00B10282">
        <w:rPr>
          <w:sz w:val="22"/>
          <w:szCs w:val="22"/>
        </w:rPr>
        <w:t xml:space="preserve">, czyli uwzględniającego </w:t>
      </w:r>
      <w:r>
        <w:rPr>
          <w:sz w:val="22"/>
          <w:szCs w:val="22"/>
        </w:rPr>
        <w:t xml:space="preserve">wartość finansową wszystkich </w:t>
      </w:r>
      <w:r w:rsidR="00B10282">
        <w:rPr>
          <w:sz w:val="22"/>
          <w:szCs w:val="22"/>
        </w:rPr>
        <w:t>benefit</w:t>
      </w:r>
      <w:r>
        <w:rPr>
          <w:sz w:val="22"/>
          <w:szCs w:val="22"/>
        </w:rPr>
        <w:t xml:space="preserve">ów, od kart sportowych, przez  samochód służbowy aż po szkolenia czy dodatkowe dni wolne </w:t>
      </w:r>
      <w:r w:rsidR="00E33DC6">
        <w:rPr>
          <w:sz w:val="22"/>
          <w:szCs w:val="22"/>
        </w:rPr>
        <w:t>. Dotyczy</w:t>
      </w:r>
      <w:r w:rsidR="0073590A">
        <w:rPr>
          <w:sz w:val="22"/>
          <w:szCs w:val="22"/>
        </w:rPr>
        <w:t>ć</w:t>
      </w:r>
      <w:r w:rsidR="00E33DC6">
        <w:rPr>
          <w:sz w:val="22"/>
          <w:szCs w:val="22"/>
        </w:rPr>
        <w:t xml:space="preserve"> to</w:t>
      </w:r>
      <w:r w:rsidR="0073590A">
        <w:rPr>
          <w:sz w:val="22"/>
          <w:szCs w:val="22"/>
        </w:rPr>
        <w:t xml:space="preserve"> będzie</w:t>
      </w:r>
      <w:r w:rsidR="00E33DC6">
        <w:rPr>
          <w:sz w:val="22"/>
          <w:szCs w:val="22"/>
        </w:rPr>
        <w:t xml:space="preserve"> zarówno kandydatów</w:t>
      </w:r>
      <w:r w:rsidR="0015029B">
        <w:rPr>
          <w:sz w:val="22"/>
          <w:szCs w:val="22"/>
        </w:rPr>
        <w:t xml:space="preserve"> w procesie rekrutacji</w:t>
      </w:r>
      <w:r w:rsidR="00E33DC6">
        <w:rPr>
          <w:sz w:val="22"/>
          <w:szCs w:val="22"/>
        </w:rPr>
        <w:t xml:space="preserve">, jak i </w:t>
      </w:r>
      <w:r w:rsidR="0015029B">
        <w:rPr>
          <w:sz w:val="22"/>
          <w:szCs w:val="22"/>
        </w:rPr>
        <w:t>już zatrudnionych. Dodatkowo część benefitów, które nie są dostępne dla wszystkich pracowników</w:t>
      </w:r>
      <w:r w:rsidR="00E40DA8">
        <w:rPr>
          <w:sz w:val="22"/>
          <w:szCs w:val="22"/>
        </w:rPr>
        <w:t xml:space="preserve"> danej organizacji</w:t>
      </w:r>
      <w:r w:rsidR="0015029B">
        <w:rPr>
          <w:sz w:val="22"/>
          <w:szCs w:val="22"/>
        </w:rPr>
        <w:t>, ale zależą np. od stanowiska lub są dedykowane osobom spełniającym konkretne kryteria – jak np. staż pracy</w:t>
      </w:r>
      <w:r w:rsidR="00E40DA8">
        <w:rPr>
          <w:sz w:val="22"/>
          <w:szCs w:val="22"/>
        </w:rPr>
        <w:t xml:space="preserve">, </w:t>
      </w:r>
      <w:r w:rsidR="0015029B">
        <w:rPr>
          <w:sz w:val="22"/>
          <w:szCs w:val="22"/>
        </w:rPr>
        <w:t xml:space="preserve">będą objęte </w:t>
      </w:r>
      <w:r w:rsidR="00064A2C">
        <w:rPr>
          <w:sz w:val="22"/>
          <w:szCs w:val="22"/>
        </w:rPr>
        <w:t xml:space="preserve">obowiązkiem </w:t>
      </w:r>
      <w:r w:rsidR="0015029B">
        <w:rPr>
          <w:sz w:val="22"/>
          <w:szCs w:val="22"/>
        </w:rPr>
        <w:t>raportowani</w:t>
      </w:r>
      <w:r w:rsidR="00064A2C">
        <w:rPr>
          <w:sz w:val="22"/>
          <w:szCs w:val="22"/>
        </w:rPr>
        <w:t>a</w:t>
      </w:r>
      <w:r w:rsidR="0015029B">
        <w:rPr>
          <w:sz w:val="22"/>
          <w:szCs w:val="22"/>
        </w:rPr>
        <w:t xml:space="preserve"> luki płacowej. </w:t>
      </w:r>
      <w:r w:rsidR="0015029B" w:rsidRPr="005B1C7E">
        <w:rPr>
          <w:b/>
          <w:bCs/>
          <w:sz w:val="22"/>
          <w:szCs w:val="22"/>
        </w:rPr>
        <w:t>Choć firmy zatrudniające powyżej 100 pracowników pierwsze raport</w:t>
      </w:r>
      <w:r w:rsidR="00E40DA8" w:rsidRPr="005B1C7E">
        <w:rPr>
          <w:b/>
          <w:bCs/>
          <w:sz w:val="22"/>
          <w:szCs w:val="22"/>
        </w:rPr>
        <w:t>y</w:t>
      </w:r>
      <w:r w:rsidR="0015029B" w:rsidRPr="005B1C7E">
        <w:rPr>
          <w:b/>
          <w:bCs/>
          <w:sz w:val="22"/>
          <w:szCs w:val="22"/>
        </w:rPr>
        <w:t xml:space="preserve"> przygotują dopiero w 2027 roku, będą bazować na danych z 2026 roku. Oznacza to, że już dziś warto przyjrzeć się katalogowi świadczeń w firmie, oszacować ich </w:t>
      </w:r>
      <w:r w:rsidR="00495744">
        <w:rPr>
          <w:b/>
          <w:bCs/>
          <w:sz w:val="22"/>
          <w:szCs w:val="22"/>
        </w:rPr>
        <w:t xml:space="preserve">wartość </w:t>
      </w:r>
      <w:r w:rsidR="0015029B" w:rsidRPr="005B1C7E">
        <w:rPr>
          <w:b/>
          <w:bCs/>
          <w:sz w:val="22"/>
          <w:szCs w:val="22"/>
        </w:rPr>
        <w:t xml:space="preserve">i zadbać o system informowania pracowników o dostępnych benefitach. </w:t>
      </w:r>
    </w:p>
    <w:p w14:paraId="4658E02C" w14:textId="450E2463" w:rsidR="00435BD7" w:rsidRDefault="00435BD7" w:rsidP="00B56212">
      <w:pPr>
        <w:jc w:val="both"/>
        <w:rPr>
          <w:sz w:val="22"/>
          <w:szCs w:val="22"/>
        </w:rPr>
      </w:pPr>
      <w:r w:rsidRPr="004A7123">
        <w:rPr>
          <w:i/>
          <w:iCs/>
          <w:sz w:val="22"/>
          <w:szCs w:val="22"/>
        </w:rPr>
        <w:t>- Druga połowa roku to w wielu firmach moment budżetowania na kolejny rok – także w kontekście wynagrodzeń</w:t>
      </w:r>
      <w:r w:rsidR="00181D7B">
        <w:rPr>
          <w:i/>
          <w:iCs/>
          <w:sz w:val="22"/>
          <w:szCs w:val="22"/>
        </w:rPr>
        <w:t xml:space="preserve">, </w:t>
      </w:r>
      <w:r w:rsidRPr="004A7123">
        <w:rPr>
          <w:i/>
          <w:iCs/>
          <w:sz w:val="22"/>
          <w:szCs w:val="22"/>
        </w:rPr>
        <w:t xml:space="preserve">aktualizacji </w:t>
      </w:r>
      <w:r w:rsidR="00181D7B" w:rsidRPr="004A7123">
        <w:rPr>
          <w:i/>
          <w:iCs/>
          <w:sz w:val="22"/>
          <w:szCs w:val="22"/>
        </w:rPr>
        <w:t>portfela benefitó</w:t>
      </w:r>
      <w:r w:rsidR="00181D7B">
        <w:rPr>
          <w:i/>
          <w:iCs/>
          <w:sz w:val="22"/>
          <w:szCs w:val="22"/>
        </w:rPr>
        <w:t xml:space="preserve">w czy inwestycji w narzędzia HR, które pozwalają </w:t>
      </w:r>
      <w:r w:rsidR="00181D7B">
        <w:rPr>
          <w:i/>
          <w:iCs/>
          <w:sz w:val="22"/>
          <w:szCs w:val="22"/>
        </w:rPr>
        <w:lastRenderedPageBreak/>
        <w:t>agregować dane dotyczące benefitów</w:t>
      </w:r>
      <w:r w:rsidR="00181D7B" w:rsidRPr="004A7123">
        <w:rPr>
          <w:i/>
          <w:iCs/>
          <w:sz w:val="22"/>
          <w:szCs w:val="22"/>
        </w:rPr>
        <w:t>. To</w:t>
      </w:r>
      <w:r w:rsidR="00DD4568">
        <w:rPr>
          <w:i/>
          <w:iCs/>
          <w:sz w:val="22"/>
          <w:szCs w:val="22"/>
        </w:rPr>
        <w:t>,</w:t>
      </w:r>
      <w:r w:rsidR="00181D7B" w:rsidRPr="004A7123">
        <w:rPr>
          <w:i/>
          <w:iCs/>
          <w:sz w:val="22"/>
          <w:szCs w:val="22"/>
        </w:rPr>
        <w:t xml:space="preserve"> jak dziś zaplanujemy budżet, przełoży się na to, co </w:t>
      </w:r>
      <w:r w:rsidR="00181D7B">
        <w:rPr>
          <w:i/>
          <w:iCs/>
          <w:sz w:val="22"/>
          <w:szCs w:val="22"/>
        </w:rPr>
        <w:t>i jak zakomunikujemy w 2026 roku</w:t>
      </w:r>
      <w:r w:rsidR="00DD4568">
        <w:rPr>
          <w:i/>
          <w:iCs/>
          <w:sz w:val="22"/>
          <w:szCs w:val="22"/>
        </w:rPr>
        <w:t xml:space="preserve"> pracownikom</w:t>
      </w:r>
      <w:r w:rsidR="00181D7B">
        <w:rPr>
          <w:i/>
          <w:iCs/>
          <w:sz w:val="22"/>
          <w:szCs w:val="22"/>
        </w:rPr>
        <w:t xml:space="preserve"> lub </w:t>
      </w:r>
      <w:r w:rsidR="00181D7B" w:rsidRPr="004A7123">
        <w:rPr>
          <w:i/>
          <w:iCs/>
          <w:sz w:val="22"/>
          <w:szCs w:val="22"/>
        </w:rPr>
        <w:t>zaraportujemy w 2027 roku</w:t>
      </w:r>
      <w:r w:rsidR="00181D7B">
        <w:rPr>
          <w:sz w:val="22"/>
          <w:szCs w:val="22"/>
        </w:rPr>
        <w:t xml:space="preserve"> – podkreśla Joanna Liksza. </w:t>
      </w:r>
    </w:p>
    <w:p w14:paraId="070386ED" w14:textId="05578264" w:rsidR="00E40DA8" w:rsidRDefault="00181D7B" w:rsidP="00B56212">
      <w:pPr>
        <w:jc w:val="both"/>
        <w:rPr>
          <w:b/>
          <w:bCs/>
          <w:sz w:val="22"/>
          <w:szCs w:val="22"/>
        </w:rPr>
      </w:pPr>
      <w:r>
        <w:rPr>
          <w:b/>
          <w:bCs/>
          <w:sz w:val="22"/>
          <w:szCs w:val="22"/>
        </w:rPr>
        <w:t>Świadomość to klucz do sukcesu</w:t>
      </w:r>
    </w:p>
    <w:p w14:paraId="1AC60B10" w14:textId="61347B9B" w:rsidR="00E40DA8" w:rsidRDefault="00E40DA8" w:rsidP="00B56212">
      <w:pPr>
        <w:jc w:val="both"/>
        <w:rPr>
          <w:sz w:val="22"/>
          <w:szCs w:val="22"/>
        </w:rPr>
      </w:pPr>
      <w:r>
        <w:rPr>
          <w:sz w:val="22"/>
          <w:szCs w:val="22"/>
        </w:rPr>
        <w:t>B</w:t>
      </w:r>
      <w:r w:rsidRPr="00C56DF2">
        <w:rPr>
          <w:sz w:val="22"/>
          <w:szCs w:val="22"/>
        </w:rPr>
        <w:t xml:space="preserve">adania No </w:t>
      </w:r>
      <w:proofErr w:type="spellStart"/>
      <w:r w:rsidRPr="00C56DF2">
        <w:rPr>
          <w:sz w:val="22"/>
          <w:szCs w:val="22"/>
        </w:rPr>
        <w:t>Fluff</w:t>
      </w:r>
      <w:proofErr w:type="spellEnd"/>
      <w:r w:rsidRPr="00C56DF2">
        <w:rPr>
          <w:sz w:val="22"/>
          <w:szCs w:val="22"/>
        </w:rPr>
        <w:t xml:space="preserve"> </w:t>
      </w:r>
      <w:proofErr w:type="spellStart"/>
      <w:r w:rsidRPr="00C56DF2">
        <w:rPr>
          <w:sz w:val="22"/>
          <w:szCs w:val="22"/>
        </w:rPr>
        <w:t>Jobs</w:t>
      </w:r>
      <w:proofErr w:type="spellEnd"/>
      <w:r w:rsidRPr="00C56DF2">
        <w:rPr>
          <w:sz w:val="22"/>
          <w:szCs w:val="22"/>
        </w:rPr>
        <w:t xml:space="preserve"> wskazują</w:t>
      </w:r>
      <w:r>
        <w:rPr>
          <w:sz w:val="22"/>
          <w:szCs w:val="22"/>
        </w:rPr>
        <w:t>, że</w:t>
      </w:r>
      <w:r w:rsidRPr="00C56DF2">
        <w:rPr>
          <w:sz w:val="22"/>
          <w:szCs w:val="22"/>
        </w:rPr>
        <w:t xml:space="preserve"> aż</w:t>
      </w:r>
      <w:r w:rsidRPr="00C56DF2">
        <w:rPr>
          <w:b/>
          <w:bCs/>
          <w:sz w:val="22"/>
          <w:szCs w:val="22"/>
        </w:rPr>
        <w:t xml:space="preserve"> 85 proc. pracowników nie zna realnej wartości otrzymywanych benefitów</w:t>
      </w:r>
      <w:r w:rsidRPr="00C56DF2">
        <w:rPr>
          <w:rStyle w:val="Odwoanieprzypisudolnego"/>
          <w:b/>
          <w:bCs/>
          <w:sz w:val="22"/>
          <w:szCs w:val="22"/>
        </w:rPr>
        <w:footnoteReference w:id="1"/>
      </w:r>
      <w:r w:rsidRPr="00C56DF2">
        <w:rPr>
          <w:b/>
          <w:bCs/>
          <w:sz w:val="22"/>
          <w:szCs w:val="22"/>
        </w:rPr>
        <w:t xml:space="preserve">. </w:t>
      </w:r>
      <w:r>
        <w:rPr>
          <w:sz w:val="22"/>
          <w:szCs w:val="22"/>
        </w:rPr>
        <w:t xml:space="preserve">Tymczasem mają one niebagatelny wpływ na </w:t>
      </w:r>
      <w:r w:rsidR="000078C6">
        <w:rPr>
          <w:sz w:val="22"/>
          <w:szCs w:val="22"/>
        </w:rPr>
        <w:t xml:space="preserve">dobrostan </w:t>
      </w:r>
      <w:r>
        <w:rPr>
          <w:sz w:val="22"/>
          <w:szCs w:val="22"/>
        </w:rPr>
        <w:t xml:space="preserve">finansowy zatrudnionych. – </w:t>
      </w:r>
      <w:r w:rsidRPr="004A7123">
        <w:rPr>
          <w:i/>
          <w:iCs/>
          <w:sz w:val="22"/>
          <w:szCs w:val="22"/>
        </w:rPr>
        <w:t xml:space="preserve">Jeśli </w:t>
      </w:r>
      <w:r w:rsidR="003B7571" w:rsidRPr="004A7123">
        <w:rPr>
          <w:i/>
          <w:iCs/>
          <w:sz w:val="22"/>
          <w:szCs w:val="22"/>
        </w:rPr>
        <w:t>pracownicy nie mają świadomości dostępnych świadczeń i płynących z nich korzyści, z dużym prawdopodobieństwem nie będą po nie sięgać</w:t>
      </w:r>
      <w:r w:rsidR="00E83141">
        <w:rPr>
          <w:i/>
          <w:iCs/>
          <w:sz w:val="22"/>
          <w:szCs w:val="22"/>
        </w:rPr>
        <w:t xml:space="preserve"> i tym samym trudniej będzie pracownikom je docenić. T</w:t>
      </w:r>
      <w:r w:rsidR="00181D7B">
        <w:rPr>
          <w:i/>
          <w:iCs/>
          <w:sz w:val="22"/>
          <w:szCs w:val="22"/>
        </w:rPr>
        <w:t xml:space="preserve">o właśnie w tej perspektywie unijna dyrektywa staje się czynnikiem mobilizującym firmy do podjęcia działań komunikacyjnych w temacie benefitów, które być może </w:t>
      </w:r>
      <w:r w:rsidR="00DD4568">
        <w:rPr>
          <w:i/>
          <w:iCs/>
          <w:sz w:val="22"/>
          <w:szCs w:val="22"/>
        </w:rPr>
        <w:t xml:space="preserve">nie </w:t>
      </w:r>
      <w:r w:rsidR="00181D7B">
        <w:rPr>
          <w:i/>
          <w:iCs/>
          <w:sz w:val="22"/>
          <w:szCs w:val="22"/>
        </w:rPr>
        <w:t xml:space="preserve">były do tej pory </w:t>
      </w:r>
      <w:r w:rsidR="00DD4568">
        <w:rPr>
          <w:i/>
          <w:iCs/>
          <w:sz w:val="22"/>
          <w:szCs w:val="22"/>
        </w:rPr>
        <w:t>dostatecznie realizowane</w:t>
      </w:r>
      <w:r w:rsidR="00181D7B">
        <w:rPr>
          <w:i/>
          <w:iCs/>
          <w:sz w:val="22"/>
          <w:szCs w:val="22"/>
        </w:rPr>
        <w:t>. Nowe przepisy stwarzają tym samym szansę na wykorzystanie benefitów do skutecznego wzmocnienia  konkurencyjności firmy jako pracodawcy</w:t>
      </w:r>
      <w:r w:rsidR="00E83141">
        <w:rPr>
          <w:i/>
          <w:iCs/>
          <w:sz w:val="22"/>
          <w:szCs w:val="22"/>
        </w:rPr>
        <w:t xml:space="preserve"> </w:t>
      </w:r>
      <w:r w:rsidR="003B7571" w:rsidRPr="004A7123">
        <w:rPr>
          <w:i/>
          <w:iCs/>
          <w:sz w:val="22"/>
          <w:szCs w:val="22"/>
        </w:rPr>
        <w:t xml:space="preserve"> </w:t>
      </w:r>
      <w:r w:rsidR="003B7571">
        <w:rPr>
          <w:sz w:val="22"/>
          <w:szCs w:val="22"/>
        </w:rPr>
        <w:t xml:space="preserve">– podkreśla Joanna Liksza. </w:t>
      </w:r>
      <w:r>
        <w:rPr>
          <w:sz w:val="22"/>
          <w:szCs w:val="22"/>
        </w:rPr>
        <w:t xml:space="preserve"> </w:t>
      </w:r>
    </w:p>
    <w:p w14:paraId="4D220703" w14:textId="61B967CE" w:rsidR="00732895" w:rsidRDefault="00B10282" w:rsidP="00B56212">
      <w:pPr>
        <w:jc w:val="both"/>
        <w:rPr>
          <w:sz w:val="22"/>
          <w:szCs w:val="22"/>
        </w:rPr>
      </w:pPr>
      <w:r>
        <w:rPr>
          <w:sz w:val="22"/>
          <w:szCs w:val="22"/>
        </w:rPr>
        <w:t xml:space="preserve">Badania przeprowadzone przez Klub </w:t>
      </w:r>
      <w:proofErr w:type="spellStart"/>
      <w:r>
        <w:rPr>
          <w:sz w:val="22"/>
          <w:szCs w:val="22"/>
        </w:rPr>
        <w:t>Compensation</w:t>
      </w:r>
      <w:proofErr w:type="spellEnd"/>
      <w:r w:rsidR="00AB1C47">
        <w:rPr>
          <w:sz w:val="22"/>
          <w:szCs w:val="22"/>
        </w:rPr>
        <w:t xml:space="preserve"> </w:t>
      </w:r>
      <w:r>
        <w:rPr>
          <w:sz w:val="22"/>
          <w:szCs w:val="22"/>
        </w:rPr>
        <w:t>&amp;</w:t>
      </w:r>
      <w:r w:rsidR="00AB1C47">
        <w:rPr>
          <w:sz w:val="22"/>
          <w:szCs w:val="22"/>
        </w:rPr>
        <w:t xml:space="preserve"> </w:t>
      </w:r>
      <w:proofErr w:type="spellStart"/>
      <w:r>
        <w:rPr>
          <w:sz w:val="22"/>
          <w:szCs w:val="22"/>
        </w:rPr>
        <w:t>Benefits</w:t>
      </w:r>
      <w:proofErr w:type="spellEnd"/>
      <w:r>
        <w:rPr>
          <w:sz w:val="22"/>
          <w:szCs w:val="22"/>
        </w:rPr>
        <w:t xml:space="preserve"> Uczelni Łazarskiego </w:t>
      </w:r>
      <w:r w:rsidR="00DB236B">
        <w:rPr>
          <w:sz w:val="22"/>
          <w:szCs w:val="22"/>
        </w:rPr>
        <w:t>p</w:t>
      </w:r>
      <w:r w:rsidR="00C82762">
        <w:rPr>
          <w:sz w:val="22"/>
          <w:szCs w:val="22"/>
        </w:rPr>
        <w:t>o</w:t>
      </w:r>
      <w:r w:rsidR="00DB236B">
        <w:rPr>
          <w:sz w:val="22"/>
          <w:szCs w:val="22"/>
        </w:rPr>
        <w:t xml:space="preserve">kazują, że pracownicy </w:t>
      </w:r>
      <w:r>
        <w:rPr>
          <w:sz w:val="22"/>
          <w:szCs w:val="22"/>
        </w:rPr>
        <w:t xml:space="preserve">najczęściej otrzymują komunikację dotyczącą benefitów w momencie zmian w </w:t>
      </w:r>
      <w:r w:rsidR="00C82762">
        <w:rPr>
          <w:sz w:val="22"/>
          <w:szCs w:val="22"/>
        </w:rPr>
        <w:t xml:space="preserve">dostępnym </w:t>
      </w:r>
      <w:r>
        <w:rPr>
          <w:sz w:val="22"/>
          <w:szCs w:val="22"/>
        </w:rPr>
        <w:t>pakiecie (73 proc.)</w:t>
      </w:r>
      <w:r w:rsidR="00DB236B">
        <w:rPr>
          <w:sz w:val="22"/>
          <w:szCs w:val="22"/>
        </w:rPr>
        <w:t xml:space="preserve">. Z kolei </w:t>
      </w:r>
      <w:r>
        <w:rPr>
          <w:sz w:val="22"/>
          <w:szCs w:val="22"/>
        </w:rPr>
        <w:t>cyklicznie, raz w roku, informacje o benefitach otrzymuje zaledwie 12 proc. zatrudnionych. Dodatkowo niemal 30 proc. pracowników</w:t>
      </w:r>
      <w:r w:rsidR="00732895">
        <w:rPr>
          <w:sz w:val="22"/>
          <w:szCs w:val="22"/>
        </w:rPr>
        <w:t xml:space="preserve"> </w:t>
      </w:r>
      <w:r>
        <w:rPr>
          <w:sz w:val="22"/>
          <w:szCs w:val="22"/>
        </w:rPr>
        <w:t xml:space="preserve">ocenia </w:t>
      </w:r>
      <w:r w:rsidR="00732895">
        <w:rPr>
          <w:sz w:val="22"/>
          <w:szCs w:val="22"/>
        </w:rPr>
        <w:t>firmową komunikację w zakresie benefitów jako nieskuteczną.</w:t>
      </w:r>
    </w:p>
    <w:p w14:paraId="1BA43545" w14:textId="2B7C3433" w:rsidR="00A4359C" w:rsidRDefault="00A4359C" w:rsidP="00A4359C">
      <w:pPr>
        <w:jc w:val="both"/>
        <w:rPr>
          <w:sz w:val="22"/>
          <w:szCs w:val="22"/>
        </w:rPr>
      </w:pPr>
      <w:r>
        <w:rPr>
          <w:sz w:val="22"/>
          <w:szCs w:val="22"/>
        </w:rPr>
        <w:t xml:space="preserve">Z danych raportu AON Global Benefit </w:t>
      </w:r>
      <w:proofErr w:type="spellStart"/>
      <w:r>
        <w:rPr>
          <w:sz w:val="22"/>
          <w:szCs w:val="22"/>
        </w:rPr>
        <w:t>Trends</w:t>
      </w:r>
      <w:proofErr w:type="spellEnd"/>
      <w:r>
        <w:rPr>
          <w:sz w:val="22"/>
          <w:szCs w:val="22"/>
        </w:rPr>
        <w:t xml:space="preserve"> 2024 wynika, że większość międzynarodowych organizacji na terenie Europy (58 proc.) wciąż prowadzi komunikację dot</w:t>
      </w:r>
      <w:r w:rsidR="000078C6">
        <w:rPr>
          <w:sz w:val="22"/>
          <w:szCs w:val="22"/>
        </w:rPr>
        <w:t>yczącą</w:t>
      </w:r>
      <w:r>
        <w:rPr>
          <w:sz w:val="22"/>
          <w:szCs w:val="22"/>
        </w:rPr>
        <w:t xml:space="preserve"> benefitów w formie papierowej. Co istotne, przedsiębiorstwa dostrzegają potrzebę zmian – aż 89 proc. międzynarodowych pracodawców uznaje rozwiązania technologiczne za kluczowe w budowaniu świadomości na temat świadczeń </w:t>
      </w:r>
      <w:r w:rsidR="000078C6">
        <w:rPr>
          <w:sz w:val="22"/>
          <w:szCs w:val="22"/>
        </w:rPr>
        <w:t>oferowanych pracownikom</w:t>
      </w:r>
      <w:r>
        <w:rPr>
          <w:sz w:val="22"/>
          <w:szCs w:val="22"/>
        </w:rPr>
        <w:t xml:space="preserve">. </w:t>
      </w:r>
    </w:p>
    <w:p w14:paraId="68B58F9A" w14:textId="77777777" w:rsidR="00C67258" w:rsidRPr="00870F5C" w:rsidRDefault="00C67258" w:rsidP="00C67258">
      <w:pPr>
        <w:rPr>
          <w:b/>
          <w:bCs/>
        </w:rPr>
      </w:pPr>
      <w:r w:rsidRPr="00C56DF2">
        <w:rPr>
          <w:b/>
          <w:bCs/>
        </w:rPr>
        <w:t>Czas pokazać wartość benefitów, która nie trafia na konto, ale zostaje w portfelu</w:t>
      </w:r>
    </w:p>
    <w:p w14:paraId="1852E4FC" w14:textId="7359D557" w:rsidR="00C67258" w:rsidRPr="00C56DF2" w:rsidRDefault="00C67258" w:rsidP="00C67258">
      <w:pPr>
        <w:jc w:val="both"/>
        <w:rPr>
          <w:sz w:val="22"/>
          <w:szCs w:val="22"/>
        </w:rPr>
      </w:pPr>
      <w:r w:rsidRPr="00C56DF2">
        <w:rPr>
          <w:sz w:val="22"/>
          <w:szCs w:val="22"/>
        </w:rPr>
        <w:t>W odpowiedzi na rosnące potrzeby pracodawców i pracowników</w:t>
      </w:r>
      <w:r>
        <w:rPr>
          <w:sz w:val="22"/>
          <w:szCs w:val="22"/>
        </w:rPr>
        <w:t>,</w:t>
      </w:r>
      <w:r w:rsidRPr="00C56DF2">
        <w:rPr>
          <w:sz w:val="22"/>
          <w:szCs w:val="22"/>
        </w:rPr>
        <w:t xml:space="preserve"> </w:t>
      </w:r>
      <w:r>
        <w:rPr>
          <w:sz w:val="22"/>
          <w:szCs w:val="22"/>
        </w:rPr>
        <w:t xml:space="preserve">na rynku powstają rozwiązania technologiczne z segmentu </w:t>
      </w:r>
      <w:r w:rsidRPr="00C56DF2">
        <w:rPr>
          <w:sz w:val="22"/>
          <w:szCs w:val="22"/>
        </w:rPr>
        <w:t xml:space="preserve">Total </w:t>
      </w:r>
      <w:proofErr w:type="spellStart"/>
      <w:r w:rsidRPr="00C56DF2">
        <w:rPr>
          <w:sz w:val="22"/>
          <w:szCs w:val="22"/>
        </w:rPr>
        <w:t>Reward</w:t>
      </w:r>
      <w:proofErr w:type="spellEnd"/>
      <w:r w:rsidRPr="00C56DF2">
        <w:rPr>
          <w:sz w:val="22"/>
          <w:szCs w:val="22"/>
        </w:rPr>
        <w:t xml:space="preserve"> Statement (TRS), które </w:t>
      </w:r>
      <w:r w:rsidRPr="00C56DF2">
        <w:rPr>
          <w:b/>
          <w:bCs/>
          <w:sz w:val="22"/>
          <w:szCs w:val="22"/>
        </w:rPr>
        <w:t>umożliwia</w:t>
      </w:r>
      <w:r>
        <w:rPr>
          <w:b/>
          <w:bCs/>
          <w:sz w:val="22"/>
          <w:szCs w:val="22"/>
        </w:rPr>
        <w:t>ją</w:t>
      </w:r>
      <w:r w:rsidRPr="00C56DF2">
        <w:rPr>
          <w:b/>
          <w:bCs/>
          <w:sz w:val="22"/>
          <w:szCs w:val="22"/>
        </w:rPr>
        <w:t xml:space="preserve"> </w:t>
      </w:r>
      <w:r w:rsidR="005F243D">
        <w:rPr>
          <w:b/>
          <w:bCs/>
          <w:sz w:val="22"/>
          <w:szCs w:val="22"/>
        </w:rPr>
        <w:t>zatrudnionym</w:t>
      </w:r>
      <w:r w:rsidRPr="00C56DF2">
        <w:rPr>
          <w:b/>
          <w:bCs/>
          <w:sz w:val="22"/>
          <w:szCs w:val="22"/>
        </w:rPr>
        <w:t xml:space="preserve"> bieżący dostęp do pełnej informacji </w:t>
      </w:r>
      <w:r>
        <w:rPr>
          <w:b/>
          <w:bCs/>
          <w:sz w:val="22"/>
          <w:szCs w:val="22"/>
        </w:rPr>
        <w:t>o oferowanych im świadczeniach i ich wartości</w:t>
      </w:r>
      <w:r w:rsidRPr="00C56DF2">
        <w:rPr>
          <w:sz w:val="22"/>
          <w:szCs w:val="22"/>
        </w:rPr>
        <w:t>.</w:t>
      </w:r>
    </w:p>
    <w:p w14:paraId="602DAEE0" w14:textId="186899D2" w:rsidR="005F243D" w:rsidRDefault="00C67258" w:rsidP="00C67258">
      <w:pPr>
        <w:jc w:val="both"/>
        <w:rPr>
          <w:sz w:val="22"/>
          <w:szCs w:val="22"/>
        </w:rPr>
      </w:pPr>
      <w:r w:rsidRPr="00474828">
        <w:rPr>
          <w:sz w:val="22"/>
          <w:szCs w:val="22"/>
        </w:rPr>
        <w:t xml:space="preserve">– </w:t>
      </w:r>
      <w:r w:rsidR="00336339">
        <w:rPr>
          <w:i/>
          <w:iCs/>
          <w:sz w:val="22"/>
          <w:szCs w:val="22"/>
        </w:rPr>
        <w:t xml:space="preserve">Rozwiązanie </w:t>
      </w:r>
      <w:r w:rsidRPr="00474828">
        <w:rPr>
          <w:i/>
          <w:iCs/>
          <w:sz w:val="22"/>
          <w:szCs w:val="22"/>
        </w:rPr>
        <w:t xml:space="preserve">TRS przynosi </w:t>
      </w:r>
      <w:r w:rsidR="00DD4568">
        <w:rPr>
          <w:i/>
          <w:iCs/>
          <w:sz w:val="22"/>
          <w:szCs w:val="22"/>
        </w:rPr>
        <w:t xml:space="preserve">pracodawcom i pracownikom </w:t>
      </w:r>
      <w:r w:rsidRPr="00474828">
        <w:rPr>
          <w:i/>
          <w:iCs/>
          <w:sz w:val="22"/>
          <w:szCs w:val="22"/>
        </w:rPr>
        <w:t>konkretne korzyści: konsoliduje informacje o benefitach</w:t>
      </w:r>
      <w:r w:rsidR="00336339">
        <w:rPr>
          <w:i/>
          <w:iCs/>
          <w:sz w:val="22"/>
          <w:szCs w:val="22"/>
        </w:rPr>
        <w:t xml:space="preserve"> i ich wartości</w:t>
      </w:r>
      <w:r w:rsidRPr="00474828">
        <w:rPr>
          <w:i/>
          <w:iCs/>
          <w:sz w:val="22"/>
          <w:szCs w:val="22"/>
        </w:rPr>
        <w:t xml:space="preserve"> w jednym miejscu</w:t>
      </w:r>
      <w:r w:rsidR="00336339">
        <w:rPr>
          <w:i/>
          <w:iCs/>
          <w:sz w:val="22"/>
          <w:szCs w:val="22"/>
        </w:rPr>
        <w:t xml:space="preserve">, z uwzględnieniem personalizacji – czyli różnicowania pakietu świadczeń dostępnych dla pracowników zatrudnionych w rożnych formułach (B2B lub na etacie) czy piastujących różne stanowiska. Platforma </w:t>
      </w:r>
      <w:proofErr w:type="spellStart"/>
      <w:r w:rsidR="00336339">
        <w:rPr>
          <w:i/>
          <w:iCs/>
          <w:sz w:val="22"/>
          <w:szCs w:val="22"/>
        </w:rPr>
        <w:t>MyBenefit</w:t>
      </w:r>
      <w:proofErr w:type="spellEnd"/>
      <w:r w:rsidR="00336339">
        <w:rPr>
          <w:i/>
          <w:iCs/>
          <w:sz w:val="22"/>
          <w:szCs w:val="22"/>
        </w:rPr>
        <w:t xml:space="preserve">, która rozwija narzędzia ułatwiające pracę specjalistom HR, idzie o krok dalej, pracując również nad automatyzacją tego procesu i jego integracją </w:t>
      </w:r>
      <w:r>
        <w:rPr>
          <w:i/>
          <w:iCs/>
          <w:sz w:val="22"/>
          <w:szCs w:val="22"/>
        </w:rPr>
        <w:t xml:space="preserve">z innymi systemami np. przeznaczonymi do budowania </w:t>
      </w:r>
      <w:r w:rsidR="004E4A4C">
        <w:rPr>
          <w:i/>
          <w:iCs/>
          <w:sz w:val="22"/>
          <w:szCs w:val="22"/>
        </w:rPr>
        <w:t>struktury wynagrodzeń</w:t>
      </w:r>
      <w:r w:rsidR="00336339">
        <w:rPr>
          <w:i/>
          <w:iCs/>
          <w:sz w:val="22"/>
          <w:szCs w:val="22"/>
        </w:rPr>
        <w:t>.</w:t>
      </w:r>
      <w:r w:rsidRPr="00474828">
        <w:rPr>
          <w:i/>
          <w:iCs/>
          <w:sz w:val="22"/>
          <w:szCs w:val="22"/>
        </w:rPr>
        <w:t xml:space="preserve"> </w:t>
      </w:r>
      <w:r>
        <w:rPr>
          <w:i/>
          <w:iCs/>
          <w:sz w:val="22"/>
          <w:szCs w:val="22"/>
        </w:rPr>
        <w:t xml:space="preserve"> </w:t>
      </w:r>
      <w:r w:rsidRPr="00474828">
        <w:rPr>
          <w:i/>
          <w:iCs/>
          <w:sz w:val="22"/>
          <w:szCs w:val="22"/>
        </w:rPr>
        <w:t xml:space="preserve"> Świadczenia można przypisywać do</w:t>
      </w:r>
      <w:r>
        <w:rPr>
          <w:i/>
          <w:iCs/>
          <w:sz w:val="22"/>
          <w:szCs w:val="22"/>
        </w:rPr>
        <w:t xml:space="preserve"> własnych</w:t>
      </w:r>
      <w:r w:rsidRPr="00474828">
        <w:rPr>
          <w:i/>
          <w:iCs/>
          <w:sz w:val="22"/>
          <w:szCs w:val="22"/>
        </w:rPr>
        <w:t xml:space="preserve"> kategorii tematycznych, takich jak </w:t>
      </w:r>
      <w:r>
        <w:rPr>
          <w:i/>
          <w:iCs/>
          <w:sz w:val="22"/>
          <w:szCs w:val="22"/>
        </w:rPr>
        <w:t xml:space="preserve">np. </w:t>
      </w:r>
      <w:r w:rsidRPr="00474828">
        <w:rPr>
          <w:i/>
          <w:iCs/>
          <w:sz w:val="22"/>
          <w:szCs w:val="22"/>
        </w:rPr>
        <w:t xml:space="preserve">sport, </w:t>
      </w:r>
      <w:proofErr w:type="spellStart"/>
      <w:r w:rsidRPr="00474828">
        <w:rPr>
          <w:i/>
          <w:iCs/>
          <w:sz w:val="22"/>
          <w:szCs w:val="22"/>
        </w:rPr>
        <w:t>wellbeing</w:t>
      </w:r>
      <w:proofErr w:type="spellEnd"/>
      <w:r w:rsidRPr="00474828">
        <w:rPr>
          <w:i/>
          <w:iCs/>
          <w:sz w:val="22"/>
          <w:szCs w:val="22"/>
        </w:rPr>
        <w:t xml:space="preserve"> czy biuro, a także oznaczać </w:t>
      </w:r>
      <w:r>
        <w:rPr>
          <w:i/>
          <w:iCs/>
          <w:sz w:val="22"/>
          <w:szCs w:val="22"/>
        </w:rPr>
        <w:t xml:space="preserve">je </w:t>
      </w:r>
      <w:r w:rsidRPr="00474828">
        <w:rPr>
          <w:i/>
          <w:iCs/>
          <w:sz w:val="22"/>
          <w:szCs w:val="22"/>
        </w:rPr>
        <w:t>jako finansowe  lub niefinansowe, np. urlop stażo</w:t>
      </w:r>
      <w:r>
        <w:rPr>
          <w:i/>
          <w:iCs/>
          <w:sz w:val="22"/>
          <w:szCs w:val="22"/>
        </w:rPr>
        <w:t>wy</w:t>
      </w:r>
      <w:r w:rsidRPr="00474828">
        <w:rPr>
          <w:i/>
          <w:iCs/>
          <w:sz w:val="22"/>
          <w:szCs w:val="22"/>
        </w:rPr>
        <w:t xml:space="preserve">, którego liczba dni będzie widoczna na głównym </w:t>
      </w:r>
      <w:proofErr w:type="spellStart"/>
      <w:r w:rsidRPr="00474828">
        <w:rPr>
          <w:i/>
          <w:iCs/>
          <w:sz w:val="22"/>
          <w:szCs w:val="22"/>
        </w:rPr>
        <w:t>dashboardzie</w:t>
      </w:r>
      <w:proofErr w:type="spellEnd"/>
      <w:r>
        <w:rPr>
          <w:i/>
          <w:iCs/>
          <w:sz w:val="22"/>
          <w:szCs w:val="22"/>
        </w:rPr>
        <w:t xml:space="preserve"> pracownika</w:t>
      </w:r>
      <w:r w:rsidRPr="00474828">
        <w:rPr>
          <w:sz w:val="22"/>
          <w:szCs w:val="22"/>
        </w:rPr>
        <w:t xml:space="preserve"> – mówi </w:t>
      </w:r>
      <w:r w:rsidR="00511DD4" w:rsidRPr="00FD7A4B">
        <w:rPr>
          <w:sz w:val="22"/>
          <w:szCs w:val="22"/>
        </w:rPr>
        <w:t xml:space="preserve">Joanna Liksza. </w:t>
      </w:r>
    </w:p>
    <w:p w14:paraId="30BE307F" w14:textId="2D8DAB73" w:rsidR="005F243D" w:rsidRPr="003D1946" w:rsidRDefault="003D1946" w:rsidP="00B56212">
      <w:pPr>
        <w:jc w:val="both"/>
        <w:rPr>
          <w:b/>
          <w:bCs/>
          <w:sz w:val="22"/>
          <w:szCs w:val="22"/>
        </w:rPr>
      </w:pPr>
      <w:r w:rsidRPr="004A7123">
        <w:rPr>
          <w:b/>
          <w:bCs/>
          <w:sz w:val="22"/>
          <w:szCs w:val="22"/>
        </w:rPr>
        <w:t xml:space="preserve">Benefity </w:t>
      </w:r>
      <w:r w:rsidR="004E508B">
        <w:rPr>
          <w:b/>
          <w:bCs/>
          <w:sz w:val="22"/>
          <w:szCs w:val="22"/>
        </w:rPr>
        <w:t>mogą zaoferować więcej niż gotówka</w:t>
      </w:r>
    </w:p>
    <w:p w14:paraId="4890F929" w14:textId="7FE1C3E9" w:rsidR="00FC58DE" w:rsidRDefault="00FC58DE" w:rsidP="00B56212">
      <w:pPr>
        <w:jc w:val="both"/>
        <w:rPr>
          <w:sz w:val="22"/>
          <w:szCs w:val="22"/>
        </w:rPr>
      </w:pPr>
      <w:r>
        <w:rPr>
          <w:sz w:val="22"/>
          <w:szCs w:val="22"/>
        </w:rPr>
        <w:lastRenderedPageBreak/>
        <w:t>Unijna dyrektywa, skłaniając do</w:t>
      </w:r>
      <w:r w:rsidR="002E6552">
        <w:rPr>
          <w:sz w:val="22"/>
          <w:szCs w:val="22"/>
        </w:rPr>
        <w:t xml:space="preserve"> prezentowania</w:t>
      </w:r>
      <w:r>
        <w:rPr>
          <w:sz w:val="22"/>
          <w:szCs w:val="22"/>
        </w:rPr>
        <w:t xml:space="preserve"> wartości benefitów</w:t>
      </w:r>
      <w:r w:rsidR="002F2622">
        <w:rPr>
          <w:sz w:val="22"/>
          <w:szCs w:val="22"/>
        </w:rPr>
        <w:t xml:space="preserve"> pracowniczych</w:t>
      </w:r>
      <w:r>
        <w:rPr>
          <w:sz w:val="22"/>
          <w:szCs w:val="22"/>
        </w:rPr>
        <w:t>, zwraca uwagę na istotny wątek ich siły nabywczej i korzyści jakie przynoszą zarówno pracodawcom, jak i pracownikom – np. pod k</w:t>
      </w:r>
      <w:r w:rsidR="002F2622">
        <w:rPr>
          <w:sz w:val="22"/>
          <w:szCs w:val="22"/>
        </w:rPr>
        <w:t>ą</w:t>
      </w:r>
      <w:r>
        <w:rPr>
          <w:sz w:val="22"/>
          <w:szCs w:val="22"/>
        </w:rPr>
        <w:t>tem podatkowym</w:t>
      </w:r>
      <w:r w:rsidR="00151120">
        <w:rPr>
          <w:sz w:val="22"/>
          <w:szCs w:val="22"/>
        </w:rPr>
        <w:t xml:space="preserve">. </w:t>
      </w:r>
      <w:r>
        <w:rPr>
          <w:sz w:val="22"/>
          <w:szCs w:val="22"/>
        </w:rPr>
        <w:t xml:space="preserve"> </w:t>
      </w:r>
    </w:p>
    <w:p w14:paraId="3D09915B" w14:textId="504047F2" w:rsidR="00A6294E" w:rsidRDefault="00A6294E" w:rsidP="00B56212">
      <w:pPr>
        <w:jc w:val="both"/>
        <w:rPr>
          <w:sz w:val="22"/>
          <w:szCs w:val="22"/>
        </w:rPr>
      </w:pPr>
      <w:r>
        <w:rPr>
          <w:sz w:val="22"/>
          <w:szCs w:val="22"/>
        </w:rPr>
        <w:t xml:space="preserve">- </w:t>
      </w:r>
      <w:r w:rsidR="0073590A" w:rsidRPr="0073590A">
        <w:rPr>
          <w:i/>
          <w:iCs/>
          <w:sz w:val="22"/>
          <w:szCs w:val="22"/>
        </w:rPr>
        <w:t xml:space="preserve">Część benefitów np. finansowanych z Zakładowego Funduszu Świadczeń Socjalnych, do kwoty 1000 PLN w skali roku, nie jest objętych podatkiem dochodowym czy oskładkowaniem ZUS. </w:t>
      </w:r>
      <w:r w:rsidR="007638BF" w:rsidRPr="004A7123">
        <w:rPr>
          <w:i/>
          <w:iCs/>
          <w:sz w:val="22"/>
          <w:szCs w:val="22"/>
        </w:rPr>
        <w:t xml:space="preserve">Dodatkowo usługi udostępniane w ramach benefitów pozapłacowych </w:t>
      </w:r>
      <w:r w:rsidR="009A1BFD" w:rsidRPr="004A7123">
        <w:rPr>
          <w:i/>
          <w:iCs/>
          <w:sz w:val="22"/>
          <w:szCs w:val="22"/>
        </w:rPr>
        <w:t>mają preferencyjne warunki</w:t>
      </w:r>
      <w:r w:rsidR="007638BF" w:rsidRPr="004A7123">
        <w:rPr>
          <w:i/>
          <w:iCs/>
          <w:sz w:val="22"/>
          <w:szCs w:val="22"/>
        </w:rPr>
        <w:t xml:space="preserve"> – ich kosz</w:t>
      </w:r>
      <w:r w:rsidR="009A1BFD" w:rsidRPr="004A7123">
        <w:rPr>
          <w:i/>
          <w:iCs/>
          <w:sz w:val="22"/>
          <w:szCs w:val="22"/>
        </w:rPr>
        <w:t>t</w:t>
      </w:r>
      <w:r w:rsidR="007638BF" w:rsidRPr="004A7123">
        <w:rPr>
          <w:i/>
          <w:iCs/>
          <w:sz w:val="22"/>
          <w:szCs w:val="22"/>
        </w:rPr>
        <w:t xml:space="preserve"> jest mniejszy, niż </w:t>
      </w:r>
      <w:r w:rsidR="009A1BFD" w:rsidRPr="004A7123">
        <w:rPr>
          <w:i/>
          <w:iCs/>
          <w:sz w:val="22"/>
          <w:szCs w:val="22"/>
        </w:rPr>
        <w:t>cena rynkowa, która musielibyśmy zapłacić kupując daną usługę indywidualnie.</w:t>
      </w:r>
      <w:r w:rsidR="00511DD4">
        <w:rPr>
          <w:i/>
          <w:iCs/>
          <w:sz w:val="22"/>
          <w:szCs w:val="22"/>
        </w:rPr>
        <w:t xml:space="preserve"> </w:t>
      </w:r>
      <w:r w:rsidR="007638BF" w:rsidRPr="004A7123">
        <w:rPr>
          <w:i/>
          <w:iCs/>
          <w:sz w:val="22"/>
          <w:szCs w:val="22"/>
        </w:rPr>
        <w:t xml:space="preserve">W efekcie środki </w:t>
      </w:r>
      <w:r w:rsidR="009A1BFD" w:rsidRPr="004A7123">
        <w:rPr>
          <w:i/>
          <w:iCs/>
          <w:sz w:val="22"/>
          <w:szCs w:val="22"/>
        </w:rPr>
        <w:t>zainwestowane przez pracodawców w benefit</w:t>
      </w:r>
      <w:r w:rsidR="00511DD4" w:rsidRPr="004A7123">
        <w:rPr>
          <w:i/>
          <w:iCs/>
          <w:sz w:val="22"/>
          <w:szCs w:val="22"/>
        </w:rPr>
        <w:t>y</w:t>
      </w:r>
      <w:r w:rsidR="009A1BFD" w:rsidRPr="004A7123">
        <w:rPr>
          <w:i/>
          <w:iCs/>
          <w:sz w:val="22"/>
          <w:szCs w:val="22"/>
        </w:rPr>
        <w:t xml:space="preserve"> </w:t>
      </w:r>
      <w:r w:rsidR="007638BF" w:rsidRPr="004A7123">
        <w:rPr>
          <w:i/>
          <w:iCs/>
          <w:sz w:val="22"/>
          <w:szCs w:val="22"/>
        </w:rPr>
        <w:t xml:space="preserve">mają większą </w:t>
      </w:r>
      <w:r w:rsidR="00511DD4" w:rsidRPr="004A7123">
        <w:rPr>
          <w:i/>
          <w:iCs/>
          <w:sz w:val="22"/>
          <w:szCs w:val="22"/>
        </w:rPr>
        <w:t>moc nabywczą</w:t>
      </w:r>
      <w:r w:rsidR="007638BF" w:rsidRPr="004A7123">
        <w:rPr>
          <w:i/>
          <w:iCs/>
          <w:sz w:val="22"/>
          <w:szCs w:val="22"/>
        </w:rPr>
        <w:t xml:space="preserve">, niż nominalna kwota pieniężna, którą </w:t>
      </w:r>
      <w:r w:rsidR="00930B55">
        <w:rPr>
          <w:i/>
          <w:iCs/>
          <w:sz w:val="22"/>
          <w:szCs w:val="22"/>
        </w:rPr>
        <w:t>firma</w:t>
      </w:r>
      <w:r w:rsidR="007638BF" w:rsidRPr="004A7123">
        <w:rPr>
          <w:i/>
          <w:iCs/>
          <w:sz w:val="22"/>
          <w:szCs w:val="22"/>
        </w:rPr>
        <w:t xml:space="preserve"> m</w:t>
      </w:r>
      <w:r w:rsidR="00930B55">
        <w:rPr>
          <w:i/>
          <w:iCs/>
          <w:sz w:val="22"/>
          <w:szCs w:val="22"/>
        </w:rPr>
        <w:t>o</w:t>
      </w:r>
      <w:r w:rsidR="007638BF" w:rsidRPr="004A7123">
        <w:rPr>
          <w:i/>
          <w:iCs/>
          <w:sz w:val="22"/>
          <w:szCs w:val="22"/>
        </w:rPr>
        <w:t>gł</w:t>
      </w:r>
      <w:r w:rsidR="00930B55">
        <w:rPr>
          <w:i/>
          <w:iCs/>
          <w:sz w:val="22"/>
          <w:szCs w:val="22"/>
        </w:rPr>
        <w:t>a</w:t>
      </w:r>
      <w:r w:rsidR="007638BF" w:rsidRPr="004A7123">
        <w:rPr>
          <w:i/>
          <w:iCs/>
          <w:sz w:val="22"/>
          <w:szCs w:val="22"/>
        </w:rPr>
        <w:t>by przekazać na konto</w:t>
      </w:r>
      <w:r w:rsidR="009A1BFD" w:rsidRPr="004A7123">
        <w:rPr>
          <w:i/>
          <w:iCs/>
          <w:sz w:val="22"/>
          <w:szCs w:val="22"/>
        </w:rPr>
        <w:t xml:space="preserve"> pracownika</w:t>
      </w:r>
      <w:r w:rsidR="008455B5" w:rsidRPr="004A7123">
        <w:rPr>
          <w:i/>
          <w:iCs/>
          <w:sz w:val="22"/>
          <w:szCs w:val="22"/>
        </w:rPr>
        <w:t xml:space="preserve">. </w:t>
      </w:r>
      <w:r w:rsidR="00930B55">
        <w:rPr>
          <w:i/>
          <w:iCs/>
          <w:sz w:val="22"/>
          <w:szCs w:val="22"/>
        </w:rPr>
        <w:t>Organizacje</w:t>
      </w:r>
      <w:r w:rsidR="008455B5" w:rsidRPr="004A7123">
        <w:rPr>
          <w:i/>
          <w:iCs/>
          <w:sz w:val="22"/>
          <w:szCs w:val="22"/>
        </w:rPr>
        <w:t>, które już dziś oferują szeroki pakiet benefitów</w:t>
      </w:r>
      <w:r w:rsidR="009A1BFD" w:rsidRPr="004A7123">
        <w:rPr>
          <w:i/>
          <w:iCs/>
          <w:sz w:val="22"/>
          <w:szCs w:val="22"/>
        </w:rPr>
        <w:t>, po wdrożeniu dyrektywy,</w:t>
      </w:r>
      <w:r w:rsidR="008455B5" w:rsidRPr="004A7123">
        <w:rPr>
          <w:i/>
          <w:iCs/>
          <w:sz w:val="22"/>
          <w:szCs w:val="22"/>
        </w:rPr>
        <w:t xml:space="preserve"> mają szansę na zaprezentowanie wyższych poziomów wynagrodzenia</w:t>
      </w:r>
      <w:r w:rsidR="009A1BFD" w:rsidRPr="004A7123">
        <w:rPr>
          <w:i/>
          <w:iCs/>
          <w:sz w:val="22"/>
          <w:szCs w:val="22"/>
        </w:rPr>
        <w:t xml:space="preserve"> w porównaniu do pracodawców, którzy nie udostępniają pracownikom </w:t>
      </w:r>
      <w:r w:rsidR="00317067">
        <w:rPr>
          <w:i/>
          <w:iCs/>
          <w:sz w:val="22"/>
          <w:szCs w:val="22"/>
        </w:rPr>
        <w:t xml:space="preserve">żadnych </w:t>
      </w:r>
      <w:r w:rsidR="003A40AC">
        <w:rPr>
          <w:i/>
          <w:iCs/>
          <w:sz w:val="22"/>
          <w:szCs w:val="22"/>
        </w:rPr>
        <w:t>świadcz</w:t>
      </w:r>
      <w:r w:rsidR="0018295C">
        <w:rPr>
          <w:i/>
          <w:iCs/>
          <w:sz w:val="22"/>
          <w:szCs w:val="22"/>
        </w:rPr>
        <w:t>eń</w:t>
      </w:r>
      <w:r w:rsidR="007638BF">
        <w:rPr>
          <w:sz w:val="22"/>
          <w:szCs w:val="22"/>
        </w:rPr>
        <w:t xml:space="preserve">– wskazuje Joanna Liksza. </w:t>
      </w:r>
    </w:p>
    <w:p w14:paraId="446AACF9" w14:textId="6003437A" w:rsidR="007638BF" w:rsidRDefault="007638BF" w:rsidP="00B56212">
      <w:pPr>
        <w:jc w:val="both"/>
        <w:rPr>
          <w:sz w:val="22"/>
          <w:szCs w:val="22"/>
        </w:rPr>
      </w:pPr>
      <w:r>
        <w:rPr>
          <w:sz w:val="22"/>
          <w:szCs w:val="22"/>
        </w:rPr>
        <w:t xml:space="preserve">Poza tym, same benefity na tyle dobrze wpisały się w krajobraz zatrudnienia, że dla wielu pracowników stanowią nieodłączny element kultury organizacyjnej firm – przykładem mogą być tu opieka medyczna, czy kultowa już karta MultiSport. </w:t>
      </w:r>
    </w:p>
    <w:p w14:paraId="7140255A" w14:textId="2656CCB9" w:rsidR="007638BF" w:rsidRDefault="007638BF" w:rsidP="007638BF">
      <w:pPr>
        <w:jc w:val="both"/>
        <w:rPr>
          <w:sz w:val="22"/>
          <w:szCs w:val="22"/>
        </w:rPr>
      </w:pPr>
      <w:r w:rsidRPr="004A7123">
        <w:rPr>
          <w:sz w:val="22"/>
          <w:szCs w:val="22"/>
        </w:rPr>
        <w:t>Jak wynika z badania przeprowadzonego na zlecenie Benefit Systems,</w:t>
      </w:r>
      <w:r w:rsidRPr="00C56DF2">
        <w:rPr>
          <w:sz w:val="22"/>
          <w:szCs w:val="22"/>
        </w:rPr>
        <w:t xml:space="preserve"> </w:t>
      </w:r>
      <w:r w:rsidR="008455B5">
        <w:rPr>
          <w:sz w:val="22"/>
          <w:szCs w:val="22"/>
        </w:rPr>
        <w:t xml:space="preserve">co 4. pracownik, w firmach zatrudniających co najmniej 9 osób, uważa, że pracodawca powinien zapewniać jak najszerszy pakiet benefitów. 40 proc. pracowników przyznaje również, że </w:t>
      </w:r>
      <w:r w:rsidR="0016244E">
        <w:rPr>
          <w:sz w:val="22"/>
          <w:szCs w:val="22"/>
        </w:rPr>
        <w:t>benefity</w:t>
      </w:r>
      <w:r w:rsidR="008455B5">
        <w:rPr>
          <w:sz w:val="22"/>
          <w:szCs w:val="22"/>
        </w:rPr>
        <w:t xml:space="preserve"> stanowią dla nich istotny element wyboru pracodawcy. </w:t>
      </w:r>
      <w:r w:rsidRPr="004A7123">
        <w:rPr>
          <w:sz w:val="22"/>
          <w:szCs w:val="22"/>
        </w:rPr>
        <w:t>Średnio jeden pracownik w Polsce ma dostęp do 5,7 różnych świadczeń pozapłacowych, w większych organizacjach (powyżej 250 tys. pracowników) liczba ta wzrasta do 8,4.</w:t>
      </w:r>
    </w:p>
    <w:p w14:paraId="05DE4C10" w14:textId="4E5CF9F7" w:rsidR="00CA2D82" w:rsidRDefault="00CA2D82" w:rsidP="00CA2D82">
      <w:pPr>
        <w:jc w:val="both"/>
        <w:rPr>
          <w:sz w:val="22"/>
          <w:szCs w:val="22"/>
        </w:rPr>
      </w:pPr>
      <w:r w:rsidRPr="00DE6052">
        <w:rPr>
          <w:sz w:val="22"/>
          <w:szCs w:val="22"/>
        </w:rPr>
        <w:t xml:space="preserve">– </w:t>
      </w:r>
      <w:r w:rsidRPr="0043723B">
        <w:rPr>
          <w:i/>
          <w:iCs/>
          <w:sz w:val="22"/>
          <w:szCs w:val="22"/>
        </w:rPr>
        <w:t xml:space="preserve">W realiach rynku pracy, gdzie pracownicy coraz częściej rozważają zmianę zatrudnienia i równocześnie oczekują większej przejrzystości, </w:t>
      </w:r>
      <w:r w:rsidR="00637A10">
        <w:rPr>
          <w:i/>
          <w:iCs/>
          <w:sz w:val="22"/>
          <w:szCs w:val="22"/>
        </w:rPr>
        <w:t>budowanie</w:t>
      </w:r>
      <w:r w:rsidRPr="0043723B">
        <w:rPr>
          <w:i/>
          <w:iCs/>
          <w:sz w:val="22"/>
          <w:szCs w:val="22"/>
        </w:rPr>
        <w:t xml:space="preserve"> świadomości </w:t>
      </w:r>
      <w:r w:rsidR="00637A10">
        <w:rPr>
          <w:i/>
          <w:iCs/>
          <w:sz w:val="22"/>
          <w:szCs w:val="22"/>
        </w:rPr>
        <w:t xml:space="preserve">– również w zakresie </w:t>
      </w:r>
      <w:r w:rsidRPr="0043723B">
        <w:rPr>
          <w:i/>
          <w:iCs/>
          <w:sz w:val="22"/>
          <w:szCs w:val="22"/>
        </w:rPr>
        <w:t>wartości benefitów staje się istotnym narzędziem w</w:t>
      </w:r>
      <w:r w:rsidR="00353251">
        <w:rPr>
          <w:i/>
          <w:iCs/>
          <w:sz w:val="22"/>
          <w:szCs w:val="22"/>
        </w:rPr>
        <w:t xml:space="preserve"> umacnianiu</w:t>
      </w:r>
      <w:r w:rsidRPr="0043723B">
        <w:rPr>
          <w:i/>
          <w:iCs/>
          <w:sz w:val="22"/>
          <w:szCs w:val="22"/>
        </w:rPr>
        <w:t xml:space="preserve"> zaangażowania oraz zatrzymywaniu talentów w organizacji. Firmy, które skutecznie rozwijają tę kompetencję, zyskują przewagę konkurencyjną</w:t>
      </w:r>
      <w:r w:rsidR="0072069A">
        <w:rPr>
          <w:i/>
          <w:iCs/>
          <w:sz w:val="22"/>
          <w:szCs w:val="22"/>
        </w:rPr>
        <w:t xml:space="preserve"> </w:t>
      </w:r>
      <w:r>
        <w:rPr>
          <w:sz w:val="22"/>
          <w:szCs w:val="22"/>
        </w:rPr>
        <w:t>– mówi Joanna Liksza.</w:t>
      </w:r>
    </w:p>
    <w:p w14:paraId="1C304DA2" w14:textId="77777777" w:rsidR="00FD4598" w:rsidRDefault="00FD4598" w:rsidP="00FD4598">
      <w:pPr>
        <w:spacing w:before="240" w:line="360" w:lineRule="auto"/>
        <w:jc w:val="center"/>
        <w:rPr>
          <w:rFonts w:ascii="Arial" w:hAnsi="Arial" w:cs="Arial"/>
          <w:b/>
          <w:bCs/>
          <w:sz w:val="20"/>
          <w:szCs w:val="20"/>
        </w:rPr>
      </w:pPr>
      <w:r w:rsidRPr="00C11F0E">
        <w:rPr>
          <w:rFonts w:ascii="Arial" w:hAnsi="Arial" w:cs="Arial"/>
          <w:b/>
          <w:bCs/>
          <w:sz w:val="20"/>
          <w:szCs w:val="20"/>
        </w:rPr>
        <w:t>Kontakt dla mediów:</w:t>
      </w:r>
    </w:p>
    <w:p w14:paraId="3BACC28D" w14:textId="5D3FFBE8" w:rsidR="00FC58DE" w:rsidRDefault="00FC58DE" w:rsidP="00FC58DE">
      <w:pPr>
        <w:spacing w:before="240" w:line="360" w:lineRule="auto"/>
        <w:rPr>
          <w:rFonts w:ascii="Arial" w:hAnsi="Arial" w:cs="Arial"/>
          <w:b/>
          <w:bCs/>
          <w:sz w:val="20"/>
          <w:szCs w:val="20"/>
        </w:rPr>
      </w:pPr>
      <w:r>
        <w:rPr>
          <w:rFonts w:ascii="Arial" w:hAnsi="Arial" w:cs="Arial"/>
          <w:b/>
          <w:bCs/>
          <w:sz w:val="20"/>
          <w:szCs w:val="20"/>
        </w:rPr>
        <w:t xml:space="preserve">Agnieszka Bemowska-Niewiarowska, e-mail: </w:t>
      </w:r>
      <w:hyperlink r:id="rId9" w:history="1">
        <w:r w:rsidRPr="00B60E5D">
          <w:rPr>
            <w:rStyle w:val="Hipercze"/>
            <w:rFonts w:ascii="Arial" w:hAnsi="Arial" w:cs="Arial"/>
            <w:b/>
            <w:bCs/>
            <w:sz w:val="20"/>
            <w:szCs w:val="20"/>
          </w:rPr>
          <w:t>a.bemowska@benefitsystems.pl</w:t>
        </w:r>
      </w:hyperlink>
      <w:r>
        <w:rPr>
          <w:rFonts w:ascii="Arial" w:hAnsi="Arial" w:cs="Arial"/>
          <w:b/>
          <w:bCs/>
          <w:sz w:val="20"/>
          <w:szCs w:val="20"/>
        </w:rPr>
        <w:t>, kom. 517</w:t>
      </w:r>
      <w:r w:rsidR="00151120" w:rsidRPr="00151120">
        <w:rPr>
          <w:rFonts w:ascii="Arial" w:hAnsi="Arial" w:cs="Arial"/>
          <w:b/>
          <w:bCs/>
          <w:sz w:val="20"/>
          <w:szCs w:val="20"/>
        </w:rPr>
        <w:t>172559</w:t>
      </w:r>
    </w:p>
    <w:p w14:paraId="233AA984" w14:textId="041671BE" w:rsidR="00151120" w:rsidRDefault="00151120" w:rsidP="00FC58DE">
      <w:pPr>
        <w:spacing w:before="240" w:line="360" w:lineRule="auto"/>
        <w:rPr>
          <w:rFonts w:ascii="Arial" w:hAnsi="Arial" w:cs="Arial"/>
          <w:b/>
          <w:bCs/>
          <w:sz w:val="20"/>
          <w:szCs w:val="20"/>
        </w:rPr>
      </w:pPr>
      <w:r>
        <w:rPr>
          <w:rFonts w:ascii="Arial" w:hAnsi="Arial" w:cs="Arial"/>
          <w:b/>
          <w:bCs/>
          <w:sz w:val="20"/>
          <w:szCs w:val="20"/>
        </w:rPr>
        <w:t xml:space="preserve">Sandra Dobrowolska, e-mail: </w:t>
      </w:r>
      <w:hyperlink r:id="rId10" w:history="1">
        <w:r w:rsidRPr="00B60E5D">
          <w:rPr>
            <w:rStyle w:val="Hipercze"/>
            <w:rFonts w:ascii="Arial" w:hAnsi="Arial" w:cs="Arial"/>
            <w:b/>
            <w:bCs/>
            <w:sz w:val="20"/>
            <w:szCs w:val="20"/>
          </w:rPr>
          <w:t>s.dobrowolska@benefitsystems.pl</w:t>
        </w:r>
      </w:hyperlink>
      <w:r>
        <w:rPr>
          <w:rFonts w:ascii="Arial" w:hAnsi="Arial" w:cs="Arial"/>
          <w:b/>
          <w:bCs/>
          <w:sz w:val="20"/>
          <w:szCs w:val="20"/>
        </w:rPr>
        <w:t>, kom. 797294243</w:t>
      </w:r>
    </w:p>
    <w:p w14:paraId="4BD01441" w14:textId="58D19376" w:rsidR="008770F1" w:rsidRDefault="00C1308A" w:rsidP="00FD4598">
      <w:pPr>
        <w:jc w:val="both"/>
        <w:rPr>
          <w:sz w:val="16"/>
          <w:szCs w:val="16"/>
        </w:rPr>
      </w:pPr>
      <w:r w:rsidRPr="00C1308A">
        <w:rPr>
          <w:sz w:val="16"/>
          <w:szCs w:val="16"/>
        </w:rPr>
        <w:t xml:space="preserve">Benefit Systems działa na polskim rynku od ponad dwóch dekad i należy do liderów w dostarczaniu benefitów pozapłacowych, które wspierają dobrostan pracowników. Spółka jest twórcą Programu MultiSport, który umożliwia podejmowanie aktywności fizycznej w obiektach sportowych w całym kraju. W portfolio Benefit Systems jest także platforma </w:t>
      </w:r>
      <w:proofErr w:type="spellStart"/>
      <w:r w:rsidRPr="00C1308A">
        <w:rPr>
          <w:sz w:val="16"/>
          <w:szCs w:val="16"/>
        </w:rPr>
        <w:t>kafeteryjna</w:t>
      </w:r>
      <w:proofErr w:type="spellEnd"/>
      <w:r w:rsidRPr="00C1308A">
        <w:rPr>
          <w:sz w:val="16"/>
          <w:szCs w:val="16"/>
        </w:rPr>
        <w:t xml:space="preserve"> </w:t>
      </w:r>
      <w:proofErr w:type="spellStart"/>
      <w:r w:rsidRPr="00C1308A">
        <w:rPr>
          <w:sz w:val="16"/>
          <w:szCs w:val="16"/>
        </w:rPr>
        <w:t>MyBenefit</w:t>
      </w:r>
      <w:proofErr w:type="spellEnd"/>
      <w:r w:rsidRPr="00C1308A">
        <w:rPr>
          <w:sz w:val="16"/>
          <w:szCs w:val="16"/>
        </w:rPr>
        <w:t xml:space="preserve"> oraz program </w:t>
      </w:r>
      <w:proofErr w:type="spellStart"/>
      <w:r w:rsidRPr="00C1308A">
        <w:rPr>
          <w:sz w:val="16"/>
          <w:szCs w:val="16"/>
        </w:rPr>
        <w:t>wellbeingowy</w:t>
      </w:r>
      <w:proofErr w:type="spellEnd"/>
      <w:r w:rsidRPr="00C1308A">
        <w:rPr>
          <w:sz w:val="16"/>
          <w:szCs w:val="16"/>
        </w:rPr>
        <w:t xml:space="preserve"> </w:t>
      </w:r>
      <w:proofErr w:type="spellStart"/>
      <w:r w:rsidRPr="00C1308A">
        <w:rPr>
          <w:sz w:val="16"/>
          <w:szCs w:val="16"/>
        </w:rPr>
        <w:t>Multi.Life</w:t>
      </w:r>
      <w:proofErr w:type="spellEnd"/>
      <w:r w:rsidRPr="00C1308A">
        <w:rPr>
          <w:sz w:val="16"/>
          <w:szCs w:val="16"/>
        </w:rPr>
        <w:t xml:space="preserve">. Od kilku lat oferta sportowa Spółki jest rozwijana na rynkach zagranicznych, m.in. w Czechach, na Słowacji, w Bułgarii i w Chorwacji. Grupa Benefit Systems jest także operatorem klubów fitness na sześciu rynkach (w Polsce odpowiada m.in. za sieci: Fabryka Formy, </w:t>
      </w:r>
      <w:proofErr w:type="spellStart"/>
      <w:r w:rsidRPr="00C1308A">
        <w:rPr>
          <w:sz w:val="16"/>
          <w:szCs w:val="16"/>
        </w:rPr>
        <w:t>FitFabric</w:t>
      </w:r>
      <w:proofErr w:type="spellEnd"/>
      <w:r w:rsidRPr="00C1308A">
        <w:rPr>
          <w:sz w:val="16"/>
          <w:szCs w:val="16"/>
        </w:rPr>
        <w:t xml:space="preserve">, Fitness </w:t>
      </w:r>
      <w:proofErr w:type="spellStart"/>
      <w:r w:rsidRPr="00C1308A">
        <w:rPr>
          <w:sz w:val="16"/>
          <w:szCs w:val="16"/>
        </w:rPr>
        <w:t>Academy</w:t>
      </w:r>
      <w:proofErr w:type="spellEnd"/>
      <w:r w:rsidRPr="00C1308A">
        <w:rPr>
          <w:sz w:val="16"/>
          <w:szCs w:val="16"/>
        </w:rPr>
        <w:t xml:space="preserve">, My Fitness Place, Total Fitness i Zdrofit). Ważnym obszarem działań Benefit Systems jest promowanie aktywnego stylu życia na każdym jego etapie, dlatego Spółka realizuje inicjatywy wspierające aktywność fizyczną dzieci, dorosłych oraz seniorów. Cele te realizowane są m.in. przez Fundację MultiSport. Od 2018 roku Benefit Systems jest częścią globalnej inicjatywy B </w:t>
      </w:r>
      <w:proofErr w:type="spellStart"/>
      <w:r w:rsidRPr="00C1308A">
        <w:rPr>
          <w:sz w:val="16"/>
          <w:szCs w:val="16"/>
        </w:rPr>
        <w:t>Corp</w:t>
      </w:r>
      <w:proofErr w:type="spellEnd"/>
      <w:r w:rsidRPr="00C1308A">
        <w:rPr>
          <w:sz w:val="16"/>
          <w:szCs w:val="16"/>
        </w:rPr>
        <w:t>, zrzeszającej spółki działające i angażujące się w rozwiązywanie najważniejszych problemów społecznych. Więcej informacji o firmie można znaleźć na benefitsystems.pl.</w:t>
      </w:r>
      <w:r w:rsidR="00FD4598">
        <w:rPr>
          <w:sz w:val="16"/>
          <w:szCs w:val="16"/>
        </w:rPr>
        <w:t xml:space="preserve"> </w:t>
      </w:r>
    </w:p>
    <w:p w14:paraId="2A7363BB" w14:textId="4C8C39D7" w:rsidR="00392846" w:rsidRPr="00FD4598" w:rsidRDefault="00C1308A" w:rsidP="004A7123">
      <w:pPr>
        <w:jc w:val="both"/>
        <w:rPr>
          <w:b/>
          <w:bCs/>
          <w:sz w:val="16"/>
          <w:szCs w:val="16"/>
        </w:rPr>
      </w:pPr>
      <w:r w:rsidRPr="00C1308A">
        <w:rPr>
          <w:b/>
          <w:bCs/>
          <w:sz w:val="16"/>
          <w:szCs w:val="16"/>
        </w:rPr>
        <w:t xml:space="preserve">Zapraszamy media do kontaktu z Biurem Prasowym Benefit Systems: </w:t>
      </w:r>
      <w:hyperlink r:id="rId11" w:history="1">
        <w:r w:rsidRPr="00C1308A">
          <w:rPr>
            <w:rStyle w:val="Hipercze"/>
            <w:b/>
            <w:bCs/>
            <w:sz w:val="16"/>
            <w:szCs w:val="16"/>
          </w:rPr>
          <w:t>biuroprasowe@benefitsystems.pl</w:t>
        </w:r>
      </w:hyperlink>
      <w:r w:rsidRPr="00C1308A">
        <w:rPr>
          <w:b/>
          <w:bCs/>
          <w:sz w:val="16"/>
          <w:szCs w:val="16"/>
        </w:rPr>
        <w:t>.</w:t>
      </w:r>
    </w:p>
    <w:sectPr w:rsidR="00392846" w:rsidRPr="00FD45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01827" w14:textId="77777777" w:rsidR="005A1177" w:rsidRDefault="005A1177" w:rsidP="00C95028">
      <w:pPr>
        <w:spacing w:after="0" w:line="240" w:lineRule="auto"/>
      </w:pPr>
      <w:r>
        <w:separator/>
      </w:r>
    </w:p>
  </w:endnote>
  <w:endnote w:type="continuationSeparator" w:id="0">
    <w:p w14:paraId="7B5FFEFA" w14:textId="77777777" w:rsidR="005A1177" w:rsidRDefault="005A1177" w:rsidP="00C9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9BEF0" w14:textId="77777777" w:rsidR="005A1177" w:rsidRDefault="005A1177" w:rsidP="00C95028">
      <w:pPr>
        <w:spacing w:after="0" w:line="240" w:lineRule="auto"/>
      </w:pPr>
      <w:r>
        <w:separator/>
      </w:r>
    </w:p>
  </w:footnote>
  <w:footnote w:type="continuationSeparator" w:id="0">
    <w:p w14:paraId="3D40184F" w14:textId="77777777" w:rsidR="005A1177" w:rsidRDefault="005A1177" w:rsidP="00C95028">
      <w:pPr>
        <w:spacing w:after="0" w:line="240" w:lineRule="auto"/>
      </w:pPr>
      <w:r>
        <w:continuationSeparator/>
      </w:r>
    </w:p>
  </w:footnote>
  <w:footnote w:id="1">
    <w:p w14:paraId="7C31D71B" w14:textId="77777777" w:rsidR="00E40DA8" w:rsidRPr="002E371E" w:rsidRDefault="00E40DA8" w:rsidP="00E40DA8">
      <w:pPr>
        <w:pStyle w:val="Tekstprzypisudolnego"/>
        <w:rPr>
          <w:sz w:val="16"/>
          <w:szCs w:val="16"/>
          <w:lang w:val="en-US"/>
        </w:rPr>
      </w:pPr>
      <w:r w:rsidRPr="002E371E">
        <w:rPr>
          <w:rStyle w:val="Odwoanieprzypisudolnego"/>
          <w:sz w:val="16"/>
          <w:szCs w:val="16"/>
        </w:rPr>
        <w:footnoteRef/>
      </w:r>
      <w:r w:rsidRPr="002E371E">
        <w:rPr>
          <w:sz w:val="16"/>
          <w:szCs w:val="16"/>
          <w:lang w:val="en-US"/>
        </w:rPr>
        <w:t xml:space="preserve"> https://nofluffjobs.com/pl/etc/praca-w-it/benefity-pracownicze-podsumowanie-badania/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71D3"/>
    <w:multiLevelType w:val="multilevel"/>
    <w:tmpl w:val="E8F6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85020"/>
    <w:multiLevelType w:val="hybridMultilevel"/>
    <w:tmpl w:val="23C23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0363EBC"/>
    <w:multiLevelType w:val="hybridMultilevel"/>
    <w:tmpl w:val="D70EBEDA"/>
    <w:lvl w:ilvl="0" w:tplc="2DC2B7F0">
      <w:start w:val="1"/>
      <w:numFmt w:val="bullet"/>
      <w:lvlText w:val="•"/>
      <w:lvlJc w:val="left"/>
      <w:pPr>
        <w:tabs>
          <w:tab w:val="num" w:pos="720"/>
        </w:tabs>
        <w:ind w:left="720" w:hanging="360"/>
      </w:pPr>
      <w:rPr>
        <w:rFonts w:ascii="Arial" w:hAnsi="Arial" w:hint="default"/>
      </w:rPr>
    </w:lvl>
    <w:lvl w:ilvl="1" w:tplc="107A55BE" w:tentative="1">
      <w:start w:val="1"/>
      <w:numFmt w:val="bullet"/>
      <w:lvlText w:val="•"/>
      <w:lvlJc w:val="left"/>
      <w:pPr>
        <w:tabs>
          <w:tab w:val="num" w:pos="1440"/>
        </w:tabs>
        <w:ind w:left="1440" w:hanging="360"/>
      </w:pPr>
      <w:rPr>
        <w:rFonts w:ascii="Arial" w:hAnsi="Arial" w:hint="default"/>
      </w:rPr>
    </w:lvl>
    <w:lvl w:ilvl="2" w:tplc="F5BCD234" w:tentative="1">
      <w:start w:val="1"/>
      <w:numFmt w:val="bullet"/>
      <w:lvlText w:val="•"/>
      <w:lvlJc w:val="left"/>
      <w:pPr>
        <w:tabs>
          <w:tab w:val="num" w:pos="2160"/>
        </w:tabs>
        <w:ind w:left="2160" w:hanging="360"/>
      </w:pPr>
      <w:rPr>
        <w:rFonts w:ascii="Arial" w:hAnsi="Arial" w:hint="default"/>
      </w:rPr>
    </w:lvl>
    <w:lvl w:ilvl="3" w:tplc="B0A4390A" w:tentative="1">
      <w:start w:val="1"/>
      <w:numFmt w:val="bullet"/>
      <w:lvlText w:val="•"/>
      <w:lvlJc w:val="left"/>
      <w:pPr>
        <w:tabs>
          <w:tab w:val="num" w:pos="2880"/>
        </w:tabs>
        <w:ind w:left="2880" w:hanging="360"/>
      </w:pPr>
      <w:rPr>
        <w:rFonts w:ascii="Arial" w:hAnsi="Arial" w:hint="default"/>
      </w:rPr>
    </w:lvl>
    <w:lvl w:ilvl="4" w:tplc="A9D87792" w:tentative="1">
      <w:start w:val="1"/>
      <w:numFmt w:val="bullet"/>
      <w:lvlText w:val="•"/>
      <w:lvlJc w:val="left"/>
      <w:pPr>
        <w:tabs>
          <w:tab w:val="num" w:pos="3600"/>
        </w:tabs>
        <w:ind w:left="3600" w:hanging="360"/>
      </w:pPr>
      <w:rPr>
        <w:rFonts w:ascii="Arial" w:hAnsi="Arial" w:hint="default"/>
      </w:rPr>
    </w:lvl>
    <w:lvl w:ilvl="5" w:tplc="9A1CCE98" w:tentative="1">
      <w:start w:val="1"/>
      <w:numFmt w:val="bullet"/>
      <w:lvlText w:val="•"/>
      <w:lvlJc w:val="left"/>
      <w:pPr>
        <w:tabs>
          <w:tab w:val="num" w:pos="4320"/>
        </w:tabs>
        <w:ind w:left="4320" w:hanging="360"/>
      </w:pPr>
      <w:rPr>
        <w:rFonts w:ascii="Arial" w:hAnsi="Arial" w:hint="default"/>
      </w:rPr>
    </w:lvl>
    <w:lvl w:ilvl="6" w:tplc="50287188" w:tentative="1">
      <w:start w:val="1"/>
      <w:numFmt w:val="bullet"/>
      <w:lvlText w:val="•"/>
      <w:lvlJc w:val="left"/>
      <w:pPr>
        <w:tabs>
          <w:tab w:val="num" w:pos="5040"/>
        </w:tabs>
        <w:ind w:left="5040" w:hanging="360"/>
      </w:pPr>
      <w:rPr>
        <w:rFonts w:ascii="Arial" w:hAnsi="Arial" w:hint="default"/>
      </w:rPr>
    </w:lvl>
    <w:lvl w:ilvl="7" w:tplc="FE8A83CA" w:tentative="1">
      <w:start w:val="1"/>
      <w:numFmt w:val="bullet"/>
      <w:lvlText w:val="•"/>
      <w:lvlJc w:val="left"/>
      <w:pPr>
        <w:tabs>
          <w:tab w:val="num" w:pos="5760"/>
        </w:tabs>
        <w:ind w:left="5760" w:hanging="360"/>
      </w:pPr>
      <w:rPr>
        <w:rFonts w:ascii="Arial" w:hAnsi="Arial" w:hint="default"/>
      </w:rPr>
    </w:lvl>
    <w:lvl w:ilvl="8" w:tplc="70B42E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06762B4"/>
    <w:multiLevelType w:val="hybridMultilevel"/>
    <w:tmpl w:val="D2082832"/>
    <w:lvl w:ilvl="0" w:tplc="5D02B134">
      <w:start w:val="1"/>
      <w:numFmt w:val="bullet"/>
      <w:lvlText w:val="•"/>
      <w:lvlJc w:val="left"/>
      <w:pPr>
        <w:tabs>
          <w:tab w:val="num" w:pos="720"/>
        </w:tabs>
        <w:ind w:left="720" w:hanging="360"/>
      </w:pPr>
      <w:rPr>
        <w:rFonts w:ascii="Arial" w:hAnsi="Arial" w:hint="default"/>
      </w:rPr>
    </w:lvl>
    <w:lvl w:ilvl="1" w:tplc="A8F8C268">
      <w:start w:val="1"/>
      <w:numFmt w:val="bullet"/>
      <w:lvlText w:val="•"/>
      <w:lvlJc w:val="left"/>
      <w:pPr>
        <w:tabs>
          <w:tab w:val="num" w:pos="1440"/>
        </w:tabs>
        <w:ind w:left="1440" w:hanging="360"/>
      </w:pPr>
      <w:rPr>
        <w:rFonts w:ascii="Arial" w:hAnsi="Arial" w:hint="default"/>
      </w:rPr>
    </w:lvl>
    <w:lvl w:ilvl="2" w:tplc="C2002CFA" w:tentative="1">
      <w:start w:val="1"/>
      <w:numFmt w:val="bullet"/>
      <w:lvlText w:val="•"/>
      <w:lvlJc w:val="left"/>
      <w:pPr>
        <w:tabs>
          <w:tab w:val="num" w:pos="2160"/>
        </w:tabs>
        <w:ind w:left="2160" w:hanging="360"/>
      </w:pPr>
      <w:rPr>
        <w:rFonts w:ascii="Arial" w:hAnsi="Arial" w:hint="default"/>
      </w:rPr>
    </w:lvl>
    <w:lvl w:ilvl="3" w:tplc="EF32EEA8" w:tentative="1">
      <w:start w:val="1"/>
      <w:numFmt w:val="bullet"/>
      <w:lvlText w:val="•"/>
      <w:lvlJc w:val="left"/>
      <w:pPr>
        <w:tabs>
          <w:tab w:val="num" w:pos="2880"/>
        </w:tabs>
        <w:ind w:left="2880" w:hanging="360"/>
      </w:pPr>
      <w:rPr>
        <w:rFonts w:ascii="Arial" w:hAnsi="Arial" w:hint="default"/>
      </w:rPr>
    </w:lvl>
    <w:lvl w:ilvl="4" w:tplc="5C3E49F2" w:tentative="1">
      <w:start w:val="1"/>
      <w:numFmt w:val="bullet"/>
      <w:lvlText w:val="•"/>
      <w:lvlJc w:val="left"/>
      <w:pPr>
        <w:tabs>
          <w:tab w:val="num" w:pos="3600"/>
        </w:tabs>
        <w:ind w:left="3600" w:hanging="360"/>
      </w:pPr>
      <w:rPr>
        <w:rFonts w:ascii="Arial" w:hAnsi="Arial" w:hint="default"/>
      </w:rPr>
    </w:lvl>
    <w:lvl w:ilvl="5" w:tplc="1AAA6CCA" w:tentative="1">
      <w:start w:val="1"/>
      <w:numFmt w:val="bullet"/>
      <w:lvlText w:val="•"/>
      <w:lvlJc w:val="left"/>
      <w:pPr>
        <w:tabs>
          <w:tab w:val="num" w:pos="4320"/>
        </w:tabs>
        <w:ind w:left="4320" w:hanging="360"/>
      </w:pPr>
      <w:rPr>
        <w:rFonts w:ascii="Arial" w:hAnsi="Arial" w:hint="default"/>
      </w:rPr>
    </w:lvl>
    <w:lvl w:ilvl="6" w:tplc="17C0645E" w:tentative="1">
      <w:start w:val="1"/>
      <w:numFmt w:val="bullet"/>
      <w:lvlText w:val="•"/>
      <w:lvlJc w:val="left"/>
      <w:pPr>
        <w:tabs>
          <w:tab w:val="num" w:pos="5040"/>
        </w:tabs>
        <w:ind w:left="5040" w:hanging="360"/>
      </w:pPr>
      <w:rPr>
        <w:rFonts w:ascii="Arial" w:hAnsi="Arial" w:hint="default"/>
      </w:rPr>
    </w:lvl>
    <w:lvl w:ilvl="7" w:tplc="EA9E561E" w:tentative="1">
      <w:start w:val="1"/>
      <w:numFmt w:val="bullet"/>
      <w:lvlText w:val="•"/>
      <w:lvlJc w:val="left"/>
      <w:pPr>
        <w:tabs>
          <w:tab w:val="num" w:pos="5760"/>
        </w:tabs>
        <w:ind w:left="5760" w:hanging="360"/>
      </w:pPr>
      <w:rPr>
        <w:rFonts w:ascii="Arial" w:hAnsi="Arial" w:hint="default"/>
      </w:rPr>
    </w:lvl>
    <w:lvl w:ilvl="8" w:tplc="15E8DD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190910"/>
    <w:multiLevelType w:val="hybridMultilevel"/>
    <w:tmpl w:val="A2D8E9CA"/>
    <w:lvl w:ilvl="0" w:tplc="6CE04FE6">
      <w:start w:val="1"/>
      <w:numFmt w:val="bullet"/>
      <w:lvlText w:val="•"/>
      <w:lvlJc w:val="left"/>
      <w:pPr>
        <w:tabs>
          <w:tab w:val="num" w:pos="720"/>
        </w:tabs>
        <w:ind w:left="720" w:hanging="360"/>
      </w:pPr>
      <w:rPr>
        <w:rFonts w:ascii="Arial" w:hAnsi="Arial" w:hint="default"/>
      </w:rPr>
    </w:lvl>
    <w:lvl w:ilvl="1" w:tplc="BF8E1D70">
      <w:start w:val="1"/>
      <w:numFmt w:val="bullet"/>
      <w:lvlText w:val="•"/>
      <w:lvlJc w:val="left"/>
      <w:pPr>
        <w:tabs>
          <w:tab w:val="num" w:pos="1440"/>
        </w:tabs>
        <w:ind w:left="1440" w:hanging="360"/>
      </w:pPr>
      <w:rPr>
        <w:rFonts w:ascii="Arial" w:hAnsi="Arial" w:hint="default"/>
      </w:rPr>
    </w:lvl>
    <w:lvl w:ilvl="2" w:tplc="979A5842" w:tentative="1">
      <w:start w:val="1"/>
      <w:numFmt w:val="bullet"/>
      <w:lvlText w:val="•"/>
      <w:lvlJc w:val="left"/>
      <w:pPr>
        <w:tabs>
          <w:tab w:val="num" w:pos="2160"/>
        </w:tabs>
        <w:ind w:left="2160" w:hanging="360"/>
      </w:pPr>
      <w:rPr>
        <w:rFonts w:ascii="Arial" w:hAnsi="Arial" w:hint="default"/>
      </w:rPr>
    </w:lvl>
    <w:lvl w:ilvl="3" w:tplc="3266CE78" w:tentative="1">
      <w:start w:val="1"/>
      <w:numFmt w:val="bullet"/>
      <w:lvlText w:val="•"/>
      <w:lvlJc w:val="left"/>
      <w:pPr>
        <w:tabs>
          <w:tab w:val="num" w:pos="2880"/>
        </w:tabs>
        <w:ind w:left="2880" w:hanging="360"/>
      </w:pPr>
      <w:rPr>
        <w:rFonts w:ascii="Arial" w:hAnsi="Arial" w:hint="default"/>
      </w:rPr>
    </w:lvl>
    <w:lvl w:ilvl="4" w:tplc="77602074" w:tentative="1">
      <w:start w:val="1"/>
      <w:numFmt w:val="bullet"/>
      <w:lvlText w:val="•"/>
      <w:lvlJc w:val="left"/>
      <w:pPr>
        <w:tabs>
          <w:tab w:val="num" w:pos="3600"/>
        </w:tabs>
        <w:ind w:left="3600" w:hanging="360"/>
      </w:pPr>
      <w:rPr>
        <w:rFonts w:ascii="Arial" w:hAnsi="Arial" w:hint="default"/>
      </w:rPr>
    </w:lvl>
    <w:lvl w:ilvl="5" w:tplc="6B366246" w:tentative="1">
      <w:start w:val="1"/>
      <w:numFmt w:val="bullet"/>
      <w:lvlText w:val="•"/>
      <w:lvlJc w:val="left"/>
      <w:pPr>
        <w:tabs>
          <w:tab w:val="num" w:pos="4320"/>
        </w:tabs>
        <w:ind w:left="4320" w:hanging="360"/>
      </w:pPr>
      <w:rPr>
        <w:rFonts w:ascii="Arial" w:hAnsi="Arial" w:hint="default"/>
      </w:rPr>
    </w:lvl>
    <w:lvl w:ilvl="6" w:tplc="7E9A3B16" w:tentative="1">
      <w:start w:val="1"/>
      <w:numFmt w:val="bullet"/>
      <w:lvlText w:val="•"/>
      <w:lvlJc w:val="left"/>
      <w:pPr>
        <w:tabs>
          <w:tab w:val="num" w:pos="5040"/>
        </w:tabs>
        <w:ind w:left="5040" w:hanging="360"/>
      </w:pPr>
      <w:rPr>
        <w:rFonts w:ascii="Arial" w:hAnsi="Arial" w:hint="default"/>
      </w:rPr>
    </w:lvl>
    <w:lvl w:ilvl="7" w:tplc="411C4300" w:tentative="1">
      <w:start w:val="1"/>
      <w:numFmt w:val="bullet"/>
      <w:lvlText w:val="•"/>
      <w:lvlJc w:val="left"/>
      <w:pPr>
        <w:tabs>
          <w:tab w:val="num" w:pos="5760"/>
        </w:tabs>
        <w:ind w:left="5760" w:hanging="360"/>
      </w:pPr>
      <w:rPr>
        <w:rFonts w:ascii="Arial" w:hAnsi="Arial" w:hint="default"/>
      </w:rPr>
    </w:lvl>
    <w:lvl w:ilvl="8" w:tplc="C33202B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2D76B9"/>
    <w:multiLevelType w:val="hybridMultilevel"/>
    <w:tmpl w:val="EEC0E2D4"/>
    <w:lvl w:ilvl="0" w:tplc="5CE8A9E2">
      <w:start w:val="1"/>
      <w:numFmt w:val="bullet"/>
      <w:lvlText w:val=""/>
      <w:lvlJc w:val="left"/>
      <w:pPr>
        <w:tabs>
          <w:tab w:val="num" w:pos="720"/>
        </w:tabs>
        <w:ind w:left="720" w:hanging="360"/>
      </w:pPr>
      <w:rPr>
        <w:rFonts w:ascii="Wingdings" w:hAnsi="Wingdings" w:hint="default"/>
      </w:rPr>
    </w:lvl>
    <w:lvl w:ilvl="1" w:tplc="C010A26E" w:tentative="1">
      <w:start w:val="1"/>
      <w:numFmt w:val="bullet"/>
      <w:lvlText w:val=""/>
      <w:lvlJc w:val="left"/>
      <w:pPr>
        <w:tabs>
          <w:tab w:val="num" w:pos="1440"/>
        </w:tabs>
        <w:ind w:left="1440" w:hanging="360"/>
      </w:pPr>
      <w:rPr>
        <w:rFonts w:ascii="Wingdings" w:hAnsi="Wingdings" w:hint="default"/>
      </w:rPr>
    </w:lvl>
    <w:lvl w:ilvl="2" w:tplc="F576652A" w:tentative="1">
      <w:start w:val="1"/>
      <w:numFmt w:val="bullet"/>
      <w:lvlText w:val=""/>
      <w:lvlJc w:val="left"/>
      <w:pPr>
        <w:tabs>
          <w:tab w:val="num" w:pos="2160"/>
        </w:tabs>
        <w:ind w:left="2160" w:hanging="360"/>
      </w:pPr>
      <w:rPr>
        <w:rFonts w:ascii="Wingdings" w:hAnsi="Wingdings" w:hint="default"/>
      </w:rPr>
    </w:lvl>
    <w:lvl w:ilvl="3" w:tplc="903CAFBE" w:tentative="1">
      <w:start w:val="1"/>
      <w:numFmt w:val="bullet"/>
      <w:lvlText w:val=""/>
      <w:lvlJc w:val="left"/>
      <w:pPr>
        <w:tabs>
          <w:tab w:val="num" w:pos="2880"/>
        </w:tabs>
        <w:ind w:left="2880" w:hanging="360"/>
      </w:pPr>
      <w:rPr>
        <w:rFonts w:ascii="Wingdings" w:hAnsi="Wingdings" w:hint="default"/>
      </w:rPr>
    </w:lvl>
    <w:lvl w:ilvl="4" w:tplc="BA524B4A" w:tentative="1">
      <w:start w:val="1"/>
      <w:numFmt w:val="bullet"/>
      <w:lvlText w:val=""/>
      <w:lvlJc w:val="left"/>
      <w:pPr>
        <w:tabs>
          <w:tab w:val="num" w:pos="3600"/>
        </w:tabs>
        <w:ind w:left="3600" w:hanging="360"/>
      </w:pPr>
      <w:rPr>
        <w:rFonts w:ascii="Wingdings" w:hAnsi="Wingdings" w:hint="default"/>
      </w:rPr>
    </w:lvl>
    <w:lvl w:ilvl="5" w:tplc="E2F21222" w:tentative="1">
      <w:start w:val="1"/>
      <w:numFmt w:val="bullet"/>
      <w:lvlText w:val=""/>
      <w:lvlJc w:val="left"/>
      <w:pPr>
        <w:tabs>
          <w:tab w:val="num" w:pos="4320"/>
        </w:tabs>
        <w:ind w:left="4320" w:hanging="360"/>
      </w:pPr>
      <w:rPr>
        <w:rFonts w:ascii="Wingdings" w:hAnsi="Wingdings" w:hint="default"/>
      </w:rPr>
    </w:lvl>
    <w:lvl w:ilvl="6" w:tplc="0FD6CE08" w:tentative="1">
      <w:start w:val="1"/>
      <w:numFmt w:val="bullet"/>
      <w:lvlText w:val=""/>
      <w:lvlJc w:val="left"/>
      <w:pPr>
        <w:tabs>
          <w:tab w:val="num" w:pos="5040"/>
        </w:tabs>
        <w:ind w:left="5040" w:hanging="360"/>
      </w:pPr>
      <w:rPr>
        <w:rFonts w:ascii="Wingdings" w:hAnsi="Wingdings" w:hint="default"/>
      </w:rPr>
    </w:lvl>
    <w:lvl w:ilvl="7" w:tplc="936C0948" w:tentative="1">
      <w:start w:val="1"/>
      <w:numFmt w:val="bullet"/>
      <w:lvlText w:val=""/>
      <w:lvlJc w:val="left"/>
      <w:pPr>
        <w:tabs>
          <w:tab w:val="num" w:pos="5760"/>
        </w:tabs>
        <w:ind w:left="5760" w:hanging="360"/>
      </w:pPr>
      <w:rPr>
        <w:rFonts w:ascii="Wingdings" w:hAnsi="Wingdings" w:hint="default"/>
      </w:rPr>
    </w:lvl>
    <w:lvl w:ilvl="8" w:tplc="4DE24A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D0761D"/>
    <w:multiLevelType w:val="hybridMultilevel"/>
    <w:tmpl w:val="F0266444"/>
    <w:lvl w:ilvl="0" w:tplc="E416E0A6">
      <w:start w:val="1"/>
      <w:numFmt w:val="bullet"/>
      <w:lvlText w:val="•"/>
      <w:lvlJc w:val="left"/>
      <w:pPr>
        <w:tabs>
          <w:tab w:val="num" w:pos="720"/>
        </w:tabs>
        <w:ind w:left="720" w:hanging="360"/>
      </w:pPr>
      <w:rPr>
        <w:rFonts w:ascii="Arial" w:hAnsi="Arial" w:hint="default"/>
      </w:rPr>
    </w:lvl>
    <w:lvl w:ilvl="1" w:tplc="03504D5E">
      <w:start w:val="1"/>
      <w:numFmt w:val="bullet"/>
      <w:lvlText w:val="•"/>
      <w:lvlJc w:val="left"/>
      <w:pPr>
        <w:tabs>
          <w:tab w:val="num" w:pos="1440"/>
        </w:tabs>
        <w:ind w:left="1440" w:hanging="360"/>
      </w:pPr>
      <w:rPr>
        <w:rFonts w:ascii="Arial" w:hAnsi="Arial" w:hint="default"/>
      </w:rPr>
    </w:lvl>
    <w:lvl w:ilvl="2" w:tplc="6ACEC5BA" w:tentative="1">
      <w:start w:val="1"/>
      <w:numFmt w:val="bullet"/>
      <w:lvlText w:val="•"/>
      <w:lvlJc w:val="left"/>
      <w:pPr>
        <w:tabs>
          <w:tab w:val="num" w:pos="2160"/>
        </w:tabs>
        <w:ind w:left="2160" w:hanging="360"/>
      </w:pPr>
      <w:rPr>
        <w:rFonts w:ascii="Arial" w:hAnsi="Arial" w:hint="default"/>
      </w:rPr>
    </w:lvl>
    <w:lvl w:ilvl="3" w:tplc="E9760B64" w:tentative="1">
      <w:start w:val="1"/>
      <w:numFmt w:val="bullet"/>
      <w:lvlText w:val="•"/>
      <w:lvlJc w:val="left"/>
      <w:pPr>
        <w:tabs>
          <w:tab w:val="num" w:pos="2880"/>
        </w:tabs>
        <w:ind w:left="2880" w:hanging="360"/>
      </w:pPr>
      <w:rPr>
        <w:rFonts w:ascii="Arial" w:hAnsi="Arial" w:hint="default"/>
      </w:rPr>
    </w:lvl>
    <w:lvl w:ilvl="4" w:tplc="5B0A2B6E" w:tentative="1">
      <w:start w:val="1"/>
      <w:numFmt w:val="bullet"/>
      <w:lvlText w:val="•"/>
      <w:lvlJc w:val="left"/>
      <w:pPr>
        <w:tabs>
          <w:tab w:val="num" w:pos="3600"/>
        </w:tabs>
        <w:ind w:left="3600" w:hanging="360"/>
      </w:pPr>
      <w:rPr>
        <w:rFonts w:ascii="Arial" w:hAnsi="Arial" w:hint="default"/>
      </w:rPr>
    </w:lvl>
    <w:lvl w:ilvl="5" w:tplc="830CDEE2" w:tentative="1">
      <w:start w:val="1"/>
      <w:numFmt w:val="bullet"/>
      <w:lvlText w:val="•"/>
      <w:lvlJc w:val="left"/>
      <w:pPr>
        <w:tabs>
          <w:tab w:val="num" w:pos="4320"/>
        </w:tabs>
        <w:ind w:left="4320" w:hanging="360"/>
      </w:pPr>
      <w:rPr>
        <w:rFonts w:ascii="Arial" w:hAnsi="Arial" w:hint="default"/>
      </w:rPr>
    </w:lvl>
    <w:lvl w:ilvl="6" w:tplc="FDF2C468" w:tentative="1">
      <w:start w:val="1"/>
      <w:numFmt w:val="bullet"/>
      <w:lvlText w:val="•"/>
      <w:lvlJc w:val="left"/>
      <w:pPr>
        <w:tabs>
          <w:tab w:val="num" w:pos="5040"/>
        </w:tabs>
        <w:ind w:left="5040" w:hanging="360"/>
      </w:pPr>
      <w:rPr>
        <w:rFonts w:ascii="Arial" w:hAnsi="Arial" w:hint="default"/>
      </w:rPr>
    </w:lvl>
    <w:lvl w:ilvl="7" w:tplc="3E8CFF84" w:tentative="1">
      <w:start w:val="1"/>
      <w:numFmt w:val="bullet"/>
      <w:lvlText w:val="•"/>
      <w:lvlJc w:val="left"/>
      <w:pPr>
        <w:tabs>
          <w:tab w:val="num" w:pos="5760"/>
        </w:tabs>
        <w:ind w:left="5760" w:hanging="360"/>
      </w:pPr>
      <w:rPr>
        <w:rFonts w:ascii="Arial" w:hAnsi="Arial" w:hint="default"/>
      </w:rPr>
    </w:lvl>
    <w:lvl w:ilvl="8" w:tplc="02A82E4C" w:tentative="1">
      <w:start w:val="1"/>
      <w:numFmt w:val="bullet"/>
      <w:lvlText w:val="•"/>
      <w:lvlJc w:val="left"/>
      <w:pPr>
        <w:tabs>
          <w:tab w:val="num" w:pos="6480"/>
        </w:tabs>
        <w:ind w:left="6480" w:hanging="360"/>
      </w:pPr>
      <w:rPr>
        <w:rFonts w:ascii="Arial" w:hAnsi="Arial" w:hint="default"/>
      </w:rPr>
    </w:lvl>
  </w:abstractNum>
  <w:num w:numId="1" w16cid:durableId="1394161771">
    <w:abstractNumId w:val="0"/>
  </w:num>
  <w:num w:numId="2" w16cid:durableId="295531198">
    <w:abstractNumId w:val="2"/>
  </w:num>
  <w:num w:numId="3" w16cid:durableId="1066032510">
    <w:abstractNumId w:val="6"/>
  </w:num>
  <w:num w:numId="4" w16cid:durableId="1799567763">
    <w:abstractNumId w:val="3"/>
  </w:num>
  <w:num w:numId="5" w16cid:durableId="460808205">
    <w:abstractNumId w:val="4"/>
  </w:num>
  <w:num w:numId="6" w16cid:durableId="168378245">
    <w:abstractNumId w:val="5"/>
  </w:num>
  <w:num w:numId="7" w16cid:durableId="2129274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ED"/>
    <w:rsid w:val="000078C6"/>
    <w:rsid w:val="00016CAD"/>
    <w:rsid w:val="00026C7F"/>
    <w:rsid w:val="00056E1A"/>
    <w:rsid w:val="00064A2C"/>
    <w:rsid w:val="000718AC"/>
    <w:rsid w:val="000765D1"/>
    <w:rsid w:val="00091D2D"/>
    <w:rsid w:val="000D1169"/>
    <w:rsid w:val="000E0F56"/>
    <w:rsid w:val="000E5534"/>
    <w:rsid w:val="000E62DE"/>
    <w:rsid w:val="000E6301"/>
    <w:rsid w:val="000F61CE"/>
    <w:rsid w:val="00104830"/>
    <w:rsid w:val="00143FFB"/>
    <w:rsid w:val="0015029B"/>
    <w:rsid w:val="00151120"/>
    <w:rsid w:val="00151157"/>
    <w:rsid w:val="00152EA1"/>
    <w:rsid w:val="0015344F"/>
    <w:rsid w:val="0016244E"/>
    <w:rsid w:val="00166832"/>
    <w:rsid w:val="00173C75"/>
    <w:rsid w:val="00181D7B"/>
    <w:rsid w:val="0018295C"/>
    <w:rsid w:val="00182C87"/>
    <w:rsid w:val="00184615"/>
    <w:rsid w:val="00187100"/>
    <w:rsid w:val="001A3E72"/>
    <w:rsid w:val="001B0537"/>
    <w:rsid w:val="001B5E94"/>
    <w:rsid w:val="001B661E"/>
    <w:rsid w:val="001C4201"/>
    <w:rsid w:val="001C45DF"/>
    <w:rsid w:val="001D2E04"/>
    <w:rsid w:val="001D70C8"/>
    <w:rsid w:val="00216181"/>
    <w:rsid w:val="0023155C"/>
    <w:rsid w:val="002345F1"/>
    <w:rsid w:val="002505E8"/>
    <w:rsid w:val="0025619F"/>
    <w:rsid w:val="00261F27"/>
    <w:rsid w:val="00262B87"/>
    <w:rsid w:val="00271C12"/>
    <w:rsid w:val="00273522"/>
    <w:rsid w:val="0029713B"/>
    <w:rsid w:val="002A5980"/>
    <w:rsid w:val="002B5F8B"/>
    <w:rsid w:val="002C0D66"/>
    <w:rsid w:val="002D2D20"/>
    <w:rsid w:val="002E371E"/>
    <w:rsid w:val="002E6552"/>
    <w:rsid w:val="002F1EDC"/>
    <w:rsid w:val="002F2622"/>
    <w:rsid w:val="002F2ECA"/>
    <w:rsid w:val="00301818"/>
    <w:rsid w:val="00317067"/>
    <w:rsid w:val="00332248"/>
    <w:rsid w:val="00336339"/>
    <w:rsid w:val="00343A5C"/>
    <w:rsid w:val="00353251"/>
    <w:rsid w:val="0035451D"/>
    <w:rsid w:val="003619A3"/>
    <w:rsid w:val="00374891"/>
    <w:rsid w:val="00374CD3"/>
    <w:rsid w:val="00383C2B"/>
    <w:rsid w:val="0039086F"/>
    <w:rsid w:val="00392846"/>
    <w:rsid w:val="00393D68"/>
    <w:rsid w:val="00393F9C"/>
    <w:rsid w:val="00394A1B"/>
    <w:rsid w:val="00397CBC"/>
    <w:rsid w:val="003A40AC"/>
    <w:rsid w:val="003A53B3"/>
    <w:rsid w:val="003B684B"/>
    <w:rsid w:val="003B7571"/>
    <w:rsid w:val="003D169C"/>
    <w:rsid w:val="003D1946"/>
    <w:rsid w:val="003D33A8"/>
    <w:rsid w:val="00403A59"/>
    <w:rsid w:val="00410397"/>
    <w:rsid w:val="00410EA1"/>
    <w:rsid w:val="00431EA6"/>
    <w:rsid w:val="00432BC2"/>
    <w:rsid w:val="00433A67"/>
    <w:rsid w:val="00435BD7"/>
    <w:rsid w:val="0043723B"/>
    <w:rsid w:val="0044581E"/>
    <w:rsid w:val="00447721"/>
    <w:rsid w:val="00474828"/>
    <w:rsid w:val="00483370"/>
    <w:rsid w:val="004926EC"/>
    <w:rsid w:val="00495744"/>
    <w:rsid w:val="00496295"/>
    <w:rsid w:val="004A7123"/>
    <w:rsid w:val="004B1D13"/>
    <w:rsid w:val="004C121C"/>
    <w:rsid w:val="004C1498"/>
    <w:rsid w:val="004D02ED"/>
    <w:rsid w:val="004D1890"/>
    <w:rsid w:val="004D1910"/>
    <w:rsid w:val="004D5B43"/>
    <w:rsid w:val="004E05E6"/>
    <w:rsid w:val="004E45DF"/>
    <w:rsid w:val="004E4A4C"/>
    <w:rsid w:val="004E508B"/>
    <w:rsid w:val="004F3F7C"/>
    <w:rsid w:val="00511DD4"/>
    <w:rsid w:val="00520E7E"/>
    <w:rsid w:val="0052137F"/>
    <w:rsid w:val="00536182"/>
    <w:rsid w:val="00566CC9"/>
    <w:rsid w:val="00574769"/>
    <w:rsid w:val="00574E5D"/>
    <w:rsid w:val="0058049E"/>
    <w:rsid w:val="0058486B"/>
    <w:rsid w:val="00593D84"/>
    <w:rsid w:val="005940E1"/>
    <w:rsid w:val="005A1177"/>
    <w:rsid w:val="005B1C7E"/>
    <w:rsid w:val="005D5CA2"/>
    <w:rsid w:val="005F243D"/>
    <w:rsid w:val="005F4AC9"/>
    <w:rsid w:val="00603C10"/>
    <w:rsid w:val="00637A10"/>
    <w:rsid w:val="0064272A"/>
    <w:rsid w:val="006470E7"/>
    <w:rsid w:val="006523E5"/>
    <w:rsid w:val="0066006C"/>
    <w:rsid w:val="0066654B"/>
    <w:rsid w:val="00675523"/>
    <w:rsid w:val="00685011"/>
    <w:rsid w:val="00687A68"/>
    <w:rsid w:val="0069187A"/>
    <w:rsid w:val="006A5FDF"/>
    <w:rsid w:val="006B1E4E"/>
    <w:rsid w:val="006C0771"/>
    <w:rsid w:val="006C1308"/>
    <w:rsid w:val="006C7D9B"/>
    <w:rsid w:val="006D63CA"/>
    <w:rsid w:val="006E28AE"/>
    <w:rsid w:val="006F309C"/>
    <w:rsid w:val="006F56A0"/>
    <w:rsid w:val="006F6E36"/>
    <w:rsid w:val="00707F21"/>
    <w:rsid w:val="0072069A"/>
    <w:rsid w:val="00721442"/>
    <w:rsid w:val="007319F6"/>
    <w:rsid w:val="00732895"/>
    <w:rsid w:val="0073590A"/>
    <w:rsid w:val="0074118D"/>
    <w:rsid w:val="0074177B"/>
    <w:rsid w:val="00756F47"/>
    <w:rsid w:val="007634DF"/>
    <w:rsid w:val="007638BF"/>
    <w:rsid w:val="00790689"/>
    <w:rsid w:val="00795348"/>
    <w:rsid w:val="00797C75"/>
    <w:rsid w:val="007B4974"/>
    <w:rsid w:val="007C2F3E"/>
    <w:rsid w:val="007C4BA8"/>
    <w:rsid w:val="007D1500"/>
    <w:rsid w:val="007E26FE"/>
    <w:rsid w:val="007E38C5"/>
    <w:rsid w:val="007E60FB"/>
    <w:rsid w:val="007F7A79"/>
    <w:rsid w:val="00807CFC"/>
    <w:rsid w:val="008147AE"/>
    <w:rsid w:val="00817EDC"/>
    <w:rsid w:val="008455B5"/>
    <w:rsid w:val="00852EFD"/>
    <w:rsid w:val="00860ECB"/>
    <w:rsid w:val="008703C1"/>
    <w:rsid w:val="00870F5C"/>
    <w:rsid w:val="00874B80"/>
    <w:rsid w:val="0087515E"/>
    <w:rsid w:val="008770F1"/>
    <w:rsid w:val="008775D4"/>
    <w:rsid w:val="00892B65"/>
    <w:rsid w:val="008B0150"/>
    <w:rsid w:val="008B20EE"/>
    <w:rsid w:val="008C4ED5"/>
    <w:rsid w:val="008C5ACE"/>
    <w:rsid w:val="008F6ADD"/>
    <w:rsid w:val="00910E61"/>
    <w:rsid w:val="009159E7"/>
    <w:rsid w:val="00930B55"/>
    <w:rsid w:val="009318C9"/>
    <w:rsid w:val="00942C54"/>
    <w:rsid w:val="009756CE"/>
    <w:rsid w:val="00976D98"/>
    <w:rsid w:val="0098288A"/>
    <w:rsid w:val="009A0152"/>
    <w:rsid w:val="009A1BFD"/>
    <w:rsid w:val="009B2671"/>
    <w:rsid w:val="009B5676"/>
    <w:rsid w:val="009D4B44"/>
    <w:rsid w:val="009E067A"/>
    <w:rsid w:val="009E6728"/>
    <w:rsid w:val="009F4992"/>
    <w:rsid w:val="009F5115"/>
    <w:rsid w:val="009F6AA3"/>
    <w:rsid w:val="00A27647"/>
    <w:rsid w:val="00A40A59"/>
    <w:rsid w:val="00A4359C"/>
    <w:rsid w:val="00A478D6"/>
    <w:rsid w:val="00A5531F"/>
    <w:rsid w:val="00A57486"/>
    <w:rsid w:val="00A6294E"/>
    <w:rsid w:val="00A677F2"/>
    <w:rsid w:val="00A67FF2"/>
    <w:rsid w:val="00A72736"/>
    <w:rsid w:val="00A77B3A"/>
    <w:rsid w:val="00AB0C1D"/>
    <w:rsid w:val="00AB1C47"/>
    <w:rsid w:val="00AB2BB2"/>
    <w:rsid w:val="00AB382D"/>
    <w:rsid w:val="00AB55FE"/>
    <w:rsid w:val="00AD2C9B"/>
    <w:rsid w:val="00AD6819"/>
    <w:rsid w:val="00AF0AEA"/>
    <w:rsid w:val="00AF5855"/>
    <w:rsid w:val="00B10282"/>
    <w:rsid w:val="00B10A50"/>
    <w:rsid w:val="00B22EED"/>
    <w:rsid w:val="00B30FD0"/>
    <w:rsid w:val="00B315CF"/>
    <w:rsid w:val="00B502F6"/>
    <w:rsid w:val="00B526D4"/>
    <w:rsid w:val="00B5381D"/>
    <w:rsid w:val="00B56212"/>
    <w:rsid w:val="00B8273E"/>
    <w:rsid w:val="00B85341"/>
    <w:rsid w:val="00B91409"/>
    <w:rsid w:val="00BA5D20"/>
    <w:rsid w:val="00BA7113"/>
    <w:rsid w:val="00BC5520"/>
    <w:rsid w:val="00BD60A4"/>
    <w:rsid w:val="00BD7A4B"/>
    <w:rsid w:val="00BE5565"/>
    <w:rsid w:val="00BF2628"/>
    <w:rsid w:val="00BF3E60"/>
    <w:rsid w:val="00C05EE6"/>
    <w:rsid w:val="00C1308A"/>
    <w:rsid w:val="00C1748E"/>
    <w:rsid w:val="00C44080"/>
    <w:rsid w:val="00C563D0"/>
    <w:rsid w:val="00C56DF2"/>
    <w:rsid w:val="00C67258"/>
    <w:rsid w:val="00C773E2"/>
    <w:rsid w:val="00C80047"/>
    <w:rsid w:val="00C8043F"/>
    <w:rsid w:val="00C82762"/>
    <w:rsid w:val="00C95028"/>
    <w:rsid w:val="00CA2D82"/>
    <w:rsid w:val="00CB38AC"/>
    <w:rsid w:val="00CB56E9"/>
    <w:rsid w:val="00CB587A"/>
    <w:rsid w:val="00CB5F7B"/>
    <w:rsid w:val="00CC177D"/>
    <w:rsid w:val="00D00610"/>
    <w:rsid w:val="00D007F9"/>
    <w:rsid w:val="00D278F5"/>
    <w:rsid w:val="00D35F65"/>
    <w:rsid w:val="00D52D9C"/>
    <w:rsid w:val="00D57721"/>
    <w:rsid w:val="00D61119"/>
    <w:rsid w:val="00D65016"/>
    <w:rsid w:val="00D65CE1"/>
    <w:rsid w:val="00D710F6"/>
    <w:rsid w:val="00DA4BA7"/>
    <w:rsid w:val="00DB236B"/>
    <w:rsid w:val="00DB24FF"/>
    <w:rsid w:val="00DB39D1"/>
    <w:rsid w:val="00DD4568"/>
    <w:rsid w:val="00DE6052"/>
    <w:rsid w:val="00DF4B85"/>
    <w:rsid w:val="00E01ADC"/>
    <w:rsid w:val="00E20A6E"/>
    <w:rsid w:val="00E21548"/>
    <w:rsid w:val="00E242E6"/>
    <w:rsid w:val="00E26B65"/>
    <w:rsid w:val="00E3266A"/>
    <w:rsid w:val="00E33DC6"/>
    <w:rsid w:val="00E40DA8"/>
    <w:rsid w:val="00E54145"/>
    <w:rsid w:val="00E73AA8"/>
    <w:rsid w:val="00E810FA"/>
    <w:rsid w:val="00E81A94"/>
    <w:rsid w:val="00E825BA"/>
    <w:rsid w:val="00E83141"/>
    <w:rsid w:val="00E90993"/>
    <w:rsid w:val="00E92B12"/>
    <w:rsid w:val="00EA5167"/>
    <w:rsid w:val="00EB1268"/>
    <w:rsid w:val="00EB4605"/>
    <w:rsid w:val="00EB4FF4"/>
    <w:rsid w:val="00EC4540"/>
    <w:rsid w:val="00ED1582"/>
    <w:rsid w:val="00EF2837"/>
    <w:rsid w:val="00F15643"/>
    <w:rsid w:val="00F250A3"/>
    <w:rsid w:val="00F251FD"/>
    <w:rsid w:val="00F2640C"/>
    <w:rsid w:val="00F265AB"/>
    <w:rsid w:val="00F374CD"/>
    <w:rsid w:val="00F50E19"/>
    <w:rsid w:val="00F82905"/>
    <w:rsid w:val="00F9497D"/>
    <w:rsid w:val="00FA12EA"/>
    <w:rsid w:val="00FB6618"/>
    <w:rsid w:val="00FC0915"/>
    <w:rsid w:val="00FC32D5"/>
    <w:rsid w:val="00FC4D65"/>
    <w:rsid w:val="00FC58DE"/>
    <w:rsid w:val="00FD2234"/>
    <w:rsid w:val="00FD4598"/>
    <w:rsid w:val="00FD55E6"/>
    <w:rsid w:val="00FD7A4B"/>
    <w:rsid w:val="00FE4BB2"/>
    <w:rsid w:val="00FE60D0"/>
    <w:rsid w:val="00FF1696"/>
    <w:rsid w:val="00FF4F7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9BE3"/>
  <w15:chartTrackingRefBased/>
  <w15:docId w15:val="{D7FA903F-121E-45CB-8CD4-1563F7FB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22E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1"/>
    <w:unhideWhenUsed/>
    <w:qFormat/>
    <w:rsid w:val="00B22E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22EE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22EE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22EE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22EE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22EE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22EE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22EE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22EE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22EE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22EE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22EE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22EE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22EE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22EE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22EE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22EED"/>
    <w:rPr>
      <w:rFonts w:eastAsiaTheme="majorEastAsia" w:cstheme="majorBidi"/>
      <w:color w:val="272727" w:themeColor="text1" w:themeTint="D8"/>
    </w:rPr>
  </w:style>
  <w:style w:type="paragraph" w:styleId="Tytu">
    <w:name w:val="Title"/>
    <w:basedOn w:val="Normalny"/>
    <w:next w:val="Normalny"/>
    <w:link w:val="TytuZnak"/>
    <w:uiPriority w:val="10"/>
    <w:qFormat/>
    <w:rsid w:val="00B22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22EE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22EE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22EE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22EED"/>
    <w:pPr>
      <w:spacing w:before="160"/>
      <w:jc w:val="center"/>
    </w:pPr>
    <w:rPr>
      <w:i/>
      <w:iCs/>
      <w:color w:val="404040" w:themeColor="text1" w:themeTint="BF"/>
    </w:rPr>
  </w:style>
  <w:style w:type="character" w:customStyle="1" w:styleId="CytatZnak">
    <w:name w:val="Cytat Znak"/>
    <w:basedOn w:val="Domylnaczcionkaakapitu"/>
    <w:link w:val="Cytat"/>
    <w:uiPriority w:val="29"/>
    <w:rsid w:val="00B22EED"/>
    <w:rPr>
      <w:i/>
      <w:iCs/>
      <w:color w:val="404040" w:themeColor="text1" w:themeTint="BF"/>
    </w:rPr>
  </w:style>
  <w:style w:type="paragraph" w:styleId="Akapitzlist">
    <w:name w:val="List Paragraph"/>
    <w:basedOn w:val="Normalny"/>
    <w:uiPriority w:val="34"/>
    <w:qFormat/>
    <w:rsid w:val="00B22EED"/>
    <w:pPr>
      <w:ind w:left="720"/>
      <w:contextualSpacing/>
    </w:pPr>
  </w:style>
  <w:style w:type="character" w:styleId="Wyrnienieintensywne">
    <w:name w:val="Intense Emphasis"/>
    <w:basedOn w:val="Domylnaczcionkaakapitu"/>
    <w:uiPriority w:val="21"/>
    <w:qFormat/>
    <w:rsid w:val="00B22EED"/>
    <w:rPr>
      <w:i/>
      <w:iCs/>
      <w:color w:val="0F4761" w:themeColor="accent1" w:themeShade="BF"/>
    </w:rPr>
  </w:style>
  <w:style w:type="paragraph" w:styleId="Cytatintensywny">
    <w:name w:val="Intense Quote"/>
    <w:basedOn w:val="Normalny"/>
    <w:next w:val="Normalny"/>
    <w:link w:val="CytatintensywnyZnak"/>
    <w:uiPriority w:val="30"/>
    <w:qFormat/>
    <w:rsid w:val="00B22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22EED"/>
    <w:rPr>
      <w:i/>
      <w:iCs/>
      <w:color w:val="0F4761" w:themeColor="accent1" w:themeShade="BF"/>
    </w:rPr>
  </w:style>
  <w:style w:type="character" w:styleId="Odwoanieintensywne">
    <w:name w:val="Intense Reference"/>
    <w:basedOn w:val="Domylnaczcionkaakapitu"/>
    <w:uiPriority w:val="32"/>
    <w:qFormat/>
    <w:rsid w:val="00B22EED"/>
    <w:rPr>
      <w:b/>
      <w:bCs/>
      <w:smallCaps/>
      <w:color w:val="0F4761" w:themeColor="accent1" w:themeShade="BF"/>
      <w:spacing w:val="5"/>
    </w:rPr>
  </w:style>
  <w:style w:type="paragraph" w:styleId="Tekstprzypisudolnego">
    <w:name w:val="footnote text"/>
    <w:basedOn w:val="Normalny"/>
    <w:link w:val="TekstprzypisudolnegoZnak"/>
    <w:uiPriority w:val="99"/>
    <w:semiHidden/>
    <w:unhideWhenUsed/>
    <w:rsid w:val="00C950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95028"/>
    <w:rPr>
      <w:sz w:val="20"/>
      <w:szCs w:val="20"/>
    </w:rPr>
  </w:style>
  <w:style w:type="character" w:styleId="Odwoanieprzypisudolnego">
    <w:name w:val="footnote reference"/>
    <w:basedOn w:val="Domylnaczcionkaakapitu"/>
    <w:uiPriority w:val="99"/>
    <w:semiHidden/>
    <w:unhideWhenUsed/>
    <w:rsid w:val="00C95028"/>
    <w:rPr>
      <w:vertAlign w:val="superscript"/>
    </w:rPr>
  </w:style>
  <w:style w:type="character" w:styleId="Hipercze">
    <w:name w:val="Hyperlink"/>
    <w:basedOn w:val="Domylnaczcionkaakapitu"/>
    <w:uiPriority w:val="99"/>
    <w:unhideWhenUsed/>
    <w:rsid w:val="00910E61"/>
    <w:rPr>
      <w:color w:val="467886" w:themeColor="hyperlink"/>
      <w:u w:val="single"/>
    </w:rPr>
  </w:style>
  <w:style w:type="character" w:styleId="Nierozpoznanawzmianka">
    <w:name w:val="Unresolved Mention"/>
    <w:basedOn w:val="Domylnaczcionkaakapitu"/>
    <w:uiPriority w:val="99"/>
    <w:semiHidden/>
    <w:unhideWhenUsed/>
    <w:rsid w:val="00910E61"/>
    <w:rPr>
      <w:color w:val="605E5C"/>
      <w:shd w:val="clear" w:color="auto" w:fill="E1DFDD"/>
    </w:rPr>
  </w:style>
  <w:style w:type="paragraph" w:styleId="NormalnyWeb">
    <w:name w:val="Normal (Web)"/>
    <w:basedOn w:val="Normalny"/>
    <w:uiPriority w:val="99"/>
    <w:semiHidden/>
    <w:unhideWhenUsed/>
    <w:rsid w:val="006F56A0"/>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Odwoaniedokomentarza">
    <w:name w:val="annotation reference"/>
    <w:basedOn w:val="Domylnaczcionkaakapitu"/>
    <w:uiPriority w:val="99"/>
    <w:semiHidden/>
    <w:unhideWhenUsed/>
    <w:rsid w:val="002E371E"/>
    <w:rPr>
      <w:sz w:val="16"/>
      <w:szCs w:val="16"/>
    </w:rPr>
  </w:style>
  <w:style w:type="paragraph" w:styleId="Tekstkomentarza">
    <w:name w:val="annotation text"/>
    <w:basedOn w:val="Normalny"/>
    <w:link w:val="TekstkomentarzaZnak"/>
    <w:uiPriority w:val="99"/>
    <w:unhideWhenUsed/>
    <w:rsid w:val="002E371E"/>
    <w:pPr>
      <w:spacing w:line="240" w:lineRule="auto"/>
    </w:pPr>
    <w:rPr>
      <w:sz w:val="20"/>
      <w:szCs w:val="20"/>
    </w:rPr>
  </w:style>
  <w:style w:type="character" w:customStyle="1" w:styleId="TekstkomentarzaZnak">
    <w:name w:val="Tekst komentarza Znak"/>
    <w:basedOn w:val="Domylnaczcionkaakapitu"/>
    <w:link w:val="Tekstkomentarza"/>
    <w:uiPriority w:val="99"/>
    <w:rsid w:val="002E371E"/>
    <w:rPr>
      <w:sz w:val="20"/>
      <w:szCs w:val="20"/>
    </w:rPr>
  </w:style>
  <w:style w:type="paragraph" w:styleId="Tematkomentarza">
    <w:name w:val="annotation subject"/>
    <w:basedOn w:val="Tekstkomentarza"/>
    <w:next w:val="Tekstkomentarza"/>
    <w:link w:val="TematkomentarzaZnak"/>
    <w:uiPriority w:val="99"/>
    <w:semiHidden/>
    <w:unhideWhenUsed/>
    <w:rsid w:val="002E371E"/>
    <w:rPr>
      <w:b/>
      <w:bCs/>
    </w:rPr>
  </w:style>
  <w:style w:type="character" w:customStyle="1" w:styleId="TematkomentarzaZnak">
    <w:name w:val="Temat komentarza Znak"/>
    <w:basedOn w:val="TekstkomentarzaZnak"/>
    <w:link w:val="Tematkomentarza"/>
    <w:uiPriority w:val="99"/>
    <w:semiHidden/>
    <w:rsid w:val="002E371E"/>
    <w:rPr>
      <w:b/>
      <w:bCs/>
      <w:sz w:val="20"/>
      <w:szCs w:val="20"/>
    </w:rPr>
  </w:style>
  <w:style w:type="paragraph" w:customStyle="1" w:styleId="pr-story--text-small">
    <w:name w:val="pr-story--text-small"/>
    <w:basedOn w:val="Normalny"/>
    <w:rsid w:val="00FD4598"/>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pr-story--text-small1">
    <w:name w:val="pr-story--text-small1"/>
    <w:basedOn w:val="Domylnaczcionkaakapitu"/>
    <w:rsid w:val="00FD4598"/>
  </w:style>
  <w:style w:type="paragraph" w:styleId="Poprawka">
    <w:name w:val="Revision"/>
    <w:hidden/>
    <w:uiPriority w:val="99"/>
    <w:semiHidden/>
    <w:rsid w:val="00AB0C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02724">
      <w:bodyDiv w:val="1"/>
      <w:marLeft w:val="0"/>
      <w:marRight w:val="0"/>
      <w:marTop w:val="0"/>
      <w:marBottom w:val="0"/>
      <w:divBdr>
        <w:top w:val="none" w:sz="0" w:space="0" w:color="auto"/>
        <w:left w:val="none" w:sz="0" w:space="0" w:color="auto"/>
        <w:bottom w:val="none" w:sz="0" w:space="0" w:color="auto"/>
        <w:right w:val="none" w:sz="0" w:space="0" w:color="auto"/>
      </w:divBdr>
    </w:div>
    <w:div w:id="176425120">
      <w:bodyDiv w:val="1"/>
      <w:marLeft w:val="0"/>
      <w:marRight w:val="0"/>
      <w:marTop w:val="0"/>
      <w:marBottom w:val="0"/>
      <w:divBdr>
        <w:top w:val="none" w:sz="0" w:space="0" w:color="auto"/>
        <w:left w:val="none" w:sz="0" w:space="0" w:color="auto"/>
        <w:bottom w:val="none" w:sz="0" w:space="0" w:color="auto"/>
        <w:right w:val="none" w:sz="0" w:space="0" w:color="auto"/>
      </w:divBdr>
      <w:divsChild>
        <w:div w:id="27684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336004">
      <w:bodyDiv w:val="1"/>
      <w:marLeft w:val="0"/>
      <w:marRight w:val="0"/>
      <w:marTop w:val="0"/>
      <w:marBottom w:val="0"/>
      <w:divBdr>
        <w:top w:val="none" w:sz="0" w:space="0" w:color="auto"/>
        <w:left w:val="none" w:sz="0" w:space="0" w:color="auto"/>
        <w:bottom w:val="none" w:sz="0" w:space="0" w:color="auto"/>
        <w:right w:val="none" w:sz="0" w:space="0" w:color="auto"/>
      </w:divBdr>
    </w:div>
    <w:div w:id="568268973">
      <w:bodyDiv w:val="1"/>
      <w:marLeft w:val="0"/>
      <w:marRight w:val="0"/>
      <w:marTop w:val="0"/>
      <w:marBottom w:val="0"/>
      <w:divBdr>
        <w:top w:val="none" w:sz="0" w:space="0" w:color="auto"/>
        <w:left w:val="none" w:sz="0" w:space="0" w:color="auto"/>
        <w:bottom w:val="none" w:sz="0" w:space="0" w:color="auto"/>
        <w:right w:val="none" w:sz="0" w:space="0" w:color="auto"/>
      </w:divBdr>
      <w:divsChild>
        <w:div w:id="893472434">
          <w:marLeft w:val="446"/>
          <w:marRight w:val="0"/>
          <w:marTop w:val="300"/>
          <w:marBottom w:val="0"/>
          <w:divBdr>
            <w:top w:val="none" w:sz="0" w:space="0" w:color="auto"/>
            <w:left w:val="none" w:sz="0" w:space="0" w:color="auto"/>
            <w:bottom w:val="none" w:sz="0" w:space="0" w:color="auto"/>
            <w:right w:val="none" w:sz="0" w:space="0" w:color="auto"/>
          </w:divBdr>
        </w:div>
        <w:div w:id="1368750058">
          <w:marLeft w:val="446"/>
          <w:marRight w:val="0"/>
          <w:marTop w:val="300"/>
          <w:marBottom w:val="0"/>
          <w:divBdr>
            <w:top w:val="none" w:sz="0" w:space="0" w:color="auto"/>
            <w:left w:val="none" w:sz="0" w:space="0" w:color="auto"/>
            <w:bottom w:val="none" w:sz="0" w:space="0" w:color="auto"/>
            <w:right w:val="none" w:sz="0" w:space="0" w:color="auto"/>
          </w:divBdr>
        </w:div>
        <w:div w:id="1696077950">
          <w:marLeft w:val="446"/>
          <w:marRight w:val="0"/>
          <w:marTop w:val="300"/>
          <w:marBottom w:val="0"/>
          <w:divBdr>
            <w:top w:val="none" w:sz="0" w:space="0" w:color="auto"/>
            <w:left w:val="none" w:sz="0" w:space="0" w:color="auto"/>
            <w:bottom w:val="none" w:sz="0" w:space="0" w:color="auto"/>
            <w:right w:val="none" w:sz="0" w:space="0" w:color="auto"/>
          </w:divBdr>
        </w:div>
        <w:div w:id="1919706799">
          <w:marLeft w:val="446"/>
          <w:marRight w:val="0"/>
          <w:marTop w:val="300"/>
          <w:marBottom w:val="0"/>
          <w:divBdr>
            <w:top w:val="none" w:sz="0" w:space="0" w:color="auto"/>
            <w:left w:val="none" w:sz="0" w:space="0" w:color="auto"/>
            <w:bottom w:val="none" w:sz="0" w:space="0" w:color="auto"/>
            <w:right w:val="none" w:sz="0" w:space="0" w:color="auto"/>
          </w:divBdr>
        </w:div>
      </w:divsChild>
    </w:div>
    <w:div w:id="580795422">
      <w:bodyDiv w:val="1"/>
      <w:marLeft w:val="0"/>
      <w:marRight w:val="0"/>
      <w:marTop w:val="0"/>
      <w:marBottom w:val="0"/>
      <w:divBdr>
        <w:top w:val="none" w:sz="0" w:space="0" w:color="auto"/>
        <w:left w:val="none" w:sz="0" w:space="0" w:color="auto"/>
        <w:bottom w:val="none" w:sz="0" w:space="0" w:color="auto"/>
        <w:right w:val="none" w:sz="0" w:space="0" w:color="auto"/>
      </w:divBdr>
      <w:divsChild>
        <w:div w:id="151868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127870">
      <w:bodyDiv w:val="1"/>
      <w:marLeft w:val="0"/>
      <w:marRight w:val="0"/>
      <w:marTop w:val="0"/>
      <w:marBottom w:val="0"/>
      <w:divBdr>
        <w:top w:val="none" w:sz="0" w:space="0" w:color="auto"/>
        <w:left w:val="none" w:sz="0" w:space="0" w:color="auto"/>
        <w:bottom w:val="none" w:sz="0" w:space="0" w:color="auto"/>
        <w:right w:val="none" w:sz="0" w:space="0" w:color="auto"/>
      </w:divBdr>
    </w:div>
    <w:div w:id="779374082">
      <w:bodyDiv w:val="1"/>
      <w:marLeft w:val="0"/>
      <w:marRight w:val="0"/>
      <w:marTop w:val="0"/>
      <w:marBottom w:val="0"/>
      <w:divBdr>
        <w:top w:val="none" w:sz="0" w:space="0" w:color="auto"/>
        <w:left w:val="none" w:sz="0" w:space="0" w:color="auto"/>
        <w:bottom w:val="none" w:sz="0" w:space="0" w:color="auto"/>
        <w:right w:val="none" w:sz="0" w:space="0" w:color="auto"/>
      </w:divBdr>
      <w:divsChild>
        <w:div w:id="1254321908">
          <w:marLeft w:val="0"/>
          <w:marRight w:val="0"/>
          <w:marTop w:val="0"/>
          <w:marBottom w:val="0"/>
          <w:divBdr>
            <w:top w:val="none" w:sz="0" w:space="0" w:color="auto"/>
            <w:left w:val="none" w:sz="0" w:space="0" w:color="auto"/>
            <w:bottom w:val="none" w:sz="0" w:space="0" w:color="auto"/>
            <w:right w:val="none" w:sz="0" w:space="0" w:color="auto"/>
          </w:divBdr>
          <w:divsChild>
            <w:div w:id="2041279598">
              <w:marLeft w:val="0"/>
              <w:marRight w:val="0"/>
              <w:marTop w:val="0"/>
              <w:marBottom w:val="0"/>
              <w:divBdr>
                <w:top w:val="none" w:sz="0" w:space="0" w:color="auto"/>
                <w:left w:val="none" w:sz="0" w:space="0" w:color="auto"/>
                <w:bottom w:val="none" w:sz="0" w:space="0" w:color="auto"/>
                <w:right w:val="none" w:sz="0" w:space="0" w:color="auto"/>
              </w:divBdr>
            </w:div>
          </w:divsChild>
        </w:div>
        <w:div w:id="1975795019">
          <w:marLeft w:val="0"/>
          <w:marRight w:val="0"/>
          <w:marTop w:val="0"/>
          <w:marBottom w:val="0"/>
          <w:divBdr>
            <w:top w:val="none" w:sz="0" w:space="0" w:color="auto"/>
            <w:left w:val="none" w:sz="0" w:space="0" w:color="auto"/>
            <w:bottom w:val="none" w:sz="0" w:space="0" w:color="auto"/>
            <w:right w:val="none" w:sz="0" w:space="0" w:color="auto"/>
          </w:divBdr>
          <w:divsChild>
            <w:div w:id="2779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0183">
      <w:bodyDiv w:val="1"/>
      <w:marLeft w:val="0"/>
      <w:marRight w:val="0"/>
      <w:marTop w:val="0"/>
      <w:marBottom w:val="0"/>
      <w:divBdr>
        <w:top w:val="none" w:sz="0" w:space="0" w:color="auto"/>
        <w:left w:val="none" w:sz="0" w:space="0" w:color="auto"/>
        <w:bottom w:val="none" w:sz="0" w:space="0" w:color="auto"/>
        <w:right w:val="none" w:sz="0" w:space="0" w:color="auto"/>
      </w:divBdr>
      <w:divsChild>
        <w:div w:id="431556568">
          <w:marLeft w:val="0"/>
          <w:marRight w:val="0"/>
          <w:marTop w:val="0"/>
          <w:marBottom w:val="0"/>
          <w:divBdr>
            <w:top w:val="none" w:sz="0" w:space="0" w:color="auto"/>
            <w:left w:val="none" w:sz="0" w:space="0" w:color="auto"/>
            <w:bottom w:val="none" w:sz="0" w:space="0" w:color="auto"/>
            <w:right w:val="none" w:sz="0" w:space="0" w:color="auto"/>
          </w:divBdr>
          <w:divsChild>
            <w:div w:id="1272124388">
              <w:marLeft w:val="0"/>
              <w:marRight w:val="0"/>
              <w:marTop w:val="0"/>
              <w:marBottom w:val="0"/>
              <w:divBdr>
                <w:top w:val="none" w:sz="0" w:space="0" w:color="auto"/>
                <w:left w:val="none" w:sz="0" w:space="0" w:color="auto"/>
                <w:bottom w:val="none" w:sz="0" w:space="0" w:color="auto"/>
                <w:right w:val="none" w:sz="0" w:space="0" w:color="auto"/>
              </w:divBdr>
            </w:div>
          </w:divsChild>
        </w:div>
        <w:div w:id="1638875959">
          <w:marLeft w:val="0"/>
          <w:marRight w:val="0"/>
          <w:marTop w:val="0"/>
          <w:marBottom w:val="0"/>
          <w:divBdr>
            <w:top w:val="none" w:sz="0" w:space="0" w:color="auto"/>
            <w:left w:val="none" w:sz="0" w:space="0" w:color="auto"/>
            <w:bottom w:val="none" w:sz="0" w:space="0" w:color="auto"/>
            <w:right w:val="none" w:sz="0" w:space="0" w:color="auto"/>
          </w:divBdr>
          <w:divsChild>
            <w:div w:id="18325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7638">
      <w:bodyDiv w:val="1"/>
      <w:marLeft w:val="0"/>
      <w:marRight w:val="0"/>
      <w:marTop w:val="0"/>
      <w:marBottom w:val="0"/>
      <w:divBdr>
        <w:top w:val="none" w:sz="0" w:space="0" w:color="auto"/>
        <w:left w:val="none" w:sz="0" w:space="0" w:color="auto"/>
        <w:bottom w:val="none" w:sz="0" w:space="0" w:color="auto"/>
        <w:right w:val="none" w:sz="0" w:space="0" w:color="auto"/>
      </w:divBdr>
    </w:div>
    <w:div w:id="1021277472">
      <w:bodyDiv w:val="1"/>
      <w:marLeft w:val="0"/>
      <w:marRight w:val="0"/>
      <w:marTop w:val="0"/>
      <w:marBottom w:val="0"/>
      <w:divBdr>
        <w:top w:val="none" w:sz="0" w:space="0" w:color="auto"/>
        <w:left w:val="none" w:sz="0" w:space="0" w:color="auto"/>
        <w:bottom w:val="none" w:sz="0" w:space="0" w:color="auto"/>
        <w:right w:val="none" w:sz="0" w:space="0" w:color="auto"/>
      </w:divBdr>
    </w:div>
    <w:div w:id="1276597287">
      <w:bodyDiv w:val="1"/>
      <w:marLeft w:val="0"/>
      <w:marRight w:val="0"/>
      <w:marTop w:val="0"/>
      <w:marBottom w:val="0"/>
      <w:divBdr>
        <w:top w:val="none" w:sz="0" w:space="0" w:color="auto"/>
        <w:left w:val="none" w:sz="0" w:space="0" w:color="auto"/>
        <w:bottom w:val="none" w:sz="0" w:space="0" w:color="auto"/>
        <w:right w:val="none" w:sz="0" w:space="0" w:color="auto"/>
      </w:divBdr>
      <w:divsChild>
        <w:div w:id="52625424">
          <w:marLeft w:val="2160"/>
          <w:marRight w:val="0"/>
          <w:marTop w:val="150"/>
          <w:marBottom w:val="0"/>
          <w:divBdr>
            <w:top w:val="none" w:sz="0" w:space="0" w:color="auto"/>
            <w:left w:val="none" w:sz="0" w:space="0" w:color="auto"/>
            <w:bottom w:val="none" w:sz="0" w:space="0" w:color="auto"/>
            <w:right w:val="none" w:sz="0" w:space="0" w:color="auto"/>
          </w:divBdr>
        </w:div>
        <w:div w:id="183518959">
          <w:marLeft w:val="1627"/>
          <w:marRight w:val="0"/>
          <w:marTop w:val="150"/>
          <w:marBottom w:val="0"/>
          <w:divBdr>
            <w:top w:val="none" w:sz="0" w:space="0" w:color="auto"/>
            <w:left w:val="none" w:sz="0" w:space="0" w:color="auto"/>
            <w:bottom w:val="none" w:sz="0" w:space="0" w:color="auto"/>
            <w:right w:val="none" w:sz="0" w:space="0" w:color="auto"/>
          </w:divBdr>
        </w:div>
        <w:div w:id="411586523">
          <w:marLeft w:val="1627"/>
          <w:marRight w:val="0"/>
          <w:marTop w:val="150"/>
          <w:marBottom w:val="0"/>
          <w:divBdr>
            <w:top w:val="none" w:sz="0" w:space="0" w:color="auto"/>
            <w:left w:val="none" w:sz="0" w:space="0" w:color="auto"/>
            <w:bottom w:val="none" w:sz="0" w:space="0" w:color="auto"/>
            <w:right w:val="none" w:sz="0" w:space="0" w:color="auto"/>
          </w:divBdr>
        </w:div>
        <w:div w:id="697974677">
          <w:marLeft w:val="2074"/>
          <w:marRight w:val="0"/>
          <w:marTop w:val="150"/>
          <w:marBottom w:val="0"/>
          <w:divBdr>
            <w:top w:val="none" w:sz="0" w:space="0" w:color="auto"/>
            <w:left w:val="none" w:sz="0" w:space="0" w:color="auto"/>
            <w:bottom w:val="none" w:sz="0" w:space="0" w:color="auto"/>
            <w:right w:val="none" w:sz="0" w:space="0" w:color="auto"/>
          </w:divBdr>
        </w:div>
        <w:div w:id="746925418">
          <w:marLeft w:val="2160"/>
          <w:marRight w:val="0"/>
          <w:marTop w:val="150"/>
          <w:marBottom w:val="0"/>
          <w:divBdr>
            <w:top w:val="none" w:sz="0" w:space="0" w:color="auto"/>
            <w:left w:val="none" w:sz="0" w:space="0" w:color="auto"/>
            <w:bottom w:val="none" w:sz="0" w:space="0" w:color="auto"/>
            <w:right w:val="none" w:sz="0" w:space="0" w:color="auto"/>
          </w:divBdr>
        </w:div>
        <w:div w:id="852458540">
          <w:marLeft w:val="2160"/>
          <w:marRight w:val="0"/>
          <w:marTop w:val="150"/>
          <w:marBottom w:val="0"/>
          <w:divBdr>
            <w:top w:val="none" w:sz="0" w:space="0" w:color="auto"/>
            <w:left w:val="none" w:sz="0" w:space="0" w:color="auto"/>
            <w:bottom w:val="none" w:sz="0" w:space="0" w:color="auto"/>
            <w:right w:val="none" w:sz="0" w:space="0" w:color="auto"/>
          </w:divBdr>
        </w:div>
        <w:div w:id="853346504">
          <w:marLeft w:val="1627"/>
          <w:marRight w:val="0"/>
          <w:marTop w:val="150"/>
          <w:marBottom w:val="0"/>
          <w:divBdr>
            <w:top w:val="none" w:sz="0" w:space="0" w:color="auto"/>
            <w:left w:val="none" w:sz="0" w:space="0" w:color="auto"/>
            <w:bottom w:val="none" w:sz="0" w:space="0" w:color="auto"/>
            <w:right w:val="none" w:sz="0" w:space="0" w:color="auto"/>
          </w:divBdr>
        </w:div>
        <w:div w:id="1261521120">
          <w:marLeft w:val="2074"/>
          <w:marRight w:val="0"/>
          <w:marTop w:val="150"/>
          <w:marBottom w:val="0"/>
          <w:divBdr>
            <w:top w:val="none" w:sz="0" w:space="0" w:color="auto"/>
            <w:left w:val="none" w:sz="0" w:space="0" w:color="auto"/>
            <w:bottom w:val="none" w:sz="0" w:space="0" w:color="auto"/>
            <w:right w:val="none" w:sz="0" w:space="0" w:color="auto"/>
          </w:divBdr>
        </w:div>
        <w:div w:id="1305157764">
          <w:marLeft w:val="2160"/>
          <w:marRight w:val="0"/>
          <w:marTop w:val="150"/>
          <w:marBottom w:val="0"/>
          <w:divBdr>
            <w:top w:val="none" w:sz="0" w:space="0" w:color="auto"/>
            <w:left w:val="none" w:sz="0" w:space="0" w:color="auto"/>
            <w:bottom w:val="none" w:sz="0" w:space="0" w:color="auto"/>
            <w:right w:val="none" w:sz="0" w:space="0" w:color="auto"/>
          </w:divBdr>
        </w:div>
        <w:div w:id="1440759367">
          <w:marLeft w:val="1627"/>
          <w:marRight w:val="0"/>
          <w:marTop w:val="150"/>
          <w:marBottom w:val="0"/>
          <w:divBdr>
            <w:top w:val="none" w:sz="0" w:space="0" w:color="auto"/>
            <w:left w:val="none" w:sz="0" w:space="0" w:color="auto"/>
            <w:bottom w:val="none" w:sz="0" w:space="0" w:color="auto"/>
            <w:right w:val="none" w:sz="0" w:space="0" w:color="auto"/>
          </w:divBdr>
        </w:div>
      </w:divsChild>
    </w:div>
    <w:div w:id="1420103008">
      <w:bodyDiv w:val="1"/>
      <w:marLeft w:val="0"/>
      <w:marRight w:val="0"/>
      <w:marTop w:val="0"/>
      <w:marBottom w:val="0"/>
      <w:divBdr>
        <w:top w:val="none" w:sz="0" w:space="0" w:color="auto"/>
        <w:left w:val="none" w:sz="0" w:space="0" w:color="auto"/>
        <w:bottom w:val="none" w:sz="0" w:space="0" w:color="auto"/>
        <w:right w:val="none" w:sz="0" w:space="0" w:color="auto"/>
      </w:divBdr>
    </w:div>
    <w:div w:id="1435789203">
      <w:bodyDiv w:val="1"/>
      <w:marLeft w:val="0"/>
      <w:marRight w:val="0"/>
      <w:marTop w:val="0"/>
      <w:marBottom w:val="0"/>
      <w:divBdr>
        <w:top w:val="none" w:sz="0" w:space="0" w:color="auto"/>
        <w:left w:val="none" w:sz="0" w:space="0" w:color="auto"/>
        <w:bottom w:val="none" w:sz="0" w:space="0" w:color="auto"/>
        <w:right w:val="none" w:sz="0" w:space="0" w:color="auto"/>
      </w:divBdr>
      <w:divsChild>
        <w:div w:id="91511285">
          <w:marLeft w:val="446"/>
          <w:marRight w:val="0"/>
          <w:marTop w:val="240"/>
          <w:marBottom w:val="240"/>
          <w:divBdr>
            <w:top w:val="none" w:sz="0" w:space="0" w:color="auto"/>
            <w:left w:val="none" w:sz="0" w:space="0" w:color="auto"/>
            <w:bottom w:val="none" w:sz="0" w:space="0" w:color="auto"/>
            <w:right w:val="none" w:sz="0" w:space="0" w:color="auto"/>
          </w:divBdr>
        </w:div>
        <w:div w:id="1037512359">
          <w:marLeft w:val="446"/>
          <w:marRight w:val="0"/>
          <w:marTop w:val="240"/>
          <w:marBottom w:val="240"/>
          <w:divBdr>
            <w:top w:val="none" w:sz="0" w:space="0" w:color="auto"/>
            <w:left w:val="none" w:sz="0" w:space="0" w:color="auto"/>
            <w:bottom w:val="none" w:sz="0" w:space="0" w:color="auto"/>
            <w:right w:val="none" w:sz="0" w:space="0" w:color="auto"/>
          </w:divBdr>
        </w:div>
        <w:div w:id="1640256683">
          <w:marLeft w:val="446"/>
          <w:marRight w:val="0"/>
          <w:marTop w:val="240"/>
          <w:marBottom w:val="240"/>
          <w:divBdr>
            <w:top w:val="none" w:sz="0" w:space="0" w:color="auto"/>
            <w:left w:val="none" w:sz="0" w:space="0" w:color="auto"/>
            <w:bottom w:val="none" w:sz="0" w:space="0" w:color="auto"/>
            <w:right w:val="none" w:sz="0" w:space="0" w:color="auto"/>
          </w:divBdr>
        </w:div>
        <w:div w:id="1708481898">
          <w:marLeft w:val="446"/>
          <w:marRight w:val="0"/>
          <w:marTop w:val="240"/>
          <w:marBottom w:val="240"/>
          <w:divBdr>
            <w:top w:val="none" w:sz="0" w:space="0" w:color="auto"/>
            <w:left w:val="none" w:sz="0" w:space="0" w:color="auto"/>
            <w:bottom w:val="none" w:sz="0" w:space="0" w:color="auto"/>
            <w:right w:val="none" w:sz="0" w:space="0" w:color="auto"/>
          </w:divBdr>
        </w:div>
      </w:divsChild>
    </w:div>
    <w:div w:id="1715613920">
      <w:bodyDiv w:val="1"/>
      <w:marLeft w:val="0"/>
      <w:marRight w:val="0"/>
      <w:marTop w:val="0"/>
      <w:marBottom w:val="0"/>
      <w:divBdr>
        <w:top w:val="none" w:sz="0" w:space="0" w:color="auto"/>
        <w:left w:val="none" w:sz="0" w:space="0" w:color="auto"/>
        <w:bottom w:val="none" w:sz="0" w:space="0" w:color="auto"/>
        <w:right w:val="none" w:sz="0" w:space="0" w:color="auto"/>
      </w:divBdr>
    </w:div>
    <w:div w:id="182893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prasowe@benefitsystems.pl" TargetMode="External"/><Relationship Id="rId5" Type="http://schemas.openxmlformats.org/officeDocument/2006/relationships/webSettings" Target="webSettings.xml"/><Relationship Id="rId10" Type="http://schemas.openxmlformats.org/officeDocument/2006/relationships/hyperlink" Target="mailto:s.dobrowolska@benefitsystems.pl" TargetMode="External"/><Relationship Id="rId4" Type="http://schemas.openxmlformats.org/officeDocument/2006/relationships/settings" Target="settings.xml"/><Relationship Id="rId9" Type="http://schemas.openxmlformats.org/officeDocument/2006/relationships/hyperlink" Target="mailto:a.bemowska@benefitsystem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3C61D-BC24-483C-BC14-BC2F496C1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1435</Words>
  <Characters>8611</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Dobrowolska</dc:creator>
  <cp:keywords/>
  <dc:description/>
  <cp:lastModifiedBy>Agnieszka Bemowska-Niewiarowska</cp:lastModifiedBy>
  <cp:revision>3</cp:revision>
  <dcterms:created xsi:type="dcterms:W3CDTF">2025-08-06T09:00:00Z</dcterms:created>
  <dcterms:modified xsi:type="dcterms:W3CDTF">2025-08-06T09:07:00Z</dcterms:modified>
</cp:coreProperties>
</file>