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BB134" w14:textId="35337558" w:rsidR="001062D1" w:rsidRPr="004972E1" w:rsidRDefault="00136098" w:rsidP="00953949">
      <w:pPr>
        <w:spacing w:line="240" w:lineRule="auto"/>
        <w:jc w:val="center"/>
        <w:rPr>
          <w:rStyle w:val="Strong"/>
        </w:rPr>
      </w:pPr>
      <w:r>
        <w:rPr>
          <w:b/>
          <w:bCs/>
        </w:rPr>
        <w:t xml:space="preserve">Udane </w:t>
      </w:r>
      <w:r w:rsidR="00EB76D8">
        <w:rPr>
          <w:b/>
          <w:bCs/>
        </w:rPr>
        <w:t>pierwsze półrocze na biurowych rynkach regionalnych</w:t>
      </w:r>
      <w:r w:rsidR="00426C7F">
        <w:rPr>
          <w:b/>
          <w:bCs/>
        </w:rPr>
        <w:t xml:space="preserve"> </w:t>
      </w:r>
      <w:r w:rsidR="00426C7F">
        <w:rPr>
          <w:sz w:val="20"/>
          <w:szCs w:val="20"/>
        </w:rPr>
        <w:t>–</w:t>
      </w:r>
      <w:r w:rsidR="00C857C0">
        <w:rPr>
          <w:b/>
          <w:bCs/>
        </w:rPr>
        <w:t xml:space="preserve"> Kraków przebija barierę najmu 100 000 mkw. w ciągu jednego kwartału</w:t>
      </w:r>
    </w:p>
    <w:p w14:paraId="073CE247" w14:textId="35310E5A" w:rsidR="004274A1" w:rsidRDefault="00410D62" w:rsidP="00675B1B">
      <w:pPr>
        <w:spacing w:line="240" w:lineRule="auto"/>
        <w:jc w:val="both"/>
        <w:rPr>
          <w:b/>
          <w:bCs/>
          <w:sz w:val="20"/>
          <w:szCs w:val="20"/>
        </w:rPr>
      </w:pPr>
      <w:r w:rsidRPr="00410D62">
        <w:rPr>
          <w:b/>
          <w:bCs/>
          <w:sz w:val="20"/>
          <w:szCs w:val="20"/>
        </w:rPr>
        <w:t xml:space="preserve">Międzynarodowa agencja doradcza Cushman &amp; Wakefield podsumowała sytuację na </w:t>
      </w:r>
      <w:r w:rsidR="00584862">
        <w:rPr>
          <w:b/>
          <w:bCs/>
          <w:sz w:val="20"/>
          <w:szCs w:val="20"/>
        </w:rPr>
        <w:t>największych rynkach biurowych w Polsce</w:t>
      </w:r>
      <w:r w:rsidRPr="00410D62">
        <w:rPr>
          <w:b/>
          <w:bCs/>
          <w:sz w:val="20"/>
          <w:szCs w:val="20"/>
        </w:rPr>
        <w:t xml:space="preserve"> </w:t>
      </w:r>
      <w:r w:rsidR="004274A1">
        <w:rPr>
          <w:b/>
          <w:bCs/>
          <w:sz w:val="20"/>
          <w:szCs w:val="20"/>
        </w:rPr>
        <w:t>na koniec</w:t>
      </w:r>
      <w:r w:rsidR="00F70B21">
        <w:rPr>
          <w:b/>
          <w:bCs/>
          <w:sz w:val="20"/>
          <w:szCs w:val="20"/>
        </w:rPr>
        <w:t xml:space="preserve"> </w:t>
      </w:r>
      <w:r w:rsidR="00EB76D8">
        <w:rPr>
          <w:b/>
          <w:bCs/>
          <w:sz w:val="20"/>
          <w:szCs w:val="20"/>
        </w:rPr>
        <w:t>pierwszej połowy</w:t>
      </w:r>
      <w:r w:rsidR="004274A1">
        <w:rPr>
          <w:b/>
          <w:bCs/>
          <w:sz w:val="20"/>
          <w:szCs w:val="20"/>
        </w:rPr>
        <w:t xml:space="preserve"> </w:t>
      </w:r>
      <w:r w:rsidRPr="00410D62">
        <w:rPr>
          <w:b/>
          <w:bCs/>
          <w:sz w:val="20"/>
          <w:szCs w:val="20"/>
        </w:rPr>
        <w:t>202</w:t>
      </w:r>
      <w:r w:rsidR="00620AD0">
        <w:rPr>
          <w:b/>
          <w:bCs/>
          <w:sz w:val="20"/>
          <w:szCs w:val="20"/>
        </w:rPr>
        <w:t>5</w:t>
      </w:r>
      <w:r w:rsidRPr="00410D62">
        <w:rPr>
          <w:b/>
          <w:bCs/>
          <w:sz w:val="20"/>
          <w:szCs w:val="20"/>
        </w:rPr>
        <w:t xml:space="preserve"> roku. </w:t>
      </w:r>
      <w:r w:rsidR="00EB76D8">
        <w:rPr>
          <w:b/>
          <w:bCs/>
          <w:sz w:val="20"/>
          <w:szCs w:val="20"/>
        </w:rPr>
        <w:t>W Warszawie a</w:t>
      </w:r>
      <w:r w:rsidR="00F70B21">
        <w:rPr>
          <w:b/>
          <w:bCs/>
          <w:sz w:val="20"/>
          <w:szCs w:val="20"/>
        </w:rPr>
        <w:t xml:space="preserve">ktywność najemców </w:t>
      </w:r>
      <w:r w:rsidR="00EB76D8">
        <w:rPr>
          <w:b/>
          <w:bCs/>
          <w:sz w:val="20"/>
          <w:szCs w:val="20"/>
        </w:rPr>
        <w:t>do końca czerwca 2025 roku zanotowała delikatny spadek</w:t>
      </w:r>
      <w:r w:rsidR="007E43DD">
        <w:rPr>
          <w:b/>
          <w:bCs/>
          <w:sz w:val="20"/>
          <w:szCs w:val="20"/>
        </w:rPr>
        <w:t>.</w:t>
      </w:r>
      <w:r w:rsidR="00EB76D8">
        <w:rPr>
          <w:b/>
          <w:bCs/>
          <w:sz w:val="20"/>
          <w:szCs w:val="20"/>
        </w:rPr>
        <w:t xml:space="preserve"> Z kolei dla rynków regionalnych pierwsze półrocze było </w:t>
      </w:r>
      <w:r w:rsidR="00136098">
        <w:rPr>
          <w:b/>
          <w:bCs/>
          <w:sz w:val="20"/>
          <w:szCs w:val="20"/>
        </w:rPr>
        <w:t xml:space="preserve">bardzo </w:t>
      </w:r>
      <w:r w:rsidR="0008799F">
        <w:rPr>
          <w:b/>
          <w:bCs/>
          <w:sz w:val="20"/>
          <w:szCs w:val="20"/>
        </w:rPr>
        <w:t>owocne</w:t>
      </w:r>
      <w:r w:rsidR="00136098">
        <w:rPr>
          <w:b/>
          <w:bCs/>
          <w:sz w:val="20"/>
          <w:szCs w:val="20"/>
        </w:rPr>
        <w:t xml:space="preserve"> </w:t>
      </w:r>
      <w:r w:rsidR="00EB76D8">
        <w:rPr>
          <w:b/>
          <w:bCs/>
          <w:sz w:val="20"/>
          <w:szCs w:val="20"/>
        </w:rPr>
        <w:t xml:space="preserve">pod względem </w:t>
      </w:r>
      <w:r w:rsidR="00136098">
        <w:rPr>
          <w:b/>
          <w:bCs/>
          <w:sz w:val="20"/>
          <w:szCs w:val="20"/>
        </w:rPr>
        <w:t xml:space="preserve">poziomu </w:t>
      </w:r>
      <w:r w:rsidR="00EB76D8">
        <w:rPr>
          <w:b/>
          <w:bCs/>
          <w:sz w:val="20"/>
          <w:szCs w:val="20"/>
        </w:rPr>
        <w:t xml:space="preserve">popytu, bo wyższe aż o 37% r/r. </w:t>
      </w:r>
      <w:r w:rsidR="004972E1">
        <w:rPr>
          <w:b/>
          <w:bCs/>
          <w:sz w:val="20"/>
          <w:szCs w:val="20"/>
        </w:rPr>
        <w:t>Jednocześnie</w:t>
      </w:r>
      <w:r w:rsidR="00EB76D8">
        <w:rPr>
          <w:b/>
          <w:bCs/>
          <w:sz w:val="20"/>
          <w:szCs w:val="20"/>
        </w:rPr>
        <w:t xml:space="preserve"> nową podaż i aktywnoś</w:t>
      </w:r>
      <w:r w:rsidR="00D621B5">
        <w:rPr>
          <w:b/>
          <w:bCs/>
          <w:sz w:val="20"/>
          <w:szCs w:val="20"/>
        </w:rPr>
        <w:t>ć</w:t>
      </w:r>
      <w:r w:rsidR="00EB76D8">
        <w:rPr>
          <w:b/>
          <w:bCs/>
          <w:sz w:val="20"/>
          <w:szCs w:val="20"/>
        </w:rPr>
        <w:t xml:space="preserve"> deweloperską można niezmiennie określić jednym słowem – „stagnacja”.</w:t>
      </w:r>
      <w:r w:rsidR="004972E1">
        <w:rPr>
          <w:b/>
          <w:bCs/>
          <w:sz w:val="20"/>
          <w:szCs w:val="20"/>
        </w:rPr>
        <w:t xml:space="preserve"> </w:t>
      </w:r>
      <w:r w:rsidR="00EB76D8">
        <w:rPr>
          <w:b/>
          <w:bCs/>
          <w:sz w:val="20"/>
          <w:szCs w:val="20"/>
        </w:rPr>
        <w:t>O</w:t>
      </w:r>
      <w:r w:rsidR="004972E1">
        <w:rPr>
          <w:b/>
          <w:bCs/>
          <w:sz w:val="20"/>
          <w:szCs w:val="20"/>
        </w:rPr>
        <w:t>żywieni</w:t>
      </w:r>
      <w:r w:rsidR="00EB76D8">
        <w:rPr>
          <w:b/>
          <w:bCs/>
          <w:sz w:val="20"/>
          <w:szCs w:val="20"/>
        </w:rPr>
        <w:t>a</w:t>
      </w:r>
      <w:r w:rsidR="00333C1F">
        <w:rPr>
          <w:b/>
          <w:bCs/>
          <w:sz w:val="20"/>
          <w:szCs w:val="20"/>
        </w:rPr>
        <w:t xml:space="preserve"> w podaży</w:t>
      </w:r>
      <w:r w:rsidR="00EB76D8">
        <w:rPr>
          <w:b/>
          <w:bCs/>
          <w:sz w:val="20"/>
          <w:szCs w:val="20"/>
        </w:rPr>
        <w:t xml:space="preserve"> i co za tym idzie wyższych wolumenów powierzchni oddawanej do użytku</w:t>
      </w:r>
      <w:r w:rsidR="00D621B5">
        <w:rPr>
          <w:b/>
          <w:bCs/>
          <w:sz w:val="20"/>
          <w:szCs w:val="20"/>
        </w:rPr>
        <w:t xml:space="preserve"> </w:t>
      </w:r>
      <w:r w:rsidR="00EB76D8">
        <w:rPr>
          <w:b/>
          <w:bCs/>
          <w:sz w:val="20"/>
          <w:szCs w:val="20"/>
        </w:rPr>
        <w:t>można spodziewać się</w:t>
      </w:r>
      <w:r w:rsidR="004972E1">
        <w:rPr>
          <w:b/>
          <w:bCs/>
          <w:sz w:val="20"/>
          <w:szCs w:val="20"/>
        </w:rPr>
        <w:t xml:space="preserve"> dopiero </w:t>
      </w:r>
      <w:r w:rsidR="00917C8E">
        <w:rPr>
          <w:b/>
          <w:bCs/>
          <w:sz w:val="20"/>
          <w:szCs w:val="20"/>
        </w:rPr>
        <w:t>po</w:t>
      </w:r>
      <w:r w:rsidR="004972E1">
        <w:rPr>
          <w:b/>
          <w:bCs/>
          <w:sz w:val="20"/>
          <w:szCs w:val="20"/>
        </w:rPr>
        <w:t xml:space="preserve"> 202</w:t>
      </w:r>
      <w:r w:rsidR="00566BCC">
        <w:rPr>
          <w:b/>
          <w:bCs/>
          <w:sz w:val="20"/>
          <w:szCs w:val="20"/>
        </w:rPr>
        <w:t>7</w:t>
      </w:r>
      <w:r w:rsidR="004972E1">
        <w:rPr>
          <w:b/>
          <w:bCs/>
          <w:sz w:val="20"/>
          <w:szCs w:val="20"/>
        </w:rPr>
        <w:t xml:space="preserve"> roku.</w:t>
      </w:r>
    </w:p>
    <w:p w14:paraId="12D3C885" w14:textId="5688E065" w:rsidR="00CE6049" w:rsidRPr="00232060" w:rsidRDefault="00CE6049" w:rsidP="00232060">
      <w:pPr>
        <w:spacing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PODAŻ: nowa podaż najniższa od 14 lat</w:t>
      </w:r>
    </w:p>
    <w:p w14:paraId="5B04AEA6" w14:textId="77777777" w:rsidR="00A71CFC" w:rsidRDefault="00232060" w:rsidP="00232060">
      <w:pPr>
        <w:spacing w:line="240" w:lineRule="auto"/>
        <w:jc w:val="both"/>
        <w:rPr>
          <w:sz w:val="20"/>
          <w:szCs w:val="20"/>
        </w:rPr>
      </w:pPr>
      <w:r w:rsidRPr="00232060">
        <w:rPr>
          <w:sz w:val="20"/>
          <w:szCs w:val="20"/>
        </w:rPr>
        <w:t>Na koniec II kw</w:t>
      </w:r>
      <w:r w:rsidR="00B32C6C">
        <w:rPr>
          <w:sz w:val="20"/>
          <w:szCs w:val="20"/>
        </w:rPr>
        <w:t xml:space="preserve">artału </w:t>
      </w:r>
      <w:r w:rsidRPr="00232060">
        <w:rPr>
          <w:sz w:val="20"/>
          <w:szCs w:val="20"/>
        </w:rPr>
        <w:t>2025 r</w:t>
      </w:r>
      <w:r w:rsidR="00B32C6C">
        <w:rPr>
          <w:sz w:val="20"/>
          <w:szCs w:val="20"/>
        </w:rPr>
        <w:t xml:space="preserve">oku </w:t>
      </w:r>
      <w:r w:rsidRPr="00232060">
        <w:rPr>
          <w:sz w:val="20"/>
          <w:szCs w:val="20"/>
        </w:rPr>
        <w:t>całkowite zasoby nowoczesnej powierzchni biurowej na największych rynkach w Polsce</w:t>
      </w:r>
      <w:r w:rsidR="00B32C6C">
        <w:rPr>
          <w:rStyle w:val="FootnoteReference"/>
          <w:sz w:val="20"/>
          <w:szCs w:val="20"/>
        </w:rPr>
        <w:footnoteReference w:id="2"/>
      </w:r>
      <w:r w:rsidRPr="00232060">
        <w:rPr>
          <w:sz w:val="20"/>
          <w:szCs w:val="20"/>
        </w:rPr>
        <w:t xml:space="preserve"> wyniosły </w:t>
      </w:r>
      <w:r w:rsidR="00B32C6C">
        <w:rPr>
          <w:sz w:val="20"/>
          <w:szCs w:val="20"/>
        </w:rPr>
        <w:t xml:space="preserve">około </w:t>
      </w:r>
      <w:r w:rsidRPr="00232060">
        <w:rPr>
          <w:sz w:val="20"/>
          <w:szCs w:val="20"/>
        </w:rPr>
        <w:t>13,</w:t>
      </w:r>
      <w:r w:rsidR="00B32C6C">
        <w:rPr>
          <w:sz w:val="20"/>
          <w:szCs w:val="20"/>
        </w:rPr>
        <w:t>1</w:t>
      </w:r>
      <w:r w:rsidRPr="00232060">
        <w:rPr>
          <w:sz w:val="20"/>
          <w:szCs w:val="20"/>
        </w:rPr>
        <w:t xml:space="preserve"> m</w:t>
      </w:r>
      <w:r w:rsidR="00B32C6C">
        <w:rPr>
          <w:sz w:val="20"/>
          <w:szCs w:val="20"/>
        </w:rPr>
        <w:t>ln</w:t>
      </w:r>
      <w:r w:rsidRPr="00232060">
        <w:rPr>
          <w:sz w:val="20"/>
          <w:szCs w:val="20"/>
        </w:rPr>
        <w:t xml:space="preserve"> mkw. </w:t>
      </w:r>
    </w:p>
    <w:p w14:paraId="437FAB94" w14:textId="2F485417" w:rsidR="00A71CFC" w:rsidRPr="001866B5" w:rsidRDefault="00A71CFC" w:rsidP="00A71CFC">
      <w:pPr>
        <w:spacing w:line="240" w:lineRule="auto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– </w:t>
      </w:r>
      <w:r w:rsidRPr="00A71CFC">
        <w:rPr>
          <w:i/>
          <w:iCs/>
          <w:sz w:val="20"/>
          <w:szCs w:val="20"/>
        </w:rPr>
        <w:t>Do końca czerwca do użytku oddano przede wszystkim budynki biurowe zlokalizowane w Warszawie. W regionach ukończono</w:t>
      </w:r>
      <w:r w:rsidR="00F36E8E">
        <w:rPr>
          <w:i/>
          <w:iCs/>
          <w:sz w:val="20"/>
          <w:szCs w:val="20"/>
        </w:rPr>
        <w:t xml:space="preserve"> </w:t>
      </w:r>
      <w:r w:rsidRPr="00A71CFC">
        <w:rPr>
          <w:i/>
          <w:iCs/>
          <w:sz w:val="20"/>
          <w:szCs w:val="20"/>
        </w:rPr>
        <w:t xml:space="preserve">bowiem budowę zaledwie jednego biurowca. Tym samym poziom nowej podaży w pierwszej połowie tego roku </w:t>
      </w:r>
      <w:r>
        <w:rPr>
          <w:i/>
          <w:iCs/>
          <w:sz w:val="20"/>
          <w:szCs w:val="20"/>
        </w:rPr>
        <w:t xml:space="preserve">wynoszący niecałe 88 000 mkw. </w:t>
      </w:r>
      <w:r w:rsidRPr="00A71CFC">
        <w:rPr>
          <w:i/>
          <w:iCs/>
          <w:sz w:val="20"/>
          <w:szCs w:val="20"/>
        </w:rPr>
        <w:t>był zbliżony do rezultatu z analogicznego okresu w roku 2011</w:t>
      </w:r>
      <w:r w:rsidR="00CE604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– komentuje </w:t>
      </w:r>
      <w:r>
        <w:rPr>
          <w:b/>
          <w:bCs/>
          <w:sz w:val="20"/>
          <w:szCs w:val="20"/>
        </w:rPr>
        <w:t>Ewa Derlatka-</w:t>
      </w:r>
      <w:proofErr w:type="spellStart"/>
      <w:r>
        <w:rPr>
          <w:b/>
          <w:bCs/>
          <w:sz w:val="20"/>
          <w:szCs w:val="20"/>
        </w:rPr>
        <w:t>Chilewicz</w:t>
      </w:r>
      <w:proofErr w:type="spellEnd"/>
      <w:r>
        <w:rPr>
          <w:b/>
          <w:bCs/>
          <w:sz w:val="20"/>
          <w:szCs w:val="20"/>
        </w:rPr>
        <w:t xml:space="preserve">, </w:t>
      </w:r>
      <w:proofErr w:type="spellStart"/>
      <w:r>
        <w:rPr>
          <w:b/>
          <w:bCs/>
          <w:sz w:val="20"/>
          <w:szCs w:val="20"/>
        </w:rPr>
        <w:t>Head</w:t>
      </w:r>
      <w:proofErr w:type="spellEnd"/>
      <w:r>
        <w:rPr>
          <w:b/>
          <w:bCs/>
          <w:sz w:val="20"/>
          <w:szCs w:val="20"/>
        </w:rPr>
        <w:t xml:space="preserve"> of </w:t>
      </w:r>
      <w:proofErr w:type="spellStart"/>
      <w:r>
        <w:rPr>
          <w:b/>
          <w:bCs/>
          <w:sz w:val="20"/>
          <w:szCs w:val="20"/>
        </w:rPr>
        <w:t>Research</w:t>
      </w:r>
      <w:proofErr w:type="spellEnd"/>
      <w:r>
        <w:rPr>
          <w:b/>
          <w:bCs/>
          <w:sz w:val="20"/>
          <w:szCs w:val="20"/>
        </w:rPr>
        <w:t xml:space="preserve"> Poland</w:t>
      </w:r>
      <w:r>
        <w:rPr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>Cushman &amp; Wakefield.</w:t>
      </w:r>
      <w:r w:rsidRPr="00DA68EF">
        <w:rPr>
          <w:sz w:val="20"/>
          <w:szCs w:val="20"/>
        </w:rPr>
        <w:t xml:space="preserve"> </w:t>
      </w:r>
    </w:p>
    <w:p w14:paraId="4D6A7CF4" w14:textId="797AC9B5" w:rsidR="00232060" w:rsidRPr="00232060" w:rsidRDefault="00A71CFC" w:rsidP="0023206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Największe oddane do użytku</w:t>
      </w:r>
      <w:r w:rsidR="00AD1746">
        <w:rPr>
          <w:sz w:val="20"/>
          <w:szCs w:val="20"/>
        </w:rPr>
        <w:t xml:space="preserve"> w Warszawie</w:t>
      </w:r>
      <w:r>
        <w:rPr>
          <w:sz w:val="20"/>
          <w:szCs w:val="20"/>
        </w:rPr>
        <w:t xml:space="preserve"> biurowce do końca II kwartału to</w:t>
      </w:r>
      <w:r w:rsidR="00232060" w:rsidRPr="00232060">
        <w:rPr>
          <w:sz w:val="20"/>
          <w:szCs w:val="20"/>
        </w:rPr>
        <w:t xml:space="preserve"> The Bridge (47 000 mkw. – </w:t>
      </w:r>
      <w:proofErr w:type="spellStart"/>
      <w:r w:rsidR="00232060" w:rsidRPr="00232060">
        <w:rPr>
          <w:sz w:val="20"/>
          <w:szCs w:val="20"/>
        </w:rPr>
        <w:t>Ghelamco</w:t>
      </w:r>
      <w:proofErr w:type="spellEnd"/>
      <w:r w:rsidR="00232060" w:rsidRPr="00232060">
        <w:rPr>
          <w:sz w:val="20"/>
          <w:szCs w:val="20"/>
        </w:rPr>
        <w:t xml:space="preserve">) oraz Office House (27 800 mkw. – Echo Investment). W miastach regionalnych </w:t>
      </w:r>
      <w:r>
        <w:rPr>
          <w:sz w:val="20"/>
          <w:szCs w:val="20"/>
        </w:rPr>
        <w:t xml:space="preserve">ukończono z kolei budynek </w:t>
      </w:r>
      <w:r w:rsidR="00232060" w:rsidRPr="00232060">
        <w:rPr>
          <w:sz w:val="20"/>
          <w:szCs w:val="20"/>
        </w:rPr>
        <w:t>Dymka 188 w Poznaniu (2400 mkw. – Dom Medialny Św. Wojciech).</w:t>
      </w:r>
    </w:p>
    <w:p w14:paraId="0D9C1CE0" w14:textId="1D117DEE" w:rsidR="00CE6049" w:rsidRDefault="00AD1746" w:rsidP="00CE6049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– </w:t>
      </w:r>
      <w:r w:rsidR="00232060" w:rsidRPr="00136098">
        <w:rPr>
          <w:i/>
          <w:iCs/>
          <w:sz w:val="20"/>
          <w:szCs w:val="20"/>
        </w:rPr>
        <w:t>W</w:t>
      </w:r>
      <w:r w:rsidR="00CE6049" w:rsidRPr="00136098">
        <w:rPr>
          <w:i/>
          <w:iCs/>
          <w:sz w:val="20"/>
          <w:szCs w:val="20"/>
        </w:rPr>
        <w:t xml:space="preserve"> budowie znajduje się obecnie 325</w:t>
      </w:r>
      <w:r w:rsidRPr="00136098">
        <w:rPr>
          <w:i/>
          <w:iCs/>
          <w:sz w:val="20"/>
          <w:szCs w:val="20"/>
        </w:rPr>
        <w:t> </w:t>
      </w:r>
      <w:r w:rsidR="00CE6049" w:rsidRPr="00136098">
        <w:rPr>
          <w:i/>
          <w:iCs/>
          <w:sz w:val="20"/>
          <w:szCs w:val="20"/>
        </w:rPr>
        <w:t>000</w:t>
      </w:r>
      <w:r w:rsidRPr="00136098">
        <w:rPr>
          <w:i/>
          <w:iCs/>
          <w:sz w:val="20"/>
          <w:szCs w:val="20"/>
        </w:rPr>
        <w:t xml:space="preserve"> mkw.</w:t>
      </w:r>
      <w:r w:rsidR="00CE6049" w:rsidRPr="00136098">
        <w:rPr>
          <w:i/>
          <w:iCs/>
          <w:sz w:val="20"/>
          <w:szCs w:val="20"/>
        </w:rPr>
        <w:t xml:space="preserve">, z czego 135 000 </w:t>
      </w:r>
      <w:r w:rsidRPr="00136098">
        <w:rPr>
          <w:i/>
          <w:iCs/>
          <w:sz w:val="20"/>
          <w:szCs w:val="20"/>
        </w:rPr>
        <w:t xml:space="preserve">mkw. </w:t>
      </w:r>
      <w:r w:rsidR="00CE6049" w:rsidRPr="00136098">
        <w:rPr>
          <w:i/>
          <w:iCs/>
          <w:sz w:val="20"/>
          <w:szCs w:val="20"/>
        </w:rPr>
        <w:t xml:space="preserve">przypada na rynek warszawski a 190 000 </w:t>
      </w:r>
      <w:r w:rsidRPr="00136098">
        <w:rPr>
          <w:i/>
          <w:iCs/>
          <w:sz w:val="20"/>
          <w:szCs w:val="20"/>
        </w:rPr>
        <w:t xml:space="preserve">mkw. </w:t>
      </w:r>
      <w:r w:rsidR="00CE6049" w:rsidRPr="00136098">
        <w:rPr>
          <w:i/>
          <w:iCs/>
          <w:sz w:val="20"/>
          <w:szCs w:val="20"/>
        </w:rPr>
        <w:t>na regiony. W</w:t>
      </w:r>
      <w:r w:rsidR="00232060" w:rsidRPr="00136098">
        <w:rPr>
          <w:i/>
          <w:iCs/>
          <w:sz w:val="20"/>
          <w:szCs w:val="20"/>
        </w:rPr>
        <w:t xml:space="preserve">edług szacunków Cushman &amp; Wakefield polski rynek biurowy powiększy się </w:t>
      </w:r>
      <w:r w:rsidR="00CE6049" w:rsidRPr="00136098">
        <w:rPr>
          <w:i/>
          <w:iCs/>
          <w:sz w:val="20"/>
          <w:szCs w:val="20"/>
        </w:rPr>
        <w:t xml:space="preserve">w </w:t>
      </w:r>
      <w:r w:rsidR="00333C1F">
        <w:rPr>
          <w:i/>
          <w:iCs/>
          <w:sz w:val="20"/>
          <w:szCs w:val="20"/>
        </w:rPr>
        <w:t xml:space="preserve">2025 </w:t>
      </w:r>
      <w:r w:rsidR="00CE6049" w:rsidRPr="00136098">
        <w:rPr>
          <w:i/>
          <w:iCs/>
          <w:sz w:val="20"/>
          <w:szCs w:val="20"/>
        </w:rPr>
        <w:t xml:space="preserve">roku </w:t>
      </w:r>
      <w:r w:rsidR="00232060" w:rsidRPr="00136098">
        <w:rPr>
          <w:i/>
          <w:iCs/>
          <w:sz w:val="20"/>
          <w:szCs w:val="20"/>
        </w:rPr>
        <w:t>o ok. 210 000 mkw</w:t>
      </w:r>
      <w:r w:rsidR="001E19D5">
        <w:rPr>
          <w:i/>
          <w:iCs/>
          <w:sz w:val="20"/>
          <w:szCs w:val="20"/>
        </w:rPr>
        <w:t>.</w:t>
      </w:r>
      <w:r w:rsidR="005806AC">
        <w:rPr>
          <w:i/>
          <w:iCs/>
          <w:sz w:val="20"/>
          <w:szCs w:val="20"/>
        </w:rPr>
        <w:t xml:space="preserve"> (wliczając już oddane projekty w 1 półroczu)</w:t>
      </w:r>
      <w:r w:rsidR="00232060" w:rsidRPr="00136098">
        <w:rPr>
          <w:i/>
          <w:iCs/>
          <w:sz w:val="20"/>
          <w:szCs w:val="20"/>
        </w:rPr>
        <w:t xml:space="preserve">, </w:t>
      </w:r>
      <w:r w:rsidR="00CE6049" w:rsidRPr="00136098">
        <w:rPr>
          <w:i/>
          <w:iCs/>
          <w:sz w:val="20"/>
          <w:szCs w:val="20"/>
        </w:rPr>
        <w:t>natomiast w</w:t>
      </w:r>
      <w:r w:rsidR="00232060" w:rsidRPr="00136098">
        <w:rPr>
          <w:i/>
          <w:iCs/>
          <w:sz w:val="20"/>
          <w:szCs w:val="20"/>
        </w:rPr>
        <w:t xml:space="preserve"> 2026 roku jedynie o 100 000 mkw. Większy poziom nowej powierzchni możliwy jest dopiero po 2027 roku</w:t>
      </w:r>
      <w:r w:rsidR="00CE6049">
        <w:rPr>
          <w:sz w:val="20"/>
          <w:szCs w:val="20"/>
        </w:rPr>
        <w:t xml:space="preserve"> – dodaje </w:t>
      </w:r>
      <w:r w:rsidR="00CE6049">
        <w:rPr>
          <w:b/>
          <w:bCs/>
          <w:sz w:val="20"/>
          <w:szCs w:val="20"/>
        </w:rPr>
        <w:t>Ewa Derlatka-</w:t>
      </w:r>
      <w:proofErr w:type="spellStart"/>
      <w:r w:rsidR="00CE6049">
        <w:rPr>
          <w:b/>
          <w:bCs/>
          <w:sz w:val="20"/>
          <w:szCs w:val="20"/>
        </w:rPr>
        <w:t>Chilewicz</w:t>
      </w:r>
      <w:proofErr w:type="spellEnd"/>
      <w:r w:rsidR="00CE6049">
        <w:rPr>
          <w:b/>
          <w:bCs/>
          <w:sz w:val="20"/>
          <w:szCs w:val="20"/>
        </w:rPr>
        <w:t xml:space="preserve">, </w:t>
      </w:r>
      <w:proofErr w:type="spellStart"/>
      <w:r w:rsidR="00CE6049">
        <w:rPr>
          <w:b/>
          <w:bCs/>
          <w:sz w:val="20"/>
          <w:szCs w:val="20"/>
        </w:rPr>
        <w:t>Head</w:t>
      </w:r>
      <w:proofErr w:type="spellEnd"/>
      <w:r w:rsidR="00CE6049">
        <w:rPr>
          <w:b/>
          <w:bCs/>
          <w:sz w:val="20"/>
          <w:szCs w:val="20"/>
        </w:rPr>
        <w:t xml:space="preserve"> of </w:t>
      </w:r>
      <w:proofErr w:type="spellStart"/>
      <w:r w:rsidR="00CE6049">
        <w:rPr>
          <w:b/>
          <w:bCs/>
          <w:sz w:val="20"/>
          <w:szCs w:val="20"/>
        </w:rPr>
        <w:t>Research</w:t>
      </w:r>
      <w:proofErr w:type="spellEnd"/>
      <w:r w:rsidR="00CE6049">
        <w:rPr>
          <w:b/>
          <w:bCs/>
          <w:sz w:val="20"/>
          <w:szCs w:val="20"/>
        </w:rPr>
        <w:t xml:space="preserve"> Poland</w:t>
      </w:r>
      <w:r w:rsidR="00CE6049">
        <w:rPr>
          <w:sz w:val="20"/>
          <w:szCs w:val="20"/>
        </w:rPr>
        <w:t xml:space="preserve">, </w:t>
      </w:r>
      <w:r w:rsidR="00CE6049">
        <w:rPr>
          <w:b/>
          <w:bCs/>
          <w:sz w:val="20"/>
          <w:szCs w:val="20"/>
        </w:rPr>
        <w:t>Cushman &amp; Wakefield.</w:t>
      </w:r>
      <w:r w:rsidR="00CE6049" w:rsidRPr="00DA68EF">
        <w:rPr>
          <w:sz w:val="20"/>
          <w:szCs w:val="20"/>
        </w:rPr>
        <w:t xml:space="preserve"> </w:t>
      </w:r>
    </w:p>
    <w:p w14:paraId="4EAD7A36" w14:textId="57718BB4" w:rsidR="00BB1585" w:rsidRPr="00BB1585" w:rsidRDefault="00BB1585" w:rsidP="00CE6049">
      <w:pPr>
        <w:spacing w:line="240" w:lineRule="auto"/>
        <w:jc w:val="both"/>
        <w:rPr>
          <w:b/>
          <w:bCs/>
          <w:sz w:val="20"/>
          <w:szCs w:val="20"/>
        </w:rPr>
      </w:pPr>
      <w:r w:rsidRPr="00BB1585">
        <w:rPr>
          <w:b/>
          <w:bCs/>
          <w:sz w:val="20"/>
          <w:szCs w:val="20"/>
        </w:rPr>
        <w:t>POPYT: regiony poszły na rekord</w:t>
      </w:r>
    </w:p>
    <w:p w14:paraId="7316FD38" w14:textId="1E303D82" w:rsidR="00CE6049" w:rsidRPr="00CE6049" w:rsidRDefault="00BB1585" w:rsidP="00CE6049">
      <w:pPr>
        <w:spacing w:line="240" w:lineRule="auto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W pierwszym półroczu c</w:t>
      </w:r>
      <w:r w:rsidR="00CE6049" w:rsidRPr="00CE6049">
        <w:rPr>
          <w:iCs/>
          <w:sz w:val="20"/>
          <w:szCs w:val="20"/>
        </w:rPr>
        <w:t xml:space="preserve">ałkowita aktywność najemców w </w:t>
      </w:r>
      <w:r>
        <w:rPr>
          <w:iCs/>
          <w:sz w:val="20"/>
          <w:szCs w:val="20"/>
        </w:rPr>
        <w:t xml:space="preserve">Warszawie </w:t>
      </w:r>
      <w:r w:rsidR="00CE6049" w:rsidRPr="00CE6049">
        <w:rPr>
          <w:iCs/>
          <w:sz w:val="20"/>
          <w:szCs w:val="20"/>
        </w:rPr>
        <w:t>wyniosła</w:t>
      </w:r>
      <w:r>
        <w:rPr>
          <w:iCs/>
          <w:sz w:val="20"/>
          <w:szCs w:val="20"/>
        </w:rPr>
        <w:t xml:space="preserve"> ponad</w:t>
      </w:r>
      <w:r w:rsidR="00CE6049" w:rsidRPr="00CE6049">
        <w:rPr>
          <w:iCs/>
          <w:sz w:val="20"/>
          <w:szCs w:val="20"/>
        </w:rPr>
        <w:t xml:space="preserve"> 301 </w:t>
      </w:r>
      <w:r>
        <w:rPr>
          <w:iCs/>
          <w:sz w:val="20"/>
          <w:szCs w:val="20"/>
        </w:rPr>
        <w:t>0</w:t>
      </w:r>
      <w:r w:rsidR="00CE6049" w:rsidRPr="00CE6049">
        <w:rPr>
          <w:iCs/>
          <w:sz w:val="20"/>
          <w:szCs w:val="20"/>
        </w:rPr>
        <w:t>00 mkw., co oznacza delikatny spadek</w:t>
      </w:r>
      <w:r>
        <w:rPr>
          <w:iCs/>
          <w:sz w:val="20"/>
          <w:szCs w:val="20"/>
        </w:rPr>
        <w:t>, bo</w:t>
      </w:r>
      <w:r w:rsidR="00CE6049" w:rsidRPr="00CE6049">
        <w:rPr>
          <w:iCs/>
          <w:sz w:val="20"/>
          <w:szCs w:val="20"/>
        </w:rPr>
        <w:t xml:space="preserve"> o ok. 5% </w:t>
      </w:r>
      <w:r>
        <w:rPr>
          <w:iCs/>
          <w:sz w:val="20"/>
          <w:szCs w:val="20"/>
        </w:rPr>
        <w:t>r/r</w:t>
      </w:r>
      <w:r w:rsidR="00CE6049" w:rsidRPr="00CE6049">
        <w:rPr>
          <w:iCs/>
          <w:sz w:val="20"/>
          <w:szCs w:val="20"/>
        </w:rPr>
        <w:t>.</w:t>
      </w:r>
      <w:r>
        <w:rPr>
          <w:iCs/>
          <w:sz w:val="20"/>
          <w:szCs w:val="20"/>
        </w:rPr>
        <w:t xml:space="preserve"> W okresie od stycznia do czerwca </w:t>
      </w:r>
      <w:r w:rsidR="00CE6049" w:rsidRPr="00CE6049">
        <w:rPr>
          <w:iCs/>
          <w:sz w:val="20"/>
          <w:szCs w:val="20"/>
        </w:rPr>
        <w:t>w strukturze transakcji nieznacznie przeważały renegocjacje, których udział wyniósł 43%, nowe umowy odpowiadały za 40% wynajętej powierzchni, odnotowano także podwyższoną wielkość powierzchni zajętej przez właściciela – 9%</w:t>
      </w:r>
      <w:r w:rsidR="00A42E68">
        <w:rPr>
          <w:iCs/>
          <w:sz w:val="20"/>
          <w:szCs w:val="20"/>
        </w:rPr>
        <w:t>.</w:t>
      </w:r>
      <w:r w:rsidR="00CE6049" w:rsidRPr="00CE6049">
        <w:rPr>
          <w:iCs/>
          <w:sz w:val="20"/>
          <w:szCs w:val="20"/>
        </w:rPr>
        <w:t xml:space="preserve"> </w:t>
      </w:r>
      <w:r w:rsidR="00A42E68">
        <w:rPr>
          <w:iCs/>
          <w:sz w:val="20"/>
          <w:szCs w:val="20"/>
        </w:rPr>
        <w:t>U</w:t>
      </w:r>
      <w:r w:rsidR="00CE6049" w:rsidRPr="00CE6049">
        <w:rPr>
          <w:iCs/>
          <w:sz w:val="20"/>
          <w:szCs w:val="20"/>
        </w:rPr>
        <w:t>dział ekspansji z kolei wyniósł 8%.</w:t>
      </w:r>
    </w:p>
    <w:p w14:paraId="1858CE3B" w14:textId="1F9DD299" w:rsidR="00836AD4" w:rsidRDefault="00A42E68" w:rsidP="00A42E68">
      <w:pPr>
        <w:spacing w:line="240" w:lineRule="auto"/>
        <w:jc w:val="both"/>
        <w:rPr>
          <w:i/>
          <w:sz w:val="20"/>
          <w:szCs w:val="20"/>
        </w:rPr>
      </w:pPr>
      <w:r>
        <w:rPr>
          <w:iCs/>
          <w:sz w:val="20"/>
          <w:szCs w:val="20"/>
        </w:rPr>
        <w:t xml:space="preserve">– </w:t>
      </w:r>
      <w:r w:rsidR="00CE6049" w:rsidRPr="00CE6049">
        <w:rPr>
          <w:i/>
          <w:sz w:val="20"/>
          <w:szCs w:val="20"/>
        </w:rPr>
        <w:t xml:space="preserve">Na rynkach regionalnych sumaryczny popyt był </w:t>
      </w:r>
      <w:r w:rsidRPr="00A42E68">
        <w:rPr>
          <w:i/>
          <w:sz w:val="20"/>
          <w:szCs w:val="20"/>
        </w:rPr>
        <w:t>wyższy niż w stolicy</w:t>
      </w:r>
      <w:r w:rsidR="00CE6049" w:rsidRPr="00CE6049">
        <w:rPr>
          <w:i/>
          <w:sz w:val="20"/>
          <w:szCs w:val="20"/>
        </w:rPr>
        <w:t xml:space="preserve"> i rekordowy dla rynku regionalnego. Całkowity wolumen transakcji przekroczył 387 000 mkw</w:t>
      </w:r>
      <w:r w:rsidR="00BB1585" w:rsidRPr="00A42E68">
        <w:rPr>
          <w:i/>
          <w:sz w:val="20"/>
          <w:szCs w:val="20"/>
        </w:rPr>
        <w:t>.</w:t>
      </w:r>
      <w:r w:rsidR="00CE6049" w:rsidRPr="00CE6049">
        <w:rPr>
          <w:i/>
          <w:sz w:val="20"/>
          <w:szCs w:val="20"/>
        </w:rPr>
        <w:t>, co stanowi wzrost o 37% względem analogicznego okresu 2024</w:t>
      </w:r>
      <w:r w:rsidRPr="00A42E68">
        <w:rPr>
          <w:i/>
          <w:sz w:val="20"/>
          <w:szCs w:val="20"/>
        </w:rPr>
        <w:t xml:space="preserve"> roku</w:t>
      </w:r>
      <w:r w:rsidR="00CE6049" w:rsidRPr="00CE6049">
        <w:rPr>
          <w:i/>
          <w:sz w:val="20"/>
          <w:szCs w:val="20"/>
        </w:rPr>
        <w:t xml:space="preserve">. Do osiągnięcia tak </w:t>
      </w:r>
      <w:r w:rsidRPr="00A42E68">
        <w:rPr>
          <w:i/>
          <w:sz w:val="20"/>
          <w:szCs w:val="20"/>
        </w:rPr>
        <w:t>świetnego</w:t>
      </w:r>
      <w:r w:rsidR="00CE6049" w:rsidRPr="00CE6049">
        <w:rPr>
          <w:i/>
          <w:sz w:val="20"/>
          <w:szCs w:val="20"/>
        </w:rPr>
        <w:t xml:space="preserve"> wyniku przyczynił się przede wszystkim wysoki poziom popytu w Krakowie</w:t>
      </w:r>
      <w:r w:rsidR="00457041">
        <w:rPr>
          <w:i/>
          <w:sz w:val="20"/>
          <w:szCs w:val="20"/>
        </w:rPr>
        <w:t>, który</w:t>
      </w:r>
      <w:r w:rsidR="00D15257" w:rsidRPr="00D15257">
        <w:rPr>
          <w:i/>
          <w:sz w:val="20"/>
          <w:szCs w:val="20"/>
        </w:rPr>
        <w:t xml:space="preserve"> </w:t>
      </w:r>
      <w:r w:rsidR="00D15257">
        <w:rPr>
          <w:i/>
          <w:sz w:val="20"/>
          <w:szCs w:val="20"/>
        </w:rPr>
        <w:t>w</w:t>
      </w:r>
      <w:r w:rsidR="00521CF3">
        <w:rPr>
          <w:i/>
          <w:sz w:val="20"/>
          <w:szCs w:val="20"/>
        </w:rPr>
        <w:t xml:space="preserve"> samym</w:t>
      </w:r>
      <w:r w:rsidR="00D15257">
        <w:rPr>
          <w:i/>
          <w:sz w:val="20"/>
          <w:szCs w:val="20"/>
        </w:rPr>
        <w:t xml:space="preserve"> drugim kwartale</w:t>
      </w:r>
      <w:r w:rsidR="00457041">
        <w:rPr>
          <w:i/>
          <w:sz w:val="20"/>
          <w:szCs w:val="20"/>
        </w:rPr>
        <w:t xml:space="preserve"> wyniósł ponad 122 000 mkw</w:t>
      </w:r>
      <w:r w:rsidR="001035B9">
        <w:rPr>
          <w:i/>
          <w:sz w:val="20"/>
          <w:szCs w:val="20"/>
        </w:rPr>
        <w:t xml:space="preserve">. </w:t>
      </w:r>
      <w:r w:rsidR="001035B9" w:rsidRPr="00CE6049">
        <w:rPr>
          <w:i/>
          <w:sz w:val="20"/>
          <w:szCs w:val="20"/>
        </w:rPr>
        <w:t>W strukturze transakcji</w:t>
      </w:r>
      <w:r w:rsidR="00B07983">
        <w:rPr>
          <w:i/>
          <w:sz w:val="20"/>
          <w:szCs w:val="20"/>
        </w:rPr>
        <w:t xml:space="preserve"> </w:t>
      </w:r>
      <w:r w:rsidR="00942BB2">
        <w:rPr>
          <w:i/>
          <w:sz w:val="20"/>
          <w:szCs w:val="20"/>
        </w:rPr>
        <w:t xml:space="preserve">w </w:t>
      </w:r>
      <w:r w:rsidR="00B07983">
        <w:rPr>
          <w:i/>
          <w:sz w:val="20"/>
          <w:szCs w:val="20"/>
        </w:rPr>
        <w:t xml:space="preserve">miastach </w:t>
      </w:r>
      <w:r w:rsidR="00B07983">
        <w:rPr>
          <w:i/>
          <w:sz w:val="20"/>
          <w:szCs w:val="20"/>
        </w:rPr>
        <w:lastRenderedPageBreak/>
        <w:t>regionalnych</w:t>
      </w:r>
      <w:r w:rsidR="001035B9" w:rsidRPr="00CE6049">
        <w:rPr>
          <w:i/>
          <w:sz w:val="20"/>
          <w:szCs w:val="20"/>
        </w:rPr>
        <w:t xml:space="preserve"> </w:t>
      </w:r>
      <w:r w:rsidR="001035B9" w:rsidRPr="001035B9">
        <w:rPr>
          <w:i/>
          <w:sz w:val="20"/>
          <w:szCs w:val="20"/>
        </w:rPr>
        <w:t>dominowały</w:t>
      </w:r>
      <w:r w:rsidR="001035B9" w:rsidRPr="00CE6049">
        <w:rPr>
          <w:i/>
          <w:sz w:val="20"/>
          <w:szCs w:val="20"/>
        </w:rPr>
        <w:t xml:space="preserve"> renegocjacj</w:t>
      </w:r>
      <w:r w:rsidR="001035B9" w:rsidRPr="001035B9">
        <w:rPr>
          <w:i/>
          <w:sz w:val="20"/>
          <w:szCs w:val="20"/>
        </w:rPr>
        <w:t xml:space="preserve">e, które odpowiadały za </w:t>
      </w:r>
      <w:r w:rsidR="001035B9" w:rsidRPr="00CE6049">
        <w:rPr>
          <w:i/>
          <w:sz w:val="20"/>
          <w:szCs w:val="20"/>
        </w:rPr>
        <w:t>58%</w:t>
      </w:r>
      <w:r w:rsidR="001035B9" w:rsidRPr="001035B9">
        <w:rPr>
          <w:i/>
          <w:sz w:val="20"/>
          <w:szCs w:val="20"/>
        </w:rPr>
        <w:t xml:space="preserve"> wolumenu,</w:t>
      </w:r>
      <w:r w:rsidR="001035B9" w:rsidRPr="00CE6049">
        <w:rPr>
          <w:i/>
          <w:sz w:val="20"/>
          <w:szCs w:val="20"/>
        </w:rPr>
        <w:t xml:space="preserve"> nowe umowy </w:t>
      </w:r>
      <w:r w:rsidR="001035B9" w:rsidRPr="001035B9">
        <w:rPr>
          <w:i/>
          <w:sz w:val="20"/>
          <w:szCs w:val="20"/>
        </w:rPr>
        <w:t xml:space="preserve">zaś </w:t>
      </w:r>
      <w:r w:rsidR="001035B9" w:rsidRPr="00CE6049">
        <w:rPr>
          <w:i/>
          <w:sz w:val="20"/>
          <w:szCs w:val="20"/>
        </w:rPr>
        <w:t>za 34% najmu, a ekspansje – za około 6%</w:t>
      </w:r>
      <w:r w:rsidR="001035B9" w:rsidRPr="001035B9">
        <w:rPr>
          <w:i/>
          <w:sz w:val="20"/>
          <w:szCs w:val="20"/>
        </w:rPr>
        <w:t>. P</w:t>
      </w:r>
      <w:r w:rsidR="001035B9" w:rsidRPr="00CE6049">
        <w:rPr>
          <w:i/>
          <w:sz w:val="20"/>
          <w:szCs w:val="20"/>
        </w:rPr>
        <w:t>owierzchnie zajęte przez właściciela dotyczyły około 1% całego wolumenu umów</w:t>
      </w:r>
      <w:r>
        <w:rPr>
          <w:iCs/>
          <w:sz w:val="20"/>
          <w:szCs w:val="20"/>
        </w:rPr>
        <w:t xml:space="preserve"> </w:t>
      </w:r>
      <w:r w:rsidRPr="001035B9">
        <w:rPr>
          <w:iCs/>
          <w:sz w:val="20"/>
          <w:szCs w:val="20"/>
        </w:rPr>
        <w:t xml:space="preserve">– tłumaczy </w:t>
      </w:r>
      <w:r w:rsidRPr="001035B9">
        <w:rPr>
          <w:b/>
          <w:bCs/>
          <w:sz w:val="20"/>
          <w:szCs w:val="20"/>
        </w:rPr>
        <w:t xml:space="preserve">Michał </w:t>
      </w:r>
      <w:proofErr w:type="spellStart"/>
      <w:r w:rsidRPr="001035B9">
        <w:rPr>
          <w:b/>
          <w:bCs/>
          <w:sz w:val="20"/>
          <w:szCs w:val="20"/>
        </w:rPr>
        <w:t>Galimski</w:t>
      </w:r>
      <w:proofErr w:type="spellEnd"/>
      <w:r w:rsidRPr="001035B9">
        <w:rPr>
          <w:b/>
          <w:bCs/>
          <w:sz w:val="20"/>
          <w:szCs w:val="20"/>
        </w:rPr>
        <w:t xml:space="preserve">, Partner, </w:t>
      </w:r>
      <w:proofErr w:type="spellStart"/>
      <w:r w:rsidRPr="001035B9">
        <w:rPr>
          <w:b/>
          <w:bCs/>
          <w:sz w:val="20"/>
          <w:szCs w:val="20"/>
        </w:rPr>
        <w:t>Head</w:t>
      </w:r>
      <w:proofErr w:type="spellEnd"/>
      <w:r w:rsidRPr="001035B9">
        <w:rPr>
          <w:b/>
          <w:bCs/>
          <w:sz w:val="20"/>
          <w:szCs w:val="20"/>
        </w:rPr>
        <w:t xml:space="preserve"> of </w:t>
      </w:r>
      <w:r w:rsidR="00136098">
        <w:rPr>
          <w:b/>
          <w:bCs/>
          <w:sz w:val="20"/>
          <w:szCs w:val="20"/>
        </w:rPr>
        <w:t xml:space="preserve">Office </w:t>
      </w:r>
      <w:proofErr w:type="spellStart"/>
      <w:r w:rsidR="00136098">
        <w:rPr>
          <w:b/>
          <w:bCs/>
          <w:sz w:val="20"/>
          <w:szCs w:val="20"/>
        </w:rPr>
        <w:t>Sector</w:t>
      </w:r>
      <w:proofErr w:type="spellEnd"/>
      <w:r w:rsidRPr="001035B9">
        <w:rPr>
          <w:b/>
          <w:bCs/>
          <w:sz w:val="20"/>
          <w:szCs w:val="20"/>
        </w:rPr>
        <w:t xml:space="preserve">, </w:t>
      </w:r>
      <w:proofErr w:type="spellStart"/>
      <w:r w:rsidRPr="001035B9">
        <w:rPr>
          <w:b/>
          <w:bCs/>
          <w:sz w:val="20"/>
          <w:szCs w:val="20"/>
        </w:rPr>
        <w:t>Cushman</w:t>
      </w:r>
      <w:proofErr w:type="spellEnd"/>
      <w:r w:rsidRPr="001035B9">
        <w:rPr>
          <w:b/>
          <w:bCs/>
          <w:sz w:val="20"/>
          <w:szCs w:val="20"/>
        </w:rPr>
        <w:t xml:space="preserve"> &amp; Wakefield. </w:t>
      </w:r>
    </w:p>
    <w:p w14:paraId="1A8EEB54" w14:textId="6AF82F21" w:rsidR="00A42E68" w:rsidRPr="00A42E68" w:rsidRDefault="00836AD4" w:rsidP="00A42E68">
      <w:pPr>
        <w:spacing w:line="240" w:lineRule="auto"/>
        <w:jc w:val="both"/>
        <w:rPr>
          <w:i/>
          <w:sz w:val="20"/>
          <w:szCs w:val="20"/>
        </w:rPr>
      </w:pPr>
      <w:r w:rsidRPr="004F424E">
        <w:rPr>
          <w:iCs/>
          <w:sz w:val="20"/>
          <w:szCs w:val="20"/>
        </w:rPr>
        <w:t xml:space="preserve">Prognozy dotyczące popytu mogą z czasem </w:t>
      </w:r>
      <w:r w:rsidR="00DB09A5" w:rsidRPr="004F424E">
        <w:rPr>
          <w:iCs/>
          <w:sz w:val="20"/>
          <w:szCs w:val="20"/>
        </w:rPr>
        <w:t>być coraz</w:t>
      </w:r>
      <w:r w:rsidR="008A55CD" w:rsidRPr="004F424E">
        <w:rPr>
          <w:iCs/>
          <w:sz w:val="20"/>
          <w:szCs w:val="20"/>
        </w:rPr>
        <w:t xml:space="preserve"> bardziej optymistyczne</w:t>
      </w:r>
      <w:r w:rsidRPr="004F424E">
        <w:rPr>
          <w:iCs/>
          <w:sz w:val="20"/>
          <w:szCs w:val="20"/>
        </w:rPr>
        <w:t>. Jak wskazuje r</w:t>
      </w:r>
      <w:r w:rsidR="00A42E68" w:rsidRPr="004F424E">
        <w:rPr>
          <w:iCs/>
          <w:sz w:val="20"/>
          <w:szCs w:val="20"/>
        </w:rPr>
        <w:t>aport</w:t>
      </w:r>
      <w:r w:rsidRPr="004F424E">
        <w:rPr>
          <w:iCs/>
          <w:sz w:val="20"/>
          <w:szCs w:val="20"/>
        </w:rPr>
        <w:t xml:space="preserve"> Cushman &amp; Wakefield „</w:t>
      </w:r>
      <w:proofErr w:type="spellStart"/>
      <w:r w:rsidRPr="004F424E">
        <w:rPr>
          <w:iCs/>
          <w:sz w:val="20"/>
          <w:szCs w:val="20"/>
        </w:rPr>
        <w:t>What</w:t>
      </w:r>
      <w:proofErr w:type="spellEnd"/>
      <w:r w:rsidRPr="004F424E">
        <w:rPr>
          <w:iCs/>
          <w:sz w:val="20"/>
          <w:szCs w:val="20"/>
        </w:rPr>
        <w:t xml:space="preserve"> </w:t>
      </w:r>
      <w:proofErr w:type="spellStart"/>
      <w:r w:rsidRPr="004F424E">
        <w:rPr>
          <w:iCs/>
          <w:sz w:val="20"/>
          <w:szCs w:val="20"/>
        </w:rPr>
        <w:t>occupiers</w:t>
      </w:r>
      <w:proofErr w:type="spellEnd"/>
      <w:r w:rsidRPr="004F424E">
        <w:rPr>
          <w:iCs/>
          <w:sz w:val="20"/>
          <w:szCs w:val="20"/>
        </w:rPr>
        <w:t xml:space="preserve"> want”, </w:t>
      </w:r>
      <w:r w:rsidR="00A42E68" w:rsidRPr="004F424E">
        <w:rPr>
          <w:iCs/>
          <w:sz w:val="20"/>
          <w:szCs w:val="20"/>
        </w:rPr>
        <w:t xml:space="preserve">po kilku latach ograniczania wielkości wynajmowanej powierzchni te czasy dobiegają końca. </w:t>
      </w:r>
      <w:r w:rsidR="008A55CD" w:rsidRPr="004F424E">
        <w:rPr>
          <w:iCs/>
          <w:sz w:val="20"/>
          <w:szCs w:val="20"/>
        </w:rPr>
        <w:t>Co prawda jeszcze</w:t>
      </w:r>
      <w:r w:rsidR="00A42E68" w:rsidRPr="004F424E">
        <w:rPr>
          <w:iCs/>
          <w:sz w:val="20"/>
          <w:szCs w:val="20"/>
        </w:rPr>
        <w:t xml:space="preserve"> 32% firm</w:t>
      </w:r>
      <w:r w:rsidRPr="004F424E">
        <w:rPr>
          <w:iCs/>
          <w:sz w:val="20"/>
          <w:szCs w:val="20"/>
        </w:rPr>
        <w:t>, w skali globalnej,</w:t>
      </w:r>
      <w:r w:rsidR="00A42E68" w:rsidRPr="004F424E">
        <w:rPr>
          <w:iCs/>
          <w:sz w:val="20"/>
          <w:szCs w:val="20"/>
        </w:rPr>
        <w:t xml:space="preserve"> </w:t>
      </w:r>
      <w:r w:rsidR="0008799F" w:rsidRPr="004F424E">
        <w:rPr>
          <w:iCs/>
          <w:sz w:val="20"/>
          <w:szCs w:val="20"/>
        </w:rPr>
        <w:t>planuje, bowiem</w:t>
      </w:r>
      <w:r w:rsidR="00A42E68" w:rsidRPr="004F424E">
        <w:rPr>
          <w:iCs/>
          <w:sz w:val="20"/>
          <w:szCs w:val="20"/>
        </w:rPr>
        <w:t xml:space="preserve"> redukcje</w:t>
      </w:r>
      <w:r w:rsidR="0008799F" w:rsidRPr="004F424E">
        <w:rPr>
          <w:iCs/>
          <w:sz w:val="20"/>
          <w:szCs w:val="20"/>
        </w:rPr>
        <w:t xml:space="preserve"> powierzchni</w:t>
      </w:r>
      <w:r w:rsidR="00A42E68" w:rsidRPr="004F424E">
        <w:rPr>
          <w:iCs/>
          <w:sz w:val="20"/>
          <w:szCs w:val="20"/>
        </w:rPr>
        <w:t xml:space="preserve">, </w:t>
      </w:r>
      <w:r w:rsidR="0008799F" w:rsidRPr="004F424E">
        <w:rPr>
          <w:iCs/>
          <w:sz w:val="20"/>
          <w:szCs w:val="20"/>
        </w:rPr>
        <w:t>natomiast</w:t>
      </w:r>
      <w:r w:rsidR="0008451B" w:rsidRPr="004F424E">
        <w:rPr>
          <w:iCs/>
          <w:sz w:val="20"/>
          <w:szCs w:val="20"/>
        </w:rPr>
        <w:t xml:space="preserve"> już</w:t>
      </w:r>
      <w:r w:rsidR="0008799F" w:rsidRPr="004F424E">
        <w:rPr>
          <w:iCs/>
          <w:sz w:val="20"/>
          <w:szCs w:val="20"/>
        </w:rPr>
        <w:t xml:space="preserve"> co</w:t>
      </w:r>
      <w:r w:rsidR="00A42E68" w:rsidRPr="004F424E">
        <w:rPr>
          <w:iCs/>
          <w:sz w:val="20"/>
          <w:szCs w:val="20"/>
        </w:rPr>
        <w:t xml:space="preserve"> ósmy najemca deklaruje zamiar wynajęcia dodatkowej przestrzeni biurowej. Jednocześnie średnia wielkość nowo podpisywanych umów najmu wzrosła od 2023 roku o 13%.</w:t>
      </w:r>
    </w:p>
    <w:p w14:paraId="40057E2F" w14:textId="26A6FA92" w:rsidR="00A42E68" w:rsidRDefault="00836AD4" w:rsidP="00CE6049">
      <w:pPr>
        <w:spacing w:line="240" w:lineRule="auto"/>
        <w:jc w:val="both"/>
        <w:rPr>
          <w:b/>
          <w:bCs/>
          <w:iCs/>
          <w:sz w:val="20"/>
          <w:szCs w:val="20"/>
        </w:rPr>
      </w:pPr>
      <w:r w:rsidRPr="001035B9">
        <w:rPr>
          <w:iCs/>
          <w:sz w:val="20"/>
          <w:szCs w:val="20"/>
        </w:rPr>
        <w:t>–</w:t>
      </w:r>
      <w:r>
        <w:rPr>
          <w:iCs/>
          <w:sz w:val="20"/>
          <w:szCs w:val="20"/>
        </w:rPr>
        <w:t xml:space="preserve"> </w:t>
      </w:r>
      <w:r w:rsidR="00A42E68" w:rsidRPr="00A42E68">
        <w:rPr>
          <w:i/>
          <w:sz w:val="20"/>
          <w:szCs w:val="20"/>
        </w:rPr>
        <w:t xml:space="preserve">Według wyników nadchodzącej nowej edycji raportu Business Environment </w:t>
      </w:r>
      <w:proofErr w:type="spellStart"/>
      <w:r w:rsidR="00A42E68" w:rsidRPr="00A42E68">
        <w:rPr>
          <w:i/>
          <w:sz w:val="20"/>
          <w:szCs w:val="20"/>
        </w:rPr>
        <w:t>Assessment</w:t>
      </w:r>
      <w:proofErr w:type="spellEnd"/>
      <w:r w:rsidR="00A42E68" w:rsidRPr="00A42E68">
        <w:rPr>
          <w:i/>
          <w:sz w:val="20"/>
          <w:szCs w:val="20"/>
        </w:rPr>
        <w:t xml:space="preserve"> </w:t>
      </w:r>
      <w:proofErr w:type="spellStart"/>
      <w:r w:rsidR="00A42E68" w:rsidRPr="00A42E68">
        <w:rPr>
          <w:i/>
          <w:sz w:val="20"/>
          <w:szCs w:val="20"/>
        </w:rPr>
        <w:t>Study</w:t>
      </w:r>
      <w:proofErr w:type="spellEnd"/>
      <w:r w:rsidR="00A42E68" w:rsidRPr="00A42E68">
        <w:rPr>
          <w:i/>
          <w:sz w:val="20"/>
          <w:szCs w:val="20"/>
        </w:rPr>
        <w:t xml:space="preserve"> (BEAS), opracowywanego od kilku lat przez Cushman &amp; Wakefield i Antal, wskazują, że firmy działające w Polsce prezentują bardziej optymistyczne podejście do planowania przestrzeni niż średnia globalna. 18,2% organizacji planuje bowiem zwiększenie zajmowanej powierzchni, co stanowi o około 43% wyższy odsetek, aniżeli firm planujące jej redukcję (12,7%). Przeważająca część ankietowanych – średnio aż 45% – deklaruje z kolei chęć utrzymania dotychczasowej powierzchni biurowej</w:t>
      </w:r>
      <w:r>
        <w:rPr>
          <w:iCs/>
          <w:sz w:val="20"/>
          <w:szCs w:val="20"/>
        </w:rPr>
        <w:t xml:space="preserve"> </w:t>
      </w:r>
      <w:r w:rsidRPr="001035B9">
        <w:rPr>
          <w:iCs/>
          <w:sz w:val="20"/>
          <w:szCs w:val="20"/>
        </w:rPr>
        <w:t>–</w:t>
      </w:r>
      <w:r>
        <w:rPr>
          <w:iCs/>
          <w:sz w:val="20"/>
          <w:szCs w:val="20"/>
        </w:rPr>
        <w:t xml:space="preserve"> </w:t>
      </w:r>
      <w:r w:rsidR="00A42E68" w:rsidRPr="00A42E68">
        <w:rPr>
          <w:iCs/>
          <w:sz w:val="20"/>
          <w:szCs w:val="20"/>
        </w:rPr>
        <w:t xml:space="preserve">komentuje </w:t>
      </w:r>
      <w:r w:rsidR="00A42E68" w:rsidRPr="00A42E68">
        <w:rPr>
          <w:b/>
          <w:bCs/>
          <w:iCs/>
          <w:sz w:val="20"/>
          <w:szCs w:val="20"/>
        </w:rPr>
        <w:t xml:space="preserve">Ewa Derlatka </w:t>
      </w:r>
      <w:proofErr w:type="spellStart"/>
      <w:r w:rsidR="00A42E68" w:rsidRPr="00A42E68">
        <w:rPr>
          <w:b/>
          <w:bCs/>
          <w:iCs/>
          <w:sz w:val="20"/>
          <w:szCs w:val="20"/>
        </w:rPr>
        <w:t>Chilewicz</w:t>
      </w:r>
      <w:proofErr w:type="spellEnd"/>
      <w:r w:rsidR="00A42E68" w:rsidRPr="00A42E68">
        <w:rPr>
          <w:b/>
          <w:bCs/>
          <w:iCs/>
          <w:sz w:val="20"/>
          <w:szCs w:val="20"/>
        </w:rPr>
        <w:t xml:space="preserve">, </w:t>
      </w:r>
      <w:proofErr w:type="spellStart"/>
      <w:r w:rsidR="00A42E68" w:rsidRPr="00A42E68">
        <w:rPr>
          <w:b/>
          <w:bCs/>
          <w:iCs/>
          <w:sz w:val="20"/>
          <w:szCs w:val="20"/>
        </w:rPr>
        <w:t>Head</w:t>
      </w:r>
      <w:proofErr w:type="spellEnd"/>
      <w:r w:rsidR="00A42E68" w:rsidRPr="00A42E68">
        <w:rPr>
          <w:b/>
          <w:bCs/>
          <w:iCs/>
          <w:sz w:val="20"/>
          <w:szCs w:val="20"/>
        </w:rPr>
        <w:t xml:space="preserve"> of </w:t>
      </w:r>
      <w:proofErr w:type="spellStart"/>
      <w:r w:rsidR="00A42E68" w:rsidRPr="00A42E68">
        <w:rPr>
          <w:b/>
          <w:bCs/>
          <w:iCs/>
          <w:sz w:val="20"/>
          <w:szCs w:val="20"/>
        </w:rPr>
        <w:t>Research</w:t>
      </w:r>
      <w:proofErr w:type="spellEnd"/>
      <w:r w:rsidR="00A42E68" w:rsidRPr="00A42E68">
        <w:rPr>
          <w:b/>
          <w:bCs/>
          <w:iCs/>
          <w:sz w:val="20"/>
          <w:szCs w:val="20"/>
        </w:rPr>
        <w:t xml:space="preserve">, </w:t>
      </w:r>
      <w:proofErr w:type="spellStart"/>
      <w:r w:rsidR="00A42E68" w:rsidRPr="00A42E68">
        <w:rPr>
          <w:b/>
          <w:bCs/>
          <w:iCs/>
          <w:sz w:val="20"/>
          <w:szCs w:val="20"/>
        </w:rPr>
        <w:t>Cushman</w:t>
      </w:r>
      <w:proofErr w:type="spellEnd"/>
      <w:r w:rsidR="00A42E68" w:rsidRPr="00A42E68">
        <w:rPr>
          <w:b/>
          <w:bCs/>
          <w:iCs/>
          <w:sz w:val="20"/>
          <w:szCs w:val="20"/>
        </w:rPr>
        <w:t xml:space="preserve"> &amp; Wakefield.</w:t>
      </w:r>
    </w:p>
    <w:p w14:paraId="6FCE6FF5" w14:textId="7B56094E" w:rsidR="00836AD4" w:rsidRPr="00CE6049" w:rsidRDefault="00876015" w:rsidP="00CE6049">
      <w:pPr>
        <w:spacing w:line="240" w:lineRule="auto"/>
        <w:jc w:val="both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 xml:space="preserve">PUSTOSTANY: poziom powierzchni niewynajętej z delikatnymi wahnięciami </w:t>
      </w:r>
    </w:p>
    <w:p w14:paraId="5B401413" w14:textId="750BC812" w:rsidR="00836AD4" w:rsidRDefault="00CE6049" w:rsidP="00CE6049">
      <w:pPr>
        <w:spacing w:line="240" w:lineRule="auto"/>
        <w:jc w:val="both"/>
        <w:rPr>
          <w:iCs/>
          <w:sz w:val="20"/>
          <w:szCs w:val="20"/>
        </w:rPr>
      </w:pPr>
      <w:r w:rsidRPr="00CE6049">
        <w:rPr>
          <w:iCs/>
          <w:sz w:val="20"/>
          <w:szCs w:val="20"/>
        </w:rPr>
        <w:t>Średni wskaźnik pustostanów w Polsce na koniec II kw. 2025 roku wyniósł 14,2%, co stanowi wzrost o 0,1 pp. względem I kw. 2025 r</w:t>
      </w:r>
      <w:r w:rsidR="00AD1746">
        <w:rPr>
          <w:iCs/>
          <w:sz w:val="20"/>
          <w:szCs w:val="20"/>
        </w:rPr>
        <w:t>oku</w:t>
      </w:r>
      <w:r w:rsidRPr="00CE6049">
        <w:rPr>
          <w:iCs/>
          <w:sz w:val="20"/>
          <w:szCs w:val="20"/>
        </w:rPr>
        <w:t>, ale spadek o 0,2 pp. względem czerwca 2024</w:t>
      </w:r>
      <w:r w:rsidR="00AD1746">
        <w:rPr>
          <w:iCs/>
          <w:sz w:val="20"/>
          <w:szCs w:val="20"/>
        </w:rPr>
        <w:t xml:space="preserve"> roku</w:t>
      </w:r>
      <w:r w:rsidRPr="00CE6049">
        <w:rPr>
          <w:iCs/>
          <w:sz w:val="20"/>
          <w:szCs w:val="20"/>
        </w:rPr>
        <w:t xml:space="preserve">. </w:t>
      </w:r>
    </w:p>
    <w:p w14:paraId="4A27222E" w14:textId="600747C8" w:rsidR="00836AD4" w:rsidRPr="00876015" w:rsidRDefault="00876015" w:rsidP="00836AD4">
      <w:pPr>
        <w:spacing w:line="240" w:lineRule="auto"/>
        <w:jc w:val="both"/>
        <w:rPr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– </w:t>
      </w:r>
      <w:r w:rsidR="00CE6049" w:rsidRPr="00CE6049">
        <w:rPr>
          <w:i/>
          <w:sz w:val="20"/>
          <w:szCs w:val="20"/>
        </w:rPr>
        <w:t>W stolicy wskaźnik niewynajęcia wzrósł o 0,3 pp. względem poprzedniego kwartału i wyniósł 10,8%. W miastach regionalnych zaobserwowano nieznaczne spadki w Łodzi, Lublinie i Szczecinie, natomiast wzrost dostępności zaobserwowano w Katowicach.</w:t>
      </w:r>
      <w:r w:rsidRPr="00876015">
        <w:rPr>
          <w:i/>
          <w:sz w:val="20"/>
          <w:szCs w:val="20"/>
        </w:rPr>
        <w:t xml:space="preserve"> – o </w:t>
      </w:r>
      <w:r w:rsidR="00CE6049" w:rsidRPr="00CE6049">
        <w:rPr>
          <w:i/>
          <w:sz w:val="20"/>
          <w:szCs w:val="20"/>
        </w:rPr>
        <w:t>1</w:t>
      </w:r>
      <w:r w:rsidR="00AD1746">
        <w:rPr>
          <w:i/>
          <w:sz w:val="20"/>
          <w:szCs w:val="20"/>
        </w:rPr>
        <w:t>,</w:t>
      </w:r>
      <w:r w:rsidR="00CE6049" w:rsidRPr="00CE6049">
        <w:rPr>
          <w:i/>
          <w:sz w:val="20"/>
          <w:szCs w:val="20"/>
        </w:rPr>
        <w:t xml:space="preserve">6 pp. Wskaźnik niewynajęcia dla miast regionalnych pozostaje podwyższony i wynosi średnio 17,5%. Na wszystkich rynkach biurowych objętych analizą dostępna powierzchnia wyniosła 1,86 mln mkw., co jest zbliżonym poziomem względem </w:t>
      </w:r>
      <w:r w:rsidRPr="00876015">
        <w:rPr>
          <w:i/>
          <w:sz w:val="20"/>
          <w:szCs w:val="20"/>
        </w:rPr>
        <w:t>II kwartału ubiegłego roku</w:t>
      </w:r>
      <w:r>
        <w:rPr>
          <w:iCs/>
          <w:sz w:val="20"/>
          <w:szCs w:val="20"/>
        </w:rPr>
        <w:t xml:space="preserve"> </w:t>
      </w:r>
      <w:r w:rsidR="00836AD4">
        <w:rPr>
          <w:i/>
          <w:iCs/>
          <w:sz w:val="20"/>
          <w:szCs w:val="20"/>
        </w:rPr>
        <w:t xml:space="preserve">– </w:t>
      </w:r>
      <w:r w:rsidR="00836AD4" w:rsidRPr="00436CE4">
        <w:rPr>
          <w:sz w:val="20"/>
          <w:szCs w:val="20"/>
        </w:rPr>
        <w:t>tłumaczy</w:t>
      </w:r>
      <w:r w:rsidR="00836AD4">
        <w:rPr>
          <w:i/>
          <w:iCs/>
          <w:sz w:val="20"/>
          <w:szCs w:val="20"/>
        </w:rPr>
        <w:t xml:space="preserve"> </w:t>
      </w:r>
      <w:r w:rsidR="00836AD4">
        <w:rPr>
          <w:b/>
          <w:bCs/>
          <w:sz w:val="20"/>
          <w:szCs w:val="20"/>
        </w:rPr>
        <w:t>Vitalii Arkhypenko, Analityk Rynku</w:t>
      </w:r>
      <w:r w:rsidR="00836AD4">
        <w:rPr>
          <w:sz w:val="20"/>
          <w:szCs w:val="20"/>
        </w:rPr>
        <w:t xml:space="preserve">, </w:t>
      </w:r>
      <w:r w:rsidR="00836AD4">
        <w:rPr>
          <w:b/>
          <w:bCs/>
          <w:sz w:val="20"/>
          <w:szCs w:val="20"/>
        </w:rPr>
        <w:t>Cushman &amp; Wakefield.</w:t>
      </w:r>
    </w:p>
    <w:p w14:paraId="6D86097E" w14:textId="39FE1D80" w:rsidR="00836AD4" w:rsidRPr="00CE6049" w:rsidRDefault="00876015" w:rsidP="00CE6049">
      <w:pPr>
        <w:spacing w:line="24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CZYNSZE: drożej głównie w centrum</w:t>
      </w:r>
    </w:p>
    <w:p w14:paraId="7CB55577" w14:textId="2B93B270" w:rsidR="00876015" w:rsidRDefault="00CE6049" w:rsidP="00CE6049">
      <w:pPr>
        <w:spacing w:line="240" w:lineRule="auto"/>
        <w:jc w:val="both"/>
        <w:rPr>
          <w:iCs/>
          <w:sz w:val="20"/>
          <w:szCs w:val="20"/>
        </w:rPr>
      </w:pPr>
      <w:r w:rsidRPr="00CE6049">
        <w:rPr>
          <w:iCs/>
          <w:sz w:val="20"/>
          <w:szCs w:val="20"/>
        </w:rPr>
        <w:t>W czerwcu 2025 roku stawki „premium” za najlepsze powierzchnie biurowe w Warszawie wyniosły przeciętnie 24,00-27,00 EUR/ mkw./ miesiąc w strefie Centrum oraz 15,00-19,00 EUR/ mkw./ miesiąc w lokalizacjach poza centralnych.</w:t>
      </w:r>
    </w:p>
    <w:p w14:paraId="6749DEEB" w14:textId="253A61E6" w:rsidR="00436CE4" w:rsidRPr="00876015" w:rsidRDefault="00876015" w:rsidP="00436CE4">
      <w:pPr>
        <w:spacing w:line="240" w:lineRule="auto"/>
        <w:jc w:val="both"/>
        <w:rPr>
          <w:iCs/>
          <w:sz w:val="20"/>
          <w:szCs w:val="20"/>
        </w:rPr>
      </w:pPr>
      <w:r>
        <w:rPr>
          <w:sz w:val="20"/>
          <w:szCs w:val="20"/>
        </w:rPr>
        <w:t xml:space="preserve">– </w:t>
      </w:r>
      <w:r w:rsidRPr="00876015">
        <w:rPr>
          <w:i/>
          <w:sz w:val="20"/>
          <w:szCs w:val="20"/>
        </w:rPr>
        <w:t>W Warszawie w</w:t>
      </w:r>
      <w:r w:rsidR="00CE6049" w:rsidRPr="00CE6049">
        <w:rPr>
          <w:i/>
          <w:sz w:val="20"/>
          <w:szCs w:val="20"/>
        </w:rPr>
        <w:t>zrosty czynszu zaobserwowano przede wszystkim w nowo oddawanych budynkach w Centrum. Z kolei w budynkach istniejących</w:t>
      </w:r>
      <w:r w:rsidRPr="00876015">
        <w:rPr>
          <w:i/>
          <w:sz w:val="20"/>
          <w:szCs w:val="20"/>
        </w:rPr>
        <w:t xml:space="preserve">, zarówno </w:t>
      </w:r>
      <w:r w:rsidR="00CE6049" w:rsidRPr="00CE6049">
        <w:rPr>
          <w:i/>
          <w:sz w:val="20"/>
          <w:szCs w:val="20"/>
        </w:rPr>
        <w:t>w strefach centralnych i poza centralnych</w:t>
      </w:r>
      <w:r w:rsidRPr="00876015">
        <w:rPr>
          <w:i/>
          <w:sz w:val="20"/>
          <w:szCs w:val="20"/>
        </w:rPr>
        <w:t xml:space="preserve"> </w:t>
      </w:r>
      <w:r w:rsidR="00CE6049" w:rsidRPr="00CE6049">
        <w:rPr>
          <w:i/>
          <w:sz w:val="20"/>
          <w:szCs w:val="20"/>
        </w:rPr>
        <w:t>o wysokim poziomie obłożenia, czynsze rosły na poziomie zbliżonym do wskaźnika inflacji, poprzez indeksację czynszu ofertowego.</w:t>
      </w:r>
      <w:r w:rsidRPr="00876015">
        <w:rPr>
          <w:i/>
          <w:sz w:val="20"/>
          <w:szCs w:val="20"/>
        </w:rPr>
        <w:t xml:space="preserve"> </w:t>
      </w:r>
      <w:r w:rsidR="00CE6049" w:rsidRPr="00CE6049">
        <w:rPr>
          <w:i/>
          <w:sz w:val="20"/>
          <w:szCs w:val="20"/>
        </w:rPr>
        <w:t>W miastach regionalnych najlepsze biura w centrum były oferowane średnio w przedziale cenowym 14,00-17,00 EUR/ mkw./ miesiąc</w:t>
      </w:r>
      <w:r w:rsidRPr="00876015">
        <w:rPr>
          <w:i/>
          <w:sz w:val="20"/>
          <w:szCs w:val="20"/>
        </w:rPr>
        <w:t>. J</w:t>
      </w:r>
      <w:r w:rsidR="00CE6049" w:rsidRPr="00CE6049">
        <w:rPr>
          <w:i/>
          <w:sz w:val="20"/>
          <w:szCs w:val="20"/>
        </w:rPr>
        <w:t>ednocześnie stawki czynszu wyższe od średniej odnotowywane są w budynkach nowo oddawanych lub umiejscowionych w dobrych lokalizacjach</w:t>
      </w:r>
      <w:r>
        <w:rPr>
          <w:iCs/>
          <w:sz w:val="20"/>
          <w:szCs w:val="20"/>
        </w:rPr>
        <w:t xml:space="preserve"> </w:t>
      </w:r>
      <w:r w:rsidR="00436CE4">
        <w:rPr>
          <w:sz w:val="20"/>
          <w:szCs w:val="20"/>
        </w:rPr>
        <w:t xml:space="preserve">– podsumowuje </w:t>
      </w:r>
      <w:r w:rsidR="00436CE4" w:rsidRPr="00436CE4">
        <w:rPr>
          <w:b/>
          <w:bCs/>
          <w:sz w:val="20"/>
          <w:szCs w:val="20"/>
        </w:rPr>
        <w:t xml:space="preserve">Jan Szulborski, Business Development &amp; </w:t>
      </w:r>
      <w:proofErr w:type="spellStart"/>
      <w:r w:rsidR="00436CE4" w:rsidRPr="00436CE4">
        <w:rPr>
          <w:b/>
          <w:bCs/>
          <w:sz w:val="20"/>
          <w:szCs w:val="20"/>
        </w:rPr>
        <w:t>Insight</w:t>
      </w:r>
      <w:proofErr w:type="spellEnd"/>
      <w:r w:rsidR="00436CE4" w:rsidRPr="00436CE4">
        <w:rPr>
          <w:b/>
          <w:bCs/>
          <w:sz w:val="20"/>
          <w:szCs w:val="20"/>
        </w:rPr>
        <w:t xml:space="preserve"> Manager, </w:t>
      </w:r>
      <w:proofErr w:type="spellStart"/>
      <w:r w:rsidR="00436CE4" w:rsidRPr="00436CE4">
        <w:rPr>
          <w:b/>
          <w:bCs/>
          <w:sz w:val="20"/>
          <w:szCs w:val="20"/>
        </w:rPr>
        <w:t>Cushman</w:t>
      </w:r>
      <w:proofErr w:type="spellEnd"/>
      <w:r w:rsidR="00436CE4" w:rsidRPr="00436CE4">
        <w:rPr>
          <w:b/>
          <w:bCs/>
          <w:sz w:val="20"/>
          <w:szCs w:val="20"/>
        </w:rPr>
        <w:t xml:space="preserve"> &amp; Wakefield.</w:t>
      </w:r>
    </w:p>
    <w:p w14:paraId="24A7950F" w14:textId="77777777" w:rsidR="00953949" w:rsidRDefault="00953949" w:rsidP="00096548">
      <w:pPr>
        <w:spacing w:line="240" w:lineRule="auto"/>
        <w:jc w:val="both"/>
        <w:rPr>
          <w:b/>
          <w:sz w:val="16"/>
          <w:szCs w:val="16"/>
        </w:rPr>
      </w:pPr>
    </w:p>
    <w:p w14:paraId="482909FA" w14:textId="4C0E1CC4" w:rsidR="004B3D1A" w:rsidRPr="00953949" w:rsidRDefault="004B3D1A" w:rsidP="00953949">
      <w:pPr>
        <w:spacing w:line="240" w:lineRule="auto"/>
        <w:jc w:val="both"/>
        <w:rPr>
          <w:rFonts w:eastAsia="Times New Roman"/>
          <w:b/>
          <w:bCs/>
          <w:sz w:val="20"/>
          <w:szCs w:val="20"/>
          <w:lang w:eastAsia="en-US"/>
        </w:rPr>
      </w:pPr>
      <w:r w:rsidRPr="007E6CDD">
        <w:rPr>
          <w:b/>
          <w:sz w:val="16"/>
          <w:szCs w:val="16"/>
        </w:rPr>
        <w:lastRenderedPageBreak/>
        <w:t>O Cushman &amp; Wakefiel</w:t>
      </w:r>
      <w:r w:rsidR="00AC6DF8" w:rsidRPr="007E6CDD">
        <w:rPr>
          <w:b/>
          <w:sz w:val="16"/>
          <w:szCs w:val="16"/>
        </w:rPr>
        <w:t>d</w:t>
      </w:r>
    </w:p>
    <w:p w14:paraId="74A9581D" w14:textId="77777777" w:rsidR="00953949" w:rsidRPr="004170C0" w:rsidRDefault="00953949" w:rsidP="00953949">
      <w:pPr>
        <w:jc w:val="both"/>
        <w:rPr>
          <w:bCs/>
          <w:sz w:val="16"/>
          <w:szCs w:val="16"/>
        </w:rPr>
      </w:pPr>
      <w:r w:rsidRPr="004170C0">
        <w:rPr>
          <w:bCs/>
          <w:sz w:val="16"/>
          <w:szCs w:val="16"/>
        </w:rPr>
        <w:t>Cushman &amp; Wakefield (NYSE: CWK) jest wiodącą na świecie firmą świadczącą usługi na rzecz właścicieli i najemców nieruchomości komercyjnych. Zatrudnia ok. 52 tys. pracowników w niemal 400 biurach i 60 krajach na całym świecie. W 2024 roku jej przychody wyniosły 9,4 mld USD. Do najważniejszych usług świadczonych przez firmę należą m.in. zarządzanie nieruchomościami, obiektami i projektami, pośrednictwo w wynajmie powierzchni, obsługa transakcji na rynkach kapitałowych oraz wyceny. Za nieustanne dążenie do doskonałości zgodnie z zasadą </w:t>
      </w:r>
      <w:proofErr w:type="spellStart"/>
      <w:r w:rsidRPr="004170C0">
        <w:rPr>
          <w:bCs/>
          <w:i/>
          <w:iCs/>
          <w:sz w:val="16"/>
          <w:szCs w:val="16"/>
        </w:rPr>
        <w:t>Better</w:t>
      </w:r>
      <w:proofErr w:type="spellEnd"/>
      <w:r w:rsidRPr="004170C0">
        <w:rPr>
          <w:bCs/>
          <w:i/>
          <w:iCs/>
          <w:sz w:val="16"/>
          <w:szCs w:val="16"/>
        </w:rPr>
        <w:t xml:space="preserve"> </w:t>
      </w:r>
      <w:proofErr w:type="spellStart"/>
      <w:r w:rsidRPr="004170C0">
        <w:rPr>
          <w:bCs/>
          <w:i/>
          <w:iCs/>
          <w:sz w:val="16"/>
          <w:szCs w:val="16"/>
        </w:rPr>
        <w:t>never</w:t>
      </w:r>
      <w:proofErr w:type="spellEnd"/>
      <w:r w:rsidRPr="004170C0">
        <w:rPr>
          <w:bCs/>
          <w:i/>
          <w:iCs/>
          <w:sz w:val="16"/>
          <w:szCs w:val="16"/>
        </w:rPr>
        <w:t xml:space="preserve"> </w:t>
      </w:r>
      <w:proofErr w:type="spellStart"/>
      <w:r w:rsidRPr="004170C0">
        <w:rPr>
          <w:bCs/>
          <w:i/>
          <w:iCs/>
          <w:sz w:val="16"/>
          <w:szCs w:val="16"/>
        </w:rPr>
        <w:t>settles</w:t>
      </w:r>
      <w:proofErr w:type="spellEnd"/>
      <w:r w:rsidRPr="004170C0">
        <w:rPr>
          <w:bCs/>
          <w:sz w:val="16"/>
          <w:szCs w:val="16"/>
        </w:rPr>
        <w:t> </w:t>
      </w:r>
      <w:proofErr w:type="spellStart"/>
      <w:r w:rsidRPr="004170C0">
        <w:rPr>
          <w:bCs/>
          <w:sz w:val="16"/>
          <w:szCs w:val="16"/>
        </w:rPr>
        <w:t>Cushman</w:t>
      </w:r>
      <w:proofErr w:type="spellEnd"/>
      <w:r w:rsidRPr="004170C0">
        <w:rPr>
          <w:bCs/>
          <w:sz w:val="16"/>
          <w:szCs w:val="16"/>
        </w:rPr>
        <w:t xml:space="preserve"> &amp; Wakefield otrzymuje wiele wyróżnień oraz nagród w konkursach branżowych i biznesowych. Dodatkowe informacje na stronie </w:t>
      </w:r>
      <w:hyperlink r:id="rId11" w:tgtFrame="_blank" w:tooltip="http://www.cushmanwakefield.com" w:history="1">
        <w:r w:rsidRPr="004170C0">
          <w:rPr>
            <w:rStyle w:val="Hyperlink"/>
            <w:bCs/>
            <w:sz w:val="16"/>
            <w:szCs w:val="16"/>
          </w:rPr>
          <w:t>www.cushmanwakefield.com</w:t>
        </w:r>
      </w:hyperlink>
      <w:r w:rsidRPr="004170C0">
        <w:rPr>
          <w:bCs/>
          <w:sz w:val="16"/>
          <w:szCs w:val="16"/>
        </w:rPr>
        <w:t>.</w:t>
      </w:r>
    </w:p>
    <w:p w14:paraId="64A83442" w14:textId="3BDC5694" w:rsidR="00BC2537" w:rsidRPr="00AF11EE" w:rsidRDefault="00A13F0B" w:rsidP="0017521E">
      <w:pPr>
        <w:jc w:val="center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en-US"/>
        </w:rPr>
        <w:t xml:space="preserve">- </w:t>
      </w:r>
      <w:r w:rsidR="00CC60E7" w:rsidRPr="004E5A7E">
        <w:rPr>
          <w:rFonts w:eastAsia="Times New Roman"/>
          <w:b/>
          <w:bCs/>
          <w:sz w:val="16"/>
          <w:szCs w:val="16"/>
          <w:lang w:eastAsia="en-US"/>
        </w:rPr>
        <w:t xml:space="preserve">KONIEC </w:t>
      </w:r>
      <w:r w:rsidR="0085202E">
        <w:rPr>
          <w:rFonts w:eastAsia="Times New Roman"/>
          <w:b/>
          <w:bCs/>
          <w:sz w:val="16"/>
          <w:szCs w:val="16"/>
          <w:lang w:eastAsia="en-US"/>
        </w:rPr>
        <w:t>-</w:t>
      </w:r>
    </w:p>
    <w:sectPr w:rsidR="00BC2537" w:rsidRPr="00AF11EE">
      <w:headerReference w:type="default" r:id="rId12"/>
      <w:footerReference w:type="default" r:id="rId13"/>
      <w:headerReference w:type="first" r:id="rId14"/>
      <w:footerReference w:type="first" r:id="rId15"/>
      <w:pgSz w:w="11907" w:h="16839"/>
      <w:pgMar w:top="3600" w:right="1008" w:bottom="2880" w:left="1224" w:header="1800" w:footer="43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8C86B" w14:textId="77777777" w:rsidR="00F737D1" w:rsidRDefault="00F737D1">
      <w:pPr>
        <w:spacing w:after="0" w:line="240" w:lineRule="auto"/>
      </w:pPr>
      <w:r>
        <w:separator/>
      </w:r>
    </w:p>
  </w:endnote>
  <w:endnote w:type="continuationSeparator" w:id="0">
    <w:p w14:paraId="04D1ADD7" w14:textId="77777777" w:rsidR="00F737D1" w:rsidRDefault="00F737D1">
      <w:pPr>
        <w:spacing w:after="0" w:line="240" w:lineRule="auto"/>
      </w:pPr>
      <w:r>
        <w:continuationSeparator/>
      </w:r>
    </w:p>
  </w:endnote>
  <w:endnote w:type="continuationNotice" w:id="1">
    <w:p w14:paraId="4B9C91BA" w14:textId="77777777" w:rsidR="00F737D1" w:rsidRDefault="00F737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0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00"/>
    </w:tblGrid>
    <w:tr w:rsidR="00C8277A" w:rsidRPr="005B2397" w14:paraId="2AD926AD" w14:textId="77777777" w:rsidTr="00B924E3">
      <w:trPr>
        <w:trHeight w:val="630"/>
      </w:trPr>
      <w:tc>
        <w:tcPr>
          <w:tcW w:w="8931" w:type="dxa"/>
          <w:vAlign w:val="bottom"/>
        </w:tcPr>
        <w:p w14:paraId="46F11C58" w14:textId="77777777" w:rsidR="00025C81" w:rsidRPr="00C8277A" w:rsidRDefault="001A4929" w:rsidP="00B924E3">
          <w:pPr>
            <w:pStyle w:val="Heading2"/>
            <w:rPr>
              <w:rFonts w:ascii="Arial" w:hAnsi="Arial" w:cs="Arial"/>
              <w:color w:val="000000" w:themeColor="text1"/>
            </w:rPr>
          </w:pPr>
          <w:r w:rsidRPr="00C8277A">
            <w:rPr>
              <w:rFonts w:ascii="Arial" w:hAnsi="Arial" w:cs="Arial"/>
              <w:color w:val="000000" w:themeColor="text1"/>
            </w:rPr>
            <w:t>Dodatkowe informacje:</w:t>
          </w:r>
        </w:p>
      </w:tc>
    </w:tr>
    <w:tr w:rsidR="00C8277A" w:rsidRPr="00887B2F" w14:paraId="2F690183" w14:textId="77777777" w:rsidTr="00B924E3">
      <w:trPr>
        <w:trHeight w:val="1260"/>
      </w:trPr>
      <w:tc>
        <w:tcPr>
          <w:tcW w:w="8931" w:type="dxa"/>
        </w:tcPr>
        <w:tbl>
          <w:tblPr>
            <w:tblStyle w:val="PlainTable41"/>
            <w:tblW w:w="8582" w:type="dxa"/>
            <w:tblLayout w:type="fixed"/>
            <w:tblLook w:val="04A0" w:firstRow="1" w:lastRow="0" w:firstColumn="1" w:lastColumn="0" w:noHBand="0" w:noVBand="1"/>
          </w:tblPr>
          <w:tblGrid>
            <w:gridCol w:w="8560"/>
            <w:gridCol w:w="220"/>
            <w:gridCol w:w="220"/>
          </w:tblGrid>
          <w:tr w:rsidR="003E5A4E" w:rsidRPr="00887B2F" w14:paraId="73319B5E" w14:textId="77777777" w:rsidTr="003E5A4E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116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53" w:type="dxa"/>
              </w:tcPr>
              <w:tbl>
                <w:tblPr>
                  <w:tblStyle w:val="TableGrid"/>
                  <w:tblW w:w="12172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6086"/>
                  <w:gridCol w:w="6086"/>
                </w:tblGrid>
                <w:tr w:rsidR="003E5A4E" w:rsidRPr="00887B2F" w14:paraId="32B5F073" w14:textId="77777777" w:rsidTr="003E5A4E">
                  <w:trPr>
                    <w:trHeight w:val="738"/>
                  </w:trPr>
                  <w:tc>
                    <w:tcPr>
                      <w:tcW w:w="6086" w:type="dxa"/>
                    </w:tcPr>
                    <w:p w14:paraId="67AD71FE" w14:textId="02F68497" w:rsidR="003E5A4E" w:rsidRPr="001E19D5" w:rsidRDefault="003E5A4E" w:rsidP="00B924E3">
                      <w:pPr>
                        <w:pStyle w:val="ContactName"/>
                        <w:spacing w:line="240" w:lineRule="auto"/>
                        <w:rPr>
                          <w:color w:val="696B6B"/>
                          <w:szCs w:val="18"/>
                          <w:u w:color="696B6B"/>
                          <w:lang w:val="en-US"/>
                        </w:rPr>
                      </w:pPr>
                      <w:r w:rsidRPr="001E19D5">
                        <w:rPr>
                          <w:color w:val="696B6B"/>
                          <w:szCs w:val="18"/>
                          <w:u w:color="696B6B"/>
                          <w:lang w:val="en-US"/>
                        </w:rPr>
                        <w:t>Karolina Samczyńska-Fiślak</w:t>
                      </w:r>
                    </w:p>
                    <w:p w14:paraId="03FB117E" w14:textId="77777777" w:rsidR="003E5A4E" w:rsidRPr="001E19D5" w:rsidRDefault="003E5A4E" w:rsidP="00B924E3">
                      <w:pPr>
                        <w:pStyle w:val="ContactName"/>
                        <w:spacing w:line="240" w:lineRule="auto"/>
                        <w:rPr>
                          <w:b w:val="0"/>
                          <w:bCs w:val="0"/>
                          <w:color w:val="696B6B"/>
                          <w:szCs w:val="18"/>
                          <w:u w:color="696B6B"/>
                          <w:lang w:val="en-US"/>
                        </w:rPr>
                      </w:pPr>
                      <w:r w:rsidRPr="001E19D5">
                        <w:rPr>
                          <w:b w:val="0"/>
                          <w:bCs w:val="0"/>
                          <w:color w:val="696B6B"/>
                          <w:szCs w:val="18"/>
                          <w:u w:color="696B6B"/>
                          <w:lang w:val="en-US"/>
                        </w:rPr>
                        <w:t xml:space="preserve">Cushman &amp; Wakefield </w:t>
                      </w:r>
                    </w:p>
                    <w:p w14:paraId="51DAB7AF" w14:textId="799868C8" w:rsidR="003E5A4E" w:rsidRPr="001E19D5" w:rsidRDefault="003E5A4E" w:rsidP="00B924E3">
                      <w:pPr>
                        <w:rPr>
                          <w:rFonts w:ascii="Calibri" w:eastAsia="Times New Roman" w:hAnsi="Calibri"/>
                          <w:sz w:val="18"/>
                          <w:szCs w:val="18"/>
                        </w:rPr>
                      </w:pPr>
                      <w:r w:rsidRPr="001E19D5">
                        <w:rPr>
                          <w:rFonts w:ascii="Calibri" w:hAnsi="Calibri"/>
                          <w:color w:val="696B6B"/>
                          <w:sz w:val="18"/>
                          <w:szCs w:val="18"/>
                          <w:u w:color="696B6B"/>
                        </w:rPr>
                        <w:t>Tel: + 48 22 820 20 20; 691 060 202</w:t>
                      </w:r>
                    </w:p>
                    <w:p w14:paraId="4EC59528" w14:textId="747EA004" w:rsidR="003E5A4E" w:rsidRPr="009D1ABC" w:rsidRDefault="003E5A4E" w:rsidP="00B924E3">
                      <w:pPr>
                        <w:pStyle w:val="ContactName"/>
                        <w:tabs>
                          <w:tab w:val="right" w:pos="4688"/>
                        </w:tabs>
                        <w:spacing w:line="240" w:lineRule="auto"/>
                        <w:rPr>
                          <w:color w:val="696B6B"/>
                          <w:u w:color="696B6B"/>
                          <w:lang w:val="de-DE"/>
                        </w:rPr>
                      </w:pPr>
                      <w:proofErr w:type="spellStart"/>
                      <w:r w:rsidRPr="009D1ABC">
                        <w:rPr>
                          <w:color w:val="696B6B"/>
                          <w:u w:color="696B6B"/>
                          <w:lang w:val="de-DE"/>
                        </w:rPr>
                        <w:t>e-mail</w:t>
                      </w:r>
                      <w:proofErr w:type="spellEnd"/>
                      <w:r w:rsidRPr="009D1ABC">
                        <w:rPr>
                          <w:color w:val="696B6B"/>
                          <w:u w:color="696B6B"/>
                          <w:lang w:val="de-DE"/>
                        </w:rPr>
                        <w:t xml:space="preserve">: </w:t>
                      </w:r>
                      <w:hyperlink r:id="rId1" w:history="1">
                        <w:r w:rsidRPr="00B37771">
                          <w:rPr>
                            <w:rStyle w:val="Hyperlink"/>
                            <w:lang w:val="de-AT"/>
                          </w:rPr>
                          <w:t>karolina.samczynska@cushwake.pl</w:t>
                        </w:r>
                      </w:hyperlink>
                    </w:p>
                  </w:tc>
                  <w:tc>
                    <w:tcPr>
                      <w:tcW w:w="6086" w:type="dxa"/>
                    </w:tcPr>
                    <w:p w14:paraId="4668A659" w14:textId="77777777" w:rsidR="003E5A4E" w:rsidRPr="00675B1B" w:rsidRDefault="003E5A4E" w:rsidP="003E5A4E">
                      <w:pPr>
                        <w:pStyle w:val="ContactName"/>
                        <w:spacing w:line="240" w:lineRule="auto"/>
                        <w:rPr>
                          <w:rStyle w:val="Brak"/>
                          <w:b w:val="0"/>
                          <w:color w:val="696B6B"/>
                          <w:u w:color="696B6B"/>
                          <w:lang w:val="pl-PL"/>
                        </w:rPr>
                      </w:pPr>
                      <w:r w:rsidRPr="00675B1B">
                        <w:rPr>
                          <w:rStyle w:val="Brak"/>
                          <w:color w:val="696B6B"/>
                          <w:u w:color="696B6B"/>
                          <w:lang w:val="pl-PL"/>
                        </w:rPr>
                        <w:t>Magdalena Znyk-Ossowska</w:t>
                      </w:r>
                    </w:p>
                    <w:p w14:paraId="37C27841" w14:textId="77777777" w:rsidR="003E5A4E" w:rsidRPr="00675B1B" w:rsidRDefault="003E5A4E" w:rsidP="003E5A4E">
                      <w:pPr>
                        <w:pStyle w:val="ContactName"/>
                        <w:spacing w:line="240" w:lineRule="auto"/>
                        <w:rPr>
                          <w:rStyle w:val="Brak"/>
                          <w:color w:val="696B6B"/>
                          <w:u w:color="696B6B"/>
                          <w:lang w:val="pl-PL"/>
                        </w:rPr>
                      </w:pPr>
                      <w:r w:rsidRPr="00675B1B">
                        <w:rPr>
                          <w:rStyle w:val="Brak"/>
                          <w:color w:val="696B6B"/>
                          <w:u w:color="696B6B"/>
                          <w:lang w:val="pl-PL"/>
                        </w:rPr>
                        <w:t>Linkleaders</w:t>
                      </w:r>
                    </w:p>
                    <w:p w14:paraId="3A8C19E0" w14:textId="77777777" w:rsidR="003E5A4E" w:rsidRPr="00675B1B" w:rsidRDefault="003E5A4E" w:rsidP="003E5A4E">
                      <w:pPr>
                        <w:pStyle w:val="ContactName"/>
                        <w:spacing w:line="240" w:lineRule="auto"/>
                        <w:rPr>
                          <w:rStyle w:val="Brak"/>
                          <w:b w:val="0"/>
                          <w:bCs w:val="0"/>
                          <w:color w:val="696B6B"/>
                          <w:u w:color="696B6B"/>
                          <w:lang w:val="pl-PL"/>
                        </w:rPr>
                      </w:pPr>
                      <w:r w:rsidRPr="00675B1B">
                        <w:rPr>
                          <w:rStyle w:val="Brak"/>
                          <w:color w:val="696B6B"/>
                          <w:u w:color="696B6B"/>
                          <w:lang w:val="pl-PL"/>
                        </w:rPr>
                        <w:t>Tel: +48 </w:t>
                      </w:r>
                      <w:r w:rsidRPr="00675B1B">
                        <w:rPr>
                          <w:rFonts w:eastAsia="Arial" w:cs="Arial"/>
                          <w:color w:val="696B6B"/>
                          <w:szCs w:val="18"/>
                          <w:lang w:val="pl-PL" w:eastAsia="pl-PL"/>
                        </w:rPr>
                        <w:t>502 556 846</w:t>
                      </w:r>
                    </w:p>
                    <w:p w14:paraId="2BC96C0F" w14:textId="77777777" w:rsidR="003E5A4E" w:rsidRPr="00675B1B" w:rsidRDefault="003E5A4E" w:rsidP="003E5A4E">
                      <w:pPr>
                        <w:pStyle w:val="ContactName"/>
                        <w:spacing w:line="240" w:lineRule="auto"/>
                        <w:rPr>
                          <w:rStyle w:val="Brak"/>
                          <w:color w:val="696B6B"/>
                          <w:u w:color="696B6B"/>
                          <w:lang w:val="pl-PL"/>
                        </w:rPr>
                      </w:pPr>
                    </w:p>
                    <w:p w14:paraId="69435270" w14:textId="77777777" w:rsidR="003E5A4E" w:rsidRPr="00333C1F" w:rsidRDefault="003E5A4E" w:rsidP="003E5A4E">
                      <w:pPr>
                        <w:pStyle w:val="ContactDetail"/>
                        <w:spacing w:line="240" w:lineRule="auto"/>
                        <w:rPr>
                          <w:lang w:val="de-DE"/>
                        </w:rPr>
                      </w:pPr>
                      <w:r w:rsidRPr="00333C1F">
                        <w:rPr>
                          <w:rStyle w:val="Brak"/>
                          <w:color w:val="696B6B"/>
                          <w:u w:color="696B6B"/>
                          <w:lang w:val="de-DE"/>
                        </w:rPr>
                        <w:t xml:space="preserve">e-mail: </w:t>
                      </w:r>
                      <w:r w:rsidRPr="00333C1F">
                        <w:rPr>
                          <w:rStyle w:val="Hyperlink0"/>
                          <w:color w:val="008B98"/>
                          <w:lang w:val="de-DE"/>
                        </w:rPr>
                        <w:t>Magdalena.ossowska@linkleaders.pl</w:t>
                      </w:r>
                    </w:p>
                    <w:p w14:paraId="397E05EC" w14:textId="77777777" w:rsidR="003E5A4E" w:rsidRPr="00167436" w:rsidRDefault="003E5A4E" w:rsidP="00B924E3">
                      <w:pPr>
                        <w:pStyle w:val="ContactName"/>
                        <w:spacing w:line="240" w:lineRule="auto"/>
                        <w:rPr>
                          <w:rStyle w:val="Brak"/>
                          <w:color w:val="696B6B"/>
                          <w:u w:color="696B6B"/>
                          <w:lang w:val="de-DE"/>
                        </w:rPr>
                      </w:pPr>
                    </w:p>
                  </w:tc>
                </w:tr>
              </w:tbl>
              <w:p w14:paraId="08D62AB9" w14:textId="77777777" w:rsidR="00025C81" w:rsidRPr="009D1ABC" w:rsidRDefault="00025C81" w:rsidP="00B924E3">
                <w:pPr>
                  <w:pStyle w:val="ContactDetail"/>
                  <w:rPr>
                    <w:rFonts w:asciiTheme="minorHAnsi" w:hAnsiTheme="minorHAnsi" w:cstheme="minorHAnsi"/>
                    <w:color w:val="000000" w:themeColor="text1"/>
                    <w:lang w:val="es-ES_tradnl"/>
                  </w:rPr>
                </w:pPr>
              </w:p>
            </w:tc>
            <w:tc>
              <w:tcPr>
                <w:tcW w:w="4111" w:type="dxa"/>
              </w:tcPr>
              <w:p w14:paraId="4ED69CDE" w14:textId="77777777" w:rsidR="00025C81" w:rsidRPr="003E5A4E" w:rsidRDefault="00025C81" w:rsidP="003E5A4E">
                <w:pPr>
                  <w:pStyle w:val="ContactDetail"/>
                  <w:spacing w:line="24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Style w:val="Brak"/>
                    <w:color w:val="696B6B"/>
                    <w:u w:color="696B6B"/>
                    <w:lang w:val="es-ES_tradnl"/>
                  </w:rPr>
                </w:pPr>
              </w:p>
            </w:tc>
            <w:tc>
              <w:tcPr>
                <w:tcW w:w="218" w:type="dxa"/>
              </w:tcPr>
              <w:p w14:paraId="1A4CBD3A" w14:textId="77777777" w:rsidR="00025C81" w:rsidRPr="00333C1F" w:rsidRDefault="00025C81" w:rsidP="00B924E3">
                <w:pPr>
                  <w:pStyle w:val="ContactDetail"/>
                  <w:spacing w:line="24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lang w:val="de-DE"/>
                  </w:rPr>
                </w:pPr>
              </w:p>
              <w:p w14:paraId="0D0425FA" w14:textId="77777777" w:rsidR="00025C81" w:rsidRPr="00333C1F" w:rsidRDefault="00025C81" w:rsidP="00B924E3">
                <w:pPr>
                  <w:pStyle w:val="ContactDetail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 w:themeColor="text1"/>
                    <w:lang w:val="de-DE"/>
                  </w:rPr>
                </w:pPr>
              </w:p>
            </w:tc>
          </w:tr>
        </w:tbl>
        <w:p w14:paraId="51226427" w14:textId="794B06BC" w:rsidR="00025C81" w:rsidRPr="00333C1F" w:rsidRDefault="00025C81" w:rsidP="00B924E3">
          <w:pPr>
            <w:pStyle w:val="ContactDetail"/>
            <w:rPr>
              <w:rFonts w:asciiTheme="minorHAnsi" w:hAnsiTheme="minorHAnsi" w:cstheme="minorHAnsi"/>
              <w:color w:val="000000" w:themeColor="text1"/>
              <w:lang w:val="de-DE"/>
            </w:rPr>
          </w:pPr>
        </w:p>
      </w:tc>
    </w:tr>
  </w:tbl>
  <w:p w14:paraId="6A6BD428" w14:textId="77777777" w:rsidR="00025C81" w:rsidRPr="00333C1F" w:rsidRDefault="00025C81">
    <w:pPr>
      <w:pStyle w:val="Footer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44E79" w14:textId="77777777" w:rsidR="00025C81" w:rsidRDefault="00025C81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W w:w="9000" w:type="dxa"/>
      <w:tblLayout w:type="fixed"/>
      <w:tblLook w:val="0400" w:firstRow="0" w:lastRow="0" w:firstColumn="0" w:lastColumn="0" w:noHBand="0" w:noVBand="1"/>
    </w:tblPr>
    <w:tblGrid>
      <w:gridCol w:w="5670"/>
      <w:gridCol w:w="3330"/>
    </w:tblGrid>
    <w:tr w:rsidR="00F67554" w14:paraId="57A23F18" w14:textId="77777777">
      <w:trPr>
        <w:trHeight w:val="630"/>
      </w:trPr>
      <w:tc>
        <w:tcPr>
          <w:tcW w:w="5670" w:type="dxa"/>
          <w:vAlign w:val="bottom"/>
        </w:tcPr>
        <w:p w14:paraId="00233554" w14:textId="77777777" w:rsidR="00025C81" w:rsidRDefault="001A4929">
          <w:pPr>
            <w:pStyle w:val="Heading2"/>
            <w:rPr>
              <w:rFonts w:ascii="Arial" w:eastAsia="Arial" w:hAnsi="Arial" w:cs="Arial"/>
              <w:color w:val="696B6B"/>
            </w:rPr>
          </w:pPr>
          <w:r>
            <w:rPr>
              <w:rFonts w:ascii="Arial" w:eastAsia="Arial" w:hAnsi="Arial" w:cs="Arial"/>
              <w:color w:val="696B6B"/>
            </w:rPr>
            <w:t>Media Contact:</w:t>
          </w:r>
        </w:p>
      </w:tc>
      <w:tc>
        <w:tcPr>
          <w:tcW w:w="3330" w:type="dxa"/>
          <w:vAlign w:val="bottom"/>
        </w:tcPr>
        <w:p w14:paraId="61C181ED" w14:textId="77777777" w:rsidR="00025C81" w:rsidRDefault="00025C81">
          <w:pPr>
            <w:spacing w:after="100" w:line="240" w:lineRule="auto"/>
            <w:rPr>
              <w:b/>
              <w:color w:val="696B6B"/>
              <w:sz w:val="18"/>
              <w:szCs w:val="18"/>
            </w:rPr>
          </w:pPr>
        </w:p>
      </w:tc>
    </w:tr>
    <w:tr w:rsidR="00F67554" w:rsidRPr="00887B2F" w14:paraId="17458FA5" w14:textId="77777777">
      <w:trPr>
        <w:trHeight w:val="1260"/>
      </w:trPr>
      <w:tc>
        <w:tcPr>
          <w:tcW w:w="5670" w:type="dxa"/>
          <w:vAlign w:val="bottom"/>
        </w:tcPr>
        <w:p w14:paraId="065B4F91" w14:textId="77777777" w:rsidR="00025C81" w:rsidRPr="00C8277A" w:rsidRDefault="001A4929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b/>
              <w:color w:val="696B6B"/>
              <w:sz w:val="18"/>
              <w:szCs w:val="18"/>
              <w:lang w:val="en-GB"/>
            </w:rPr>
          </w:pPr>
          <w:r w:rsidRPr="00C8277A">
            <w:rPr>
              <w:b/>
              <w:color w:val="696B6B"/>
              <w:sz w:val="18"/>
              <w:szCs w:val="18"/>
              <w:lang w:val="en-GB"/>
            </w:rPr>
            <w:t>Name</w:t>
          </w:r>
        </w:p>
        <w:p w14:paraId="78082AF7" w14:textId="77777777" w:rsidR="00025C81" w:rsidRPr="00C8277A" w:rsidRDefault="001A492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GB"/>
            </w:rPr>
          </w:pPr>
          <w:r w:rsidRPr="00C8277A">
            <w:rPr>
              <w:color w:val="696B6B"/>
              <w:sz w:val="18"/>
              <w:szCs w:val="18"/>
              <w:lang w:val="en-GB"/>
            </w:rPr>
            <w:t>Title</w:t>
          </w:r>
        </w:p>
        <w:p w14:paraId="6C6535E5" w14:textId="77777777" w:rsidR="00025C81" w:rsidRPr="00C8277A" w:rsidRDefault="001A492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GB"/>
            </w:rPr>
          </w:pPr>
          <w:r w:rsidRPr="00C8277A">
            <w:rPr>
              <w:color w:val="696B6B"/>
              <w:sz w:val="18"/>
              <w:szCs w:val="18"/>
              <w:lang w:val="en-GB"/>
            </w:rPr>
            <w:t>+1 000 000 0000</w:t>
          </w:r>
        </w:p>
        <w:p w14:paraId="01D18F40" w14:textId="7E1FEC25" w:rsidR="00025C81" w:rsidRPr="00C8277A" w:rsidRDefault="00B77D9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GB"/>
            </w:rPr>
          </w:pPr>
          <w:hyperlink r:id="rId1" w:history="1">
            <w:r w:rsidRPr="00D4241D">
              <w:rPr>
                <w:rStyle w:val="Hyperlink"/>
                <w:sz w:val="18"/>
                <w:szCs w:val="18"/>
                <w:lang w:val="en-GB"/>
              </w:rPr>
              <w:t>first.last@cushwake.com</w:t>
            </w:r>
          </w:hyperlink>
          <w:r w:rsidR="001A4929" w:rsidRPr="00C8277A">
            <w:rPr>
              <w:color w:val="696B6B"/>
              <w:sz w:val="18"/>
              <w:szCs w:val="18"/>
              <w:lang w:val="en-GB"/>
            </w:rPr>
            <w:t xml:space="preserve"> </w:t>
          </w:r>
        </w:p>
      </w:tc>
      <w:tc>
        <w:tcPr>
          <w:tcW w:w="3330" w:type="dxa"/>
          <w:vAlign w:val="bottom"/>
        </w:tcPr>
        <w:p w14:paraId="5F7143DE" w14:textId="77777777" w:rsidR="00025C81" w:rsidRPr="00C8277A" w:rsidRDefault="00025C8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GB"/>
            </w:rPr>
          </w:pPr>
        </w:p>
      </w:tc>
    </w:tr>
  </w:tbl>
  <w:p w14:paraId="62A457F3" w14:textId="77777777" w:rsidR="00025C81" w:rsidRPr="00C8277A" w:rsidRDefault="00025C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11649" w14:textId="77777777" w:rsidR="00F737D1" w:rsidRDefault="00F737D1">
      <w:pPr>
        <w:spacing w:after="0" w:line="240" w:lineRule="auto"/>
      </w:pPr>
      <w:r>
        <w:separator/>
      </w:r>
    </w:p>
  </w:footnote>
  <w:footnote w:type="continuationSeparator" w:id="0">
    <w:p w14:paraId="7841D41B" w14:textId="77777777" w:rsidR="00F737D1" w:rsidRDefault="00F737D1">
      <w:pPr>
        <w:spacing w:after="0" w:line="240" w:lineRule="auto"/>
      </w:pPr>
      <w:r>
        <w:continuationSeparator/>
      </w:r>
    </w:p>
  </w:footnote>
  <w:footnote w:type="continuationNotice" w:id="1">
    <w:p w14:paraId="278248B3" w14:textId="77777777" w:rsidR="00F737D1" w:rsidRDefault="00F737D1">
      <w:pPr>
        <w:spacing w:after="0" w:line="240" w:lineRule="auto"/>
      </w:pPr>
    </w:p>
  </w:footnote>
  <w:footnote w:id="2">
    <w:p w14:paraId="204ADA4A" w14:textId="53FF19B2" w:rsidR="00B32C6C" w:rsidRDefault="00B32C6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A231E">
        <w:rPr>
          <w:rFonts w:eastAsia="Times New Roman"/>
        </w:rPr>
        <w:t>Warszawa, Kraków, Wrocław, Trójmiasto, Katowice, Poznań, Łódź, Lublin i Szczecin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7E98D" w14:textId="77777777" w:rsidR="00025C81" w:rsidRDefault="001A49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6384EC7" wp14:editId="2933026F">
          <wp:simplePos x="0" y="0"/>
          <wp:positionH relativeFrom="column">
            <wp:posOffset>43133</wp:posOffset>
          </wp:positionH>
          <wp:positionV relativeFrom="paragraph">
            <wp:posOffset>-154975</wp:posOffset>
          </wp:positionV>
          <wp:extent cx="1933575" cy="40767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F1D7A" w14:textId="77777777" w:rsidR="00025C81" w:rsidRDefault="001A49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24F12382" wp14:editId="51EBFB22">
          <wp:simplePos x="0" y="0"/>
          <wp:positionH relativeFrom="column">
            <wp:posOffset>3811</wp:posOffset>
          </wp:positionH>
          <wp:positionV relativeFrom="paragraph">
            <wp:posOffset>-201294</wp:posOffset>
          </wp:positionV>
          <wp:extent cx="1933575" cy="40767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77968"/>
    <w:multiLevelType w:val="hybridMultilevel"/>
    <w:tmpl w:val="C66CC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14EDF"/>
    <w:multiLevelType w:val="hybridMultilevel"/>
    <w:tmpl w:val="FA123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922B5"/>
    <w:multiLevelType w:val="hybridMultilevel"/>
    <w:tmpl w:val="EEF01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974D6"/>
    <w:multiLevelType w:val="hybridMultilevel"/>
    <w:tmpl w:val="4D4E3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358402">
    <w:abstractNumId w:val="3"/>
  </w:num>
  <w:num w:numId="2" w16cid:durableId="922646369">
    <w:abstractNumId w:val="0"/>
  </w:num>
  <w:num w:numId="3" w16cid:durableId="1309627044">
    <w:abstractNumId w:val="2"/>
  </w:num>
  <w:num w:numId="4" w16cid:durableId="1038896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A2D"/>
    <w:rsid w:val="00001D62"/>
    <w:rsid w:val="00005FD5"/>
    <w:rsid w:val="000060A2"/>
    <w:rsid w:val="00007243"/>
    <w:rsid w:val="00013F59"/>
    <w:rsid w:val="00017267"/>
    <w:rsid w:val="000203A2"/>
    <w:rsid w:val="000251E4"/>
    <w:rsid w:val="00025C81"/>
    <w:rsid w:val="00027F57"/>
    <w:rsid w:val="00030342"/>
    <w:rsid w:val="0003245E"/>
    <w:rsid w:val="00044C5B"/>
    <w:rsid w:val="00051B59"/>
    <w:rsid w:val="00063FC7"/>
    <w:rsid w:val="00064A4E"/>
    <w:rsid w:val="00067FD0"/>
    <w:rsid w:val="000700E2"/>
    <w:rsid w:val="000720F5"/>
    <w:rsid w:val="0008371E"/>
    <w:rsid w:val="00083F43"/>
    <w:rsid w:val="0008451B"/>
    <w:rsid w:val="000854D7"/>
    <w:rsid w:val="00086C80"/>
    <w:rsid w:val="0008772D"/>
    <w:rsid w:val="0008799F"/>
    <w:rsid w:val="00092C27"/>
    <w:rsid w:val="00093540"/>
    <w:rsid w:val="00096548"/>
    <w:rsid w:val="000A52F1"/>
    <w:rsid w:val="000A54A7"/>
    <w:rsid w:val="000A622E"/>
    <w:rsid w:val="000B142D"/>
    <w:rsid w:val="000B29DE"/>
    <w:rsid w:val="000B4E80"/>
    <w:rsid w:val="000B57CB"/>
    <w:rsid w:val="000C30AD"/>
    <w:rsid w:val="000C4210"/>
    <w:rsid w:val="000C4294"/>
    <w:rsid w:val="000C585C"/>
    <w:rsid w:val="000D4656"/>
    <w:rsid w:val="000D5790"/>
    <w:rsid w:val="000D5FED"/>
    <w:rsid w:val="000D68FD"/>
    <w:rsid w:val="000D7839"/>
    <w:rsid w:val="000F64E0"/>
    <w:rsid w:val="000F7964"/>
    <w:rsid w:val="001013AF"/>
    <w:rsid w:val="001035B9"/>
    <w:rsid w:val="001062D1"/>
    <w:rsid w:val="00111135"/>
    <w:rsid w:val="00113B48"/>
    <w:rsid w:val="001141D8"/>
    <w:rsid w:val="001146DD"/>
    <w:rsid w:val="00114AF8"/>
    <w:rsid w:val="0011559A"/>
    <w:rsid w:val="0012061A"/>
    <w:rsid w:val="00122668"/>
    <w:rsid w:val="001231BC"/>
    <w:rsid w:val="00132CB9"/>
    <w:rsid w:val="00132F07"/>
    <w:rsid w:val="00136098"/>
    <w:rsid w:val="00140D17"/>
    <w:rsid w:val="00140D8B"/>
    <w:rsid w:val="00150F3F"/>
    <w:rsid w:val="00156F9C"/>
    <w:rsid w:val="00160B7F"/>
    <w:rsid w:val="00160C7A"/>
    <w:rsid w:val="001635F6"/>
    <w:rsid w:val="001644DF"/>
    <w:rsid w:val="00166861"/>
    <w:rsid w:val="00166F71"/>
    <w:rsid w:val="00167436"/>
    <w:rsid w:val="001745E4"/>
    <w:rsid w:val="00174EBA"/>
    <w:rsid w:val="0017521E"/>
    <w:rsid w:val="00175FB4"/>
    <w:rsid w:val="00182C4F"/>
    <w:rsid w:val="00185967"/>
    <w:rsid w:val="001866B5"/>
    <w:rsid w:val="0018688B"/>
    <w:rsid w:val="00190FB3"/>
    <w:rsid w:val="001945FB"/>
    <w:rsid w:val="001A4929"/>
    <w:rsid w:val="001A56D9"/>
    <w:rsid w:val="001A7372"/>
    <w:rsid w:val="001B5F5F"/>
    <w:rsid w:val="001B5FA0"/>
    <w:rsid w:val="001B7AE3"/>
    <w:rsid w:val="001C0591"/>
    <w:rsid w:val="001C7005"/>
    <w:rsid w:val="001D08F3"/>
    <w:rsid w:val="001D401E"/>
    <w:rsid w:val="001D5EF0"/>
    <w:rsid w:val="001D617A"/>
    <w:rsid w:val="001E06FB"/>
    <w:rsid w:val="001E07D4"/>
    <w:rsid w:val="001E0E42"/>
    <w:rsid w:val="001E16E8"/>
    <w:rsid w:val="001E19D5"/>
    <w:rsid w:val="001E3C79"/>
    <w:rsid w:val="001E4E45"/>
    <w:rsid w:val="001E56EB"/>
    <w:rsid w:val="001F406E"/>
    <w:rsid w:val="001F7E37"/>
    <w:rsid w:val="00206001"/>
    <w:rsid w:val="002117B9"/>
    <w:rsid w:val="002125FE"/>
    <w:rsid w:val="0021678E"/>
    <w:rsid w:val="00217BD6"/>
    <w:rsid w:val="002240B1"/>
    <w:rsid w:val="00224AA7"/>
    <w:rsid w:val="00231BCD"/>
    <w:rsid w:val="00232060"/>
    <w:rsid w:val="00236B04"/>
    <w:rsid w:val="0024225F"/>
    <w:rsid w:val="002426EF"/>
    <w:rsid w:val="0024400C"/>
    <w:rsid w:val="00246115"/>
    <w:rsid w:val="00251824"/>
    <w:rsid w:val="00251F00"/>
    <w:rsid w:val="00257ED3"/>
    <w:rsid w:val="0026004C"/>
    <w:rsid w:val="0026004F"/>
    <w:rsid w:val="00260C7D"/>
    <w:rsid w:val="00261AA0"/>
    <w:rsid w:val="00265C1D"/>
    <w:rsid w:val="00265F1D"/>
    <w:rsid w:val="0026615D"/>
    <w:rsid w:val="002730A2"/>
    <w:rsid w:val="00275982"/>
    <w:rsid w:val="00275F1E"/>
    <w:rsid w:val="00275FDC"/>
    <w:rsid w:val="0028046B"/>
    <w:rsid w:val="00281BFB"/>
    <w:rsid w:val="00281F4D"/>
    <w:rsid w:val="0028223D"/>
    <w:rsid w:val="00282FB7"/>
    <w:rsid w:val="00284E92"/>
    <w:rsid w:val="00285282"/>
    <w:rsid w:val="00286DC7"/>
    <w:rsid w:val="00293086"/>
    <w:rsid w:val="00293E07"/>
    <w:rsid w:val="00293ED2"/>
    <w:rsid w:val="0029437C"/>
    <w:rsid w:val="002958EB"/>
    <w:rsid w:val="0029652C"/>
    <w:rsid w:val="002967FF"/>
    <w:rsid w:val="002A37FC"/>
    <w:rsid w:val="002B381B"/>
    <w:rsid w:val="002B4716"/>
    <w:rsid w:val="002B6B39"/>
    <w:rsid w:val="002C1DFF"/>
    <w:rsid w:val="002C480C"/>
    <w:rsid w:val="002C5887"/>
    <w:rsid w:val="002D0B42"/>
    <w:rsid w:val="002D1D3A"/>
    <w:rsid w:val="002D4EC6"/>
    <w:rsid w:val="002D5829"/>
    <w:rsid w:val="002D7779"/>
    <w:rsid w:val="002E0BB0"/>
    <w:rsid w:val="002E1729"/>
    <w:rsid w:val="002E20D4"/>
    <w:rsid w:val="002E2D30"/>
    <w:rsid w:val="002E31B2"/>
    <w:rsid w:val="002F0666"/>
    <w:rsid w:val="002F08E1"/>
    <w:rsid w:val="002F0F48"/>
    <w:rsid w:val="00300BC4"/>
    <w:rsid w:val="00302886"/>
    <w:rsid w:val="00306BFA"/>
    <w:rsid w:val="00307E44"/>
    <w:rsid w:val="00310AEF"/>
    <w:rsid w:val="00310D2A"/>
    <w:rsid w:val="003156DD"/>
    <w:rsid w:val="0032157F"/>
    <w:rsid w:val="0032389F"/>
    <w:rsid w:val="00333C1F"/>
    <w:rsid w:val="00342C1B"/>
    <w:rsid w:val="0034418D"/>
    <w:rsid w:val="00345D04"/>
    <w:rsid w:val="00345D09"/>
    <w:rsid w:val="0035396B"/>
    <w:rsid w:val="00356977"/>
    <w:rsid w:val="00361E86"/>
    <w:rsid w:val="00364117"/>
    <w:rsid w:val="00371AFD"/>
    <w:rsid w:val="00374DB8"/>
    <w:rsid w:val="00385CB8"/>
    <w:rsid w:val="0038604F"/>
    <w:rsid w:val="00387CAF"/>
    <w:rsid w:val="003936DF"/>
    <w:rsid w:val="003A24D4"/>
    <w:rsid w:val="003A693E"/>
    <w:rsid w:val="003A70E2"/>
    <w:rsid w:val="003B3560"/>
    <w:rsid w:val="003B78C7"/>
    <w:rsid w:val="003C1BBA"/>
    <w:rsid w:val="003C1E58"/>
    <w:rsid w:val="003C4DFD"/>
    <w:rsid w:val="003C5B29"/>
    <w:rsid w:val="003C5D7A"/>
    <w:rsid w:val="003C791A"/>
    <w:rsid w:val="003D1A23"/>
    <w:rsid w:val="003E003A"/>
    <w:rsid w:val="003E0201"/>
    <w:rsid w:val="003E3F99"/>
    <w:rsid w:val="003E5A4E"/>
    <w:rsid w:val="003F4955"/>
    <w:rsid w:val="003F4AAD"/>
    <w:rsid w:val="003F60EA"/>
    <w:rsid w:val="004001BC"/>
    <w:rsid w:val="00403626"/>
    <w:rsid w:val="00410D62"/>
    <w:rsid w:val="004112C0"/>
    <w:rsid w:val="0042183C"/>
    <w:rsid w:val="00421DC1"/>
    <w:rsid w:val="00422760"/>
    <w:rsid w:val="00426C7F"/>
    <w:rsid w:val="004274A1"/>
    <w:rsid w:val="004329C4"/>
    <w:rsid w:val="00432ACA"/>
    <w:rsid w:val="00435D4F"/>
    <w:rsid w:val="00436CE4"/>
    <w:rsid w:val="0043767F"/>
    <w:rsid w:val="00440D65"/>
    <w:rsid w:val="00443EFE"/>
    <w:rsid w:val="00451C25"/>
    <w:rsid w:val="00452FD6"/>
    <w:rsid w:val="00454311"/>
    <w:rsid w:val="00456C2D"/>
    <w:rsid w:val="00457041"/>
    <w:rsid w:val="00457545"/>
    <w:rsid w:val="00461B2F"/>
    <w:rsid w:val="00462B62"/>
    <w:rsid w:val="00464434"/>
    <w:rsid w:val="00464B72"/>
    <w:rsid w:val="00466300"/>
    <w:rsid w:val="00466ABC"/>
    <w:rsid w:val="004678CA"/>
    <w:rsid w:val="004701AA"/>
    <w:rsid w:val="00471A22"/>
    <w:rsid w:val="004900F3"/>
    <w:rsid w:val="004901B7"/>
    <w:rsid w:val="00490581"/>
    <w:rsid w:val="00491EA1"/>
    <w:rsid w:val="0049367E"/>
    <w:rsid w:val="004939D4"/>
    <w:rsid w:val="004972E1"/>
    <w:rsid w:val="00497908"/>
    <w:rsid w:val="004A01E8"/>
    <w:rsid w:val="004A5B66"/>
    <w:rsid w:val="004B0979"/>
    <w:rsid w:val="004B3D1A"/>
    <w:rsid w:val="004B5A43"/>
    <w:rsid w:val="004C2C37"/>
    <w:rsid w:val="004C49CA"/>
    <w:rsid w:val="004D07CC"/>
    <w:rsid w:val="004D080E"/>
    <w:rsid w:val="004D16D5"/>
    <w:rsid w:val="004D68AD"/>
    <w:rsid w:val="004D6A3C"/>
    <w:rsid w:val="004D7C3B"/>
    <w:rsid w:val="004E0237"/>
    <w:rsid w:val="004E46E9"/>
    <w:rsid w:val="004E5A7E"/>
    <w:rsid w:val="004E7185"/>
    <w:rsid w:val="004F424E"/>
    <w:rsid w:val="00502E72"/>
    <w:rsid w:val="0050412F"/>
    <w:rsid w:val="00512047"/>
    <w:rsid w:val="00512ADF"/>
    <w:rsid w:val="0051329D"/>
    <w:rsid w:val="005136A0"/>
    <w:rsid w:val="0051644B"/>
    <w:rsid w:val="00517B59"/>
    <w:rsid w:val="00520076"/>
    <w:rsid w:val="00521CF3"/>
    <w:rsid w:val="005229AB"/>
    <w:rsid w:val="00526757"/>
    <w:rsid w:val="00531CF4"/>
    <w:rsid w:val="00531D93"/>
    <w:rsid w:val="005323BE"/>
    <w:rsid w:val="005352C0"/>
    <w:rsid w:val="005369D7"/>
    <w:rsid w:val="00537747"/>
    <w:rsid w:val="00541459"/>
    <w:rsid w:val="00541D5B"/>
    <w:rsid w:val="00552477"/>
    <w:rsid w:val="00553B06"/>
    <w:rsid w:val="0055434C"/>
    <w:rsid w:val="00561829"/>
    <w:rsid w:val="005631C3"/>
    <w:rsid w:val="00566AB7"/>
    <w:rsid w:val="00566BCC"/>
    <w:rsid w:val="00577005"/>
    <w:rsid w:val="005806AC"/>
    <w:rsid w:val="00580A25"/>
    <w:rsid w:val="0058421C"/>
    <w:rsid w:val="00584862"/>
    <w:rsid w:val="00585A4F"/>
    <w:rsid w:val="005864F4"/>
    <w:rsid w:val="00587724"/>
    <w:rsid w:val="005878DD"/>
    <w:rsid w:val="00591DBB"/>
    <w:rsid w:val="00592299"/>
    <w:rsid w:val="00593E4C"/>
    <w:rsid w:val="005A4560"/>
    <w:rsid w:val="005A703D"/>
    <w:rsid w:val="005B4D77"/>
    <w:rsid w:val="005B5063"/>
    <w:rsid w:val="005C01D2"/>
    <w:rsid w:val="005C2765"/>
    <w:rsid w:val="005C3C3C"/>
    <w:rsid w:val="005C4360"/>
    <w:rsid w:val="005C6332"/>
    <w:rsid w:val="005C72CD"/>
    <w:rsid w:val="005D033F"/>
    <w:rsid w:val="005D05E5"/>
    <w:rsid w:val="005D06CC"/>
    <w:rsid w:val="005D1698"/>
    <w:rsid w:val="005D3204"/>
    <w:rsid w:val="005D3C92"/>
    <w:rsid w:val="005D4DD1"/>
    <w:rsid w:val="005D5EEB"/>
    <w:rsid w:val="005D7B39"/>
    <w:rsid w:val="005E14FE"/>
    <w:rsid w:val="005E2C9B"/>
    <w:rsid w:val="005E2EC7"/>
    <w:rsid w:val="005E36C1"/>
    <w:rsid w:val="005E49BA"/>
    <w:rsid w:val="005F709A"/>
    <w:rsid w:val="00601B86"/>
    <w:rsid w:val="006020AF"/>
    <w:rsid w:val="00603782"/>
    <w:rsid w:val="00606E7D"/>
    <w:rsid w:val="00606F29"/>
    <w:rsid w:val="00607408"/>
    <w:rsid w:val="00612A79"/>
    <w:rsid w:val="006151F1"/>
    <w:rsid w:val="006160F9"/>
    <w:rsid w:val="00617929"/>
    <w:rsid w:val="00620AD0"/>
    <w:rsid w:val="00624E73"/>
    <w:rsid w:val="00625117"/>
    <w:rsid w:val="00625DBC"/>
    <w:rsid w:val="00626706"/>
    <w:rsid w:val="00634853"/>
    <w:rsid w:val="00634A82"/>
    <w:rsid w:val="00635D7A"/>
    <w:rsid w:val="006367C0"/>
    <w:rsid w:val="00640038"/>
    <w:rsid w:val="00645954"/>
    <w:rsid w:val="00647BF0"/>
    <w:rsid w:val="00653D04"/>
    <w:rsid w:val="00654588"/>
    <w:rsid w:val="00655594"/>
    <w:rsid w:val="00661892"/>
    <w:rsid w:val="00662194"/>
    <w:rsid w:val="00670CB1"/>
    <w:rsid w:val="006714A0"/>
    <w:rsid w:val="00674476"/>
    <w:rsid w:val="00674AAF"/>
    <w:rsid w:val="00675B1B"/>
    <w:rsid w:val="0067607F"/>
    <w:rsid w:val="006807CC"/>
    <w:rsid w:val="00682152"/>
    <w:rsid w:val="00682F1F"/>
    <w:rsid w:val="00683345"/>
    <w:rsid w:val="0068616F"/>
    <w:rsid w:val="00686CF4"/>
    <w:rsid w:val="0069258A"/>
    <w:rsid w:val="00695E5E"/>
    <w:rsid w:val="00697D3A"/>
    <w:rsid w:val="006A32B9"/>
    <w:rsid w:val="006B114D"/>
    <w:rsid w:val="006B3391"/>
    <w:rsid w:val="006B635B"/>
    <w:rsid w:val="006B6EBE"/>
    <w:rsid w:val="006C3D4A"/>
    <w:rsid w:val="006C449A"/>
    <w:rsid w:val="006C62BD"/>
    <w:rsid w:val="006C6343"/>
    <w:rsid w:val="006C7EF7"/>
    <w:rsid w:val="006D189F"/>
    <w:rsid w:val="006D1EF1"/>
    <w:rsid w:val="006D48DF"/>
    <w:rsid w:val="006D68E0"/>
    <w:rsid w:val="006E00D9"/>
    <w:rsid w:val="006E2861"/>
    <w:rsid w:val="006E2DCD"/>
    <w:rsid w:val="006E5816"/>
    <w:rsid w:val="006F06A0"/>
    <w:rsid w:val="006F5276"/>
    <w:rsid w:val="007014E6"/>
    <w:rsid w:val="00703171"/>
    <w:rsid w:val="00706617"/>
    <w:rsid w:val="00710F25"/>
    <w:rsid w:val="00712ED4"/>
    <w:rsid w:val="00717324"/>
    <w:rsid w:val="00720D9F"/>
    <w:rsid w:val="00725E13"/>
    <w:rsid w:val="007326D4"/>
    <w:rsid w:val="00736585"/>
    <w:rsid w:val="00737C14"/>
    <w:rsid w:val="00742036"/>
    <w:rsid w:val="007434AC"/>
    <w:rsid w:val="00744CDB"/>
    <w:rsid w:val="0074628D"/>
    <w:rsid w:val="00747126"/>
    <w:rsid w:val="0075095C"/>
    <w:rsid w:val="00751E88"/>
    <w:rsid w:val="00753387"/>
    <w:rsid w:val="00754C88"/>
    <w:rsid w:val="00757A3F"/>
    <w:rsid w:val="007640FE"/>
    <w:rsid w:val="00770B4C"/>
    <w:rsid w:val="00771251"/>
    <w:rsid w:val="00772C4F"/>
    <w:rsid w:val="00773AAB"/>
    <w:rsid w:val="00775E16"/>
    <w:rsid w:val="00781D70"/>
    <w:rsid w:val="00782A9B"/>
    <w:rsid w:val="00783672"/>
    <w:rsid w:val="007861CB"/>
    <w:rsid w:val="00787FC4"/>
    <w:rsid w:val="00790531"/>
    <w:rsid w:val="00790E9B"/>
    <w:rsid w:val="0079250E"/>
    <w:rsid w:val="00792ECE"/>
    <w:rsid w:val="007A231E"/>
    <w:rsid w:val="007A354E"/>
    <w:rsid w:val="007A6E6F"/>
    <w:rsid w:val="007B0283"/>
    <w:rsid w:val="007B1B45"/>
    <w:rsid w:val="007B20DD"/>
    <w:rsid w:val="007B2567"/>
    <w:rsid w:val="007B2741"/>
    <w:rsid w:val="007B54E0"/>
    <w:rsid w:val="007B6E2A"/>
    <w:rsid w:val="007B7F52"/>
    <w:rsid w:val="007C69D0"/>
    <w:rsid w:val="007D2192"/>
    <w:rsid w:val="007D4408"/>
    <w:rsid w:val="007D5933"/>
    <w:rsid w:val="007D6089"/>
    <w:rsid w:val="007E43DD"/>
    <w:rsid w:val="007E6CDD"/>
    <w:rsid w:val="007F13AB"/>
    <w:rsid w:val="007F2FE9"/>
    <w:rsid w:val="007F5890"/>
    <w:rsid w:val="007F634B"/>
    <w:rsid w:val="007F69FA"/>
    <w:rsid w:val="008014DA"/>
    <w:rsid w:val="00802ECA"/>
    <w:rsid w:val="0081370C"/>
    <w:rsid w:val="0081778B"/>
    <w:rsid w:val="0082036C"/>
    <w:rsid w:val="00821380"/>
    <w:rsid w:val="00824654"/>
    <w:rsid w:val="00824D18"/>
    <w:rsid w:val="00824F73"/>
    <w:rsid w:val="0083179A"/>
    <w:rsid w:val="00831B7D"/>
    <w:rsid w:val="00832C08"/>
    <w:rsid w:val="0083469F"/>
    <w:rsid w:val="0083535A"/>
    <w:rsid w:val="00836AD4"/>
    <w:rsid w:val="00842064"/>
    <w:rsid w:val="0084290C"/>
    <w:rsid w:val="00843BB8"/>
    <w:rsid w:val="008459FF"/>
    <w:rsid w:val="00845A7F"/>
    <w:rsid w:val="0085202E"/>
    <w:rsid w:val="00856BE4"/>
    <w:rsid w:val="00866DDD"/>
    <w:rsid w:val="00871766"/>
    <w:rsid w:val="00872092"/>
    <w:rsid w:val="00874BB3"/>
    <w:rsid w:val="008753CF"/>
    <w:rsid w:val="00876015"/>
    <w:rsid w:val="008772B7"/>
    <w:rsid w:val="0087786B"/>
    <w:rsid w:val="00880E20"/>
    <w:rsid w:val="00881769"/>
    <w:rsid w:val="00882E1D"/>
    <w:rsid w:val="008848B1"/>
    <w:rsid w:val="00885E0C"/>
    <w:rsid w:val="00887B2F"/>
    <w:rsid w:val="00895739"/>
    <w:rsid w:val="00895809"/>
    <w:rsid w:val="00895F80"/>
    <w:rsid w:val="008972B1"/>
    <w:rsid w:val="008974F3"/>
    <w:rsid w:val="008A26A0"/>
    <w:rsid w:val="008A3F07"/>
    <w:rsid w:val="008A55CD"/>
    <w:rsid w:val="008B26B4"/>
    <w:rsid w:val="008B4539"/>
    <w:rsid w:val="008B5039"/>
    <w:rsid w:val="008C14E5"/>
    <w:rsid w:val="008C42CD"/>
    <w:rsid w:val="008C5675"/>
    <w:rsid w:val="008D009F"/>
    <w:rsid w:val="008D57E3"/>
    <w:rsid w:val="008E5B6C"/>
    <w:rsid w:val="008F01FC"/>
    <w:rsid w:val="008F034B"/>
    <w:rsid w:val="008F0AAC"/>
    <w:rsid w:val="008F1B4D"/>
    <w:rsid w:val="008F2C02"/>
    <w:rsid w:val="008F2CFF"/>
    <w:rsid w:val="008F77DD"/>
    <w:rsid w:val="008F7EA7"/>
    <w:rsid w:val="00901841"/>
    <w:rsid w:val="00904E04"/>
    <w:rsid w:val="00911FF4"/>
    <w:rsid w:val="00914465"/>
    <w:rsid w:val="0091784B"/>
    <w:rsid w:val="00917C8E"/>
    <w:rsid w:val="00920635"/>
    <w:rsid w:val="00920BE7"/>
    <w:rsid w:val="00921FC7"/>
    <w:rsid w:val="00927365"/>
    <w:rsid w:val="0093261C"/>
    <w:rsid w:val="009337AC"/>
    <w:rsid w:val="00933A46"/>
    <w:rsid w:val="00935219"/>
    <w:rsid w:val="00936840"/>
    <w:rsid w:val="00936A3D"/>
    <w:rsid w:val="00941B66"/>
    <w:rsid w:val="00942BB2"/>
    <w:rsid w:val="00943336"/>
    <w:rsid w:val="00946C47"/>
    <w:rsid w:val="00953475"/>
    <w:rsid w:val="00953949"/>
    <w:rsid w:val="00956547"/>
    <w:rsid w:val="00962A05"/>
    <w:rsid w:val="00965609"/>
    <w:rsid w:val="0096608A"/>
    <w:rsid w:val="009668DE"/>
    <w:rsid w:val="00966D68"/>
    <w:rsid w:val="0096799A"/>
    <w:rsid w:val="00967B91"/>
    <w:rsid w:val="00971AF5"/>
    <w:rsid w:val="0097409A"/>
    <w:rsid w:val="009769D2"/>
    <w:rsid w:val="00976C95"/>
    <w:rsid w:val="00977641"/>
    <w:rsid w:val="00977AE0"/>
    <w:rsid w:val="0098288E"/>
    <w:rsid w:val="009902A1"/>
    <w:rsid w:val="00993D91"/>
    <w:rsid w:val="00994AF6"/>
    <w:rsid w:val="00997139"/>
    <w:rsid w:val="009A1D96"/>
    <w:rsid w:val="009A7442"/>
    <w:rsid w:val="009B0753"/>
    <w:rsid w:val="009B7F16"/>
    <w:rsid w:val="009C075D"/>
    <w:rsid w:val="009C5621"/>
    <w:rsid w:val="009C7F14"/>
    <w:rsid w:val="009D025D"/>
    <w:rsid w:val="009D233E"/>
    <w:rsid w:val="009D31EC"/>
    <w:rsid w:val="009E408E"/>
    <w:rsid w:val="009E4572"/>
    <w:rsid w:val="009E7575"/>
    <w:rsid w:val="009E7A3D"/>
    <w:rsid w:val="009F15E7"/>
    <w:rsid w:val="009F196F"/>
    <w:rsid w:val="009F274E"/>
    <w:rsid w:val="009F35CD"/>
    <w:rsid w:val="00A01FCE"/>
    <w:rsid w:val="00A06149"/>
    <w:rsid w:val="00A0629B"/>
    <w:rsid w:val="00A10255"/>
    <w:rsid w:val="00A117E9"/>
    <w:rsid w:val="00A11D78"/>
    <w:rsid w:val="00A12517"/>
    <w:rsid w:val="00A12551"/>
    <w:rsid w:val="00A12BAB"/>
    <w:rsid w:val="00A13F0B"/>
    <w:rsid w:val="00A17001"/>
    <w:rsid w:val="00A176AA"/>
    <w:rsid w:val="00A201A3"/>
    <w:rsid w:val="00A23905"/>
    <w:rsid w:val="00A2466A"/>
    <w:rsid w:val="00A24875"/>
    <w:rsid w:val="00A27372"/>
    <w:rsid w:val="00A31C14"/>
    <w:rsid w:val="00A31F0C"/>
    <w:rsid w:val="00A33731"/>
    <w:rsid w:val="00A33E4A"/>
    <w:rsid w:val="00A344ED"/>
    <w:rsid w:val="00A425AB"/>
    <w:rsid w:val="00A42E68"/>
    <w:rsid w:val="00A4481B"/>
    <w:rsid w:val="00A44A37"/>
    <w:rsid w:val="00A47FCD"/>
    <w:rsid w:val="00A54E85"/>
    <w:rsid w:val="00A54FA6"/>
    <w:rsid w:val="00A55BAF"/>
    <w:rsid w:val="00A63543"/>
    <w:rsid w:val="00A664F9"/>
    <w:rsid w:val="00A71CFC"/>
    <w:rsid w:val="00A7430D"/>
    <w:rsid w:val="00A74CD5"/>
    <w:rsid w:val="00A74D49"/>
    <w:rsid w:val="00A758B5"/>
    <w:rsid w:val="00A840D5"/>
    <w:rsid w:val="00A91E08"/>
    <w:rsid w:val="00A93515"/>
    <w:rsid w:val="00A959F1"/>
    <w:rsid w:val="00A97129"/>
    <w:rsid w:val="00A97D53"/>
    <w:rsid w:val="00AA15B2"/>
    <w:rsid w:val="00AA2003"/>
    <w:rsid w:val="00AA3E59"/>
    <w:rsid w:val="00AA69D2"/>
    <w:rsid w:val="00AB1473"/>
    <w:rsid w:val="00AB6698"/>
    <w:rsid w:val="00AC0236"/>
    <w:rsid w:val="00AC5B79"/>
    <w:rsid w:val="00AC6DF8"/>
    <w:rsid w:val="00AD1746"/>
    <w:rsid w:val="00AD1D8B"/>
    <w:rsid w:val="00AD30C6"/>
    <w:rsid w:val="00AD3963"/>
    <w:rsid w:val="00AD4DD9"/>
    <w:rsid w:val="00AF11EE"/>
    <w:rsid w:val="00AF254B"/>
    <w:rsid w:val="00B00A44"/>
    <w:rsid w:val="00B01460"/>
    <w:rsid w:val="00B0179B"/>
    <w:rsid w:val="00B022DB"/>
    <w:rsid w:val="00B05EB8"/>
    <w:rsid w:val="00B077A8"/>
    <w:rsid w:val="00B07983"/>
    <w:rsid w:val="00B133BB"/>
    <w:rsid w:val="00B14FED"/>
    <w:rsid w:val="00B15D9B"/>
    <w:rsid w:val="00B15EE3"/>
    <w:rsid w:val="00B1656B"/>
    <w:rsid w:val="00B2047D"/>
    <w:rsid w:val="00B22689"/>
    <w:rsid w:val="00B27B61"/>
    <w:rsid w:val="00B32C6C"/>
    <w:rsid w:val="00B3629E"/>
    <w:rsid w:val="00B37EEB"/>
    <w:rsid w:val="00B44499"/>
    <w:rsid w:val="00B4722F"/>
    <w:rsid w:val="00B51A00"/>
    <w:rsid w:val="00B53CF6"/>
    <w:rsid w:val="00B56B37"/>
    <w:rsid w:val="00B57D96"/>
    <w:rsid w:val="00B60EBB"/>
    <w:rsid w:val="00B62C50"/>
    <w:rsid w:val="00B6594B"/>
    <w:rsid w:val="00B6706E"/>
    <w:rsid w:val="00B67758"/>
    <w:rsid w:val="00B70FF6"/>
    <w:rsid w:val="00B77D91"/>
    <w:rsid w:val="00B807B3"/>
    <w:rsid w:val="00B807FC"/>
    <w:rsid w:val="00B812E5"/>
    <w:rsid w:val="00B83758"/>
    <w:rsid w:val="00B84A0E"/>
    <w:rsid w:val="00B86966"/>
    <w:rsid w:val="00B86C86"/>
    <w:rsid w:val="00B94515"/>
    <w:rsid w:val="00B95B93"/>
    <w:rsid w:val="00B970B4"/>
    <w:rsid w:val="00BA3159"/>
    <w:rsid w:val="00BB1585"/>
    <w:rsid w:val="00BB5E4C"/>
    <w:rsid w:val="00BC0DD4"/>
    <w:rsid w:val="00BC1E2F"/>
    <w:rsid w:val="00BC2537"/>
    <w:rsid w:val="00BD1331"/>
    <w:rsid w:val="00BD14D7"/>
    <w:rsid w:val="00BD2944"/>
    <w:rsid w:val="00BD36A0"/>
    <w:rsid w:val="00BE0588"/>
    <w:rsid w:val="00BE1BE1"/>
    <w:rsid w:val="00BE3533"/>
    <w:rsid w:val="00BE4E4B"/>
    <w:rsid w:val="00BE65D4"/>
    <w:rsid w:val="00BE7960"/>
    <w:rsid w:val="00BF4150"/>
    <w:rsid w:val="00BF43E9"/>
    <w:rsid w:val="00C00461"/>
    <w:rsid w:val="00C01F9F"/>
    <w:rsid w:val="00C02E1C"/>
    <w:rsid w:val="00C0604F"/>
    <w:rsid w:val="00C06706"/>
    <w:rsid w:val="00C10311"/>
    <w:rsid w:val="00C11029"/>
    <w:rsid w:val="00C11181"/>
    <w:rsid w:val="00C120D8"/>
    <w:rsid w:val="00C12505"/>
    <w:rsid w:val="00C166DD"/>
    <w:rsid w:val="00C21303"/>
    <w:rsid w:val="00C22606"/>
    <w:rsid w:val="00C238C5"/>
    <w:rsid w:val="00C24305"/>
    <w:rsid w:val="00C247D4"/>
    <w:rsid w:val="00C26661"/>
    <w:rsid w:val="00C30255"/>
    <w:rsid w:val="00C303DB"/>
    <w:rsid w:val="00C308E0"/>
    <w:rsid w:val="00C31642"/>
    <w:rsid w:val="00C31B8E"/>
    <w:rsid w:val="00C33DDD"/>
    <w:rsid w:val="00C359BA"/>
    <w:rsid w:val="00C40209"/>
    <w:rsid w:val="00C418F2"/>
    <w:rsid w:val="00C45FBA"/>
    <w:rsid w:val="00C473D1"/>
    <w:rsid w:val="00C50CBE"/>
    <w:rsid w:val="00C547C9"/>
    <w:rsid w:val="00C54EBE"/>
    <w:rsid w:val="00C566FF"/>
    <w:rsid w:val="00C57B80"/>
    <w:rsid w:val="00C61185"/>
    <w:rsid w:val="00C679F5"/>
    <w:rsid w:val="00C74B7D"/>
    <w:rsid w:val="00C75D9E"/>
    <w:rsid w:val="00C80B91"/>
    <w:rsid w:val="00C81736"/>
    <w:rsid w:val="00C8288B"/>
    <w:rsid w:val="00C84B50"/>
    <w:rsid w:val="00C85469"/>
    <w:rsid w:val="00C857C0"/>
    <w:rsid w:val="00C875B3"/>
    <w:rsid w:val="00C92A7E"/>
    <w:rsid w:val="00CA19DF"/>
    <w:rsid w:val="00CA7AF0"/>
    <w:rsid w:val="00CB2FB2"/>
    <w:rsid w:val="00CB613F"/>
    <w:rsid w:val="00CB7946"/>
    <w:rsid w:val="00CB7A18"/>
    <w:rsid w:val="00CC60E7"/>
    <w:rsid w:val="00CC7487"/>
    <w:rsid w:val="00CD1E6A"/>
    <w:rsid w:val="00CD34FC"/>
    <w:rsid w:val="00CD706B"/>
    <w:rsid w:val="00CE1EF8"/>
    <w:rsid w:val="00CE213B"/>
    <w:rsid w:val="00CE6049"/>
    <w:rsid w:val="00CF0AA6"/>
    <w:rsid w:val="00CF5A63"/>
    <w:rsid w:val="00CF6633"/>
    <w:rsid w:val="00CF7130"/>
    <w:rsid w:val="00D076D0"/>
    <w:rsid w:val="00D11375"/>
    <w:rsid w:val="00D134B7"/>
    <w:rsid w:val="00D13894"/>
    <w:rsid w:val="00D15257"/>
    <w:rsid w:val="00D20FAA"/>
    <w:rsid w:val="00D21D09"/>
    <w:rsid w:val="00D36A8C"/>
    <w:rsid w:val="00D428F4"/>
    <w:rsid w:val="00D43181"/>
    <w:rsid w:val="00D43EDE"/>
    <w:rsid w:val="00D4536C"/>
    <w:rsid w:val="00D45C41"/>
    <w:rsid w:val="00D461DE"/>
    <w:rsid w:val="00D50DE5"/>
    <w:rsid w:val="00D54B27"/>
    <w:rsid w:val="00D54CC0"/>
    <w:rsid w:val="00D55035"/>
    <w:rsid w:val="00D578D3"/>
    <w:rsid w:val="00D621B5"/>
    <w:rsid w:val="00D63DA8"/>
    <w:rsid w:val="00D73A86"/>
    <w:rsid w:val="00D74BA3"/>
    <w:rsid w:val="00D7555A"/>
    <w:rsid w:val="00D7748E"/>
    <w:rsid w:val="00D804D2"/>
    <w:rsid w:val="00D81E2F"/>
    <w:rsid w:val="00D83060"/>
    <w:rsid w:val="00D84A2D"/>
    <w:rsid w:val="00D8749B"/>
    <w:rsid w:val="00D87DB9"/>
    <w:rsid w:val="00DA3088"/>
    <w:rsid w:val="00DA4CF2"/>
    <w:rsid w:val="00DA68EF"/>
    <w:rsid w:val="00DB09A5"/>
    <w:rsid w:val="00DB11D4"/>
    <w:rsid w:val="00DB227F"/>
    <w:rsid w:val="00DC3AC1"/>
    <w:rsid w:val="00DC5105"/>
    <w:rsid w:val="00DD09EF"/>
    <w:rsid w:val="00DD20D1"/>
    <w:rsid w:val="00DD64C5"/>
    <w:rsid w:val="00DD675E"/>
    <w:rsid w:val="00DE14E2"/>
    <w:rsid w:val="00DE15AC"/>
    <w:rsid w:val="00DE2C36"/>
    <w:rsid w:val="00DE2F94"/>
    <w:rsid w:val="00DE4595"/>
    <w:rsid w:val="00DE4A91"/>
    <w:rsid w:val="00DE6B35"/>
    <w:rsid w:val="00DE70C2"/>
    <w:rsid w:val="00DF0675"/>
    <w:rsid w:val="00DF46A7"/>
    <w:rsid w:val="00DF4FE6"/>
    <w:rsid w:val="00DF580D"/>
    <w:rsid w:val="00DF6FDA"/>
    <w:rsid w:val="00DF7E2B"/>
    <w:rsid w:val="00E05885"/>
    <w:rsid w:val="00E10BFB"/>
    <w:rsid w:val="00E1249A"/>
    <w:rsid w:val="00E12880"/>
    <w:rsid w:val="00E14D9E"/>
    <w:rsid w:val="00E16DA6"/>
    <w:rsid w:val="00E21904"/>
    <w:rsid w:val="00E21E99"/>
    <w:rsid w:val="00E2228E"/>
    <w:rsid w:val="00E23E56"/>
    <w:rsid w:val="00E30FFC"/>
    <w:rsid w:val="00E327A1"/>
    <w:rsid w:val="00E33EF0"/>
    <w:rsid w:val="00E35957"/>
    <w:rsid w:val="00E370BF"/>
    <w:rsid w:val="00E37CB8"/>
    <w:rsid w:val="00E4016D"/>
    <w:rsid w:val="00E510C4"/>
    <w:rsid w:val="00E51B49"/>
    <w:rsid w:val="00E530B7"/>
    <w:rsid w:val="00E54066"/>
    <w:rsid w:val="00E611A2"/>
    <w:rsid w:val="00E61BAB"/>
    <w:rsid w:val="00E729CB"/>
    <w:rsid w:val="00E73C50"/>
    <w:rsid w:val="00E777C8"/>
    <w:rsid w:val="00E8011B"/>
    <w:rsid w:val="00E81EE4"/>
    <w:rsid w:val="00E82DCD"/>
    <w:rsid w:val="00E83444"/>
    <w:rsid w:val="00E83578"/>
    <w:rsid w:val="00E849E6"/>
    <w:rsid w:val="00E84DD9"/>
    <w:rsid w:val="00E870C1"/>
    <w:rsid w:val="00E909E6"/>
    <w:rsid w:val="00E90B70"/>
    <w:rsid w:val="00E924EC"/>
    <w:rsid w:val="00EA27C3"/>
    <w:rsid w:val="00EA2BEE"/>
    <w:rsid w:val="00EA5F36"/>
    <w:rsid w:val="00EA7A70"/>
    <w:rsid w:val="00EB15F9"/>
    <w:rsid w:val="00EB2AAE"/>
    <w:rsid w:val="00EB2FED"/>
    <w:rsid w:val="00EB57CA"/>
    <w:rsid w:val="00EB76D8"/>
    <w:rsid w:val="00EC07F6"/>
    <w:rsid w:val="00EC07FA"/>
    <w:rsid w:val="00EC3FB8"/>
    <w:rsid w:val="00EC5B03"/>
    <w:rsid w:val="00EC6D9E"/>
    <w:rsid w:val="00ED3B0C"/>
    <w:rsid w:val="00ED7B80"/>
    <w:rsid w:val="00EE087B"/>
    <w:rsid w:val="00EE0CC2"/>
    <w:rsid w:val="00EE18F8"/>
    <w:rsid w:val="00EE2204"/>
    <w:rsid w:val="00EE31D9"/>
    <w:rsid w:val="00EF0C53"/>
    <w:rsid w:val="00EF0E92"/>
    <w:rsid w:val="00EF368A"/>
    <w:rsid w:val="00EF381B"/>
    <w:rsid w:val="00EF4795"/>
    <w:rsid w:val="00EF4FE0"/>
    <w:rsid w:val="00EF6F9D"/>
    <w:rsid w:val="00EF7495"/>
    <w:rsid w:val="00F038F0"/>
    <w:rsid w:val="00F04E2C"/>
    <w:rsid w:val="00F06CE8"/>
    <w:rsid w:val="00F0783D"/>
    <w:rsid w:val="00F12E5F"/>
    <w:rsid w:val="00F14E08"/>
    <w:rsid w:val="00F203B0"/>
    <w:rsid w:val="00F20CD7"/>
    <w:rsid w:val="00F210E9"/>
    <w:rsid w:val="00F2150A"/>
    <w:rsid w:val="00F22AF0"/>
    <w:rsid w:val="00F25A65"/>
    <w:rsid w:val="00F32A60"/>
    <w:rsid w:val="00F33929"/>
    <w:rsid w:val="00F35BB4"/>
    <w:rsid w:val="00F36E8E"/>
    <w:rsid w:val="00F424C2"/>
    <w:rsid w:val="00F42C1C"/>
    <w:rsid w:val="00F4744B"/>
    <w:rsid w:val="00F47E0F"/>
    <w:rsid w:val="00F504FB"/>
    <w:rsid w:val="00F55691"/>
    <w:rsid w:val="00F55B87"/>
    <w:rsid w:val="00F6361F"/>
    <w:rsid w:val="00F65724"/>
    <w:rsid w:val="00F66561"/>
    <w:rsid w:val="00F70B21"/>
    <w:rsid w:val="00F71390"/>
    <w:rsid w:val="00F72F62"/>
    <w:rsid w:val="00F737D1"/>
    <w:rsid w:val="00F73E1F"/>
    <w:rsid w:val="00F77459"/>
    <w:rsid w:val="00F809EE"/>
    <w:rsid w:val="00F844E6"/>
    <w:rsid w:val="00F849DE"/>
    <w:rsid w:val="00F84BE4"/>
    <w:rsid w:val="00F865A3"/>
    <w:rsid w:val="00F9026E"/>
    <w:rsid w:val="00F909DB"/>
    <w:rsid w:val="00F9314E"/>
    <w:rsid w:val="00F9432D"/>
    <w:rsid w:val="00F9475F"/>
    <w:rsid w:val="00FA4C1B"/>
    <w:rsid w:val="00FA5355"/>
    <w:rsid w:val="00FA6BF1"/>
    <w:rsid w:val="00FB4542"/>
    <w:rsid w:val="00FB6C2F"/>
    <w:rsid w:val="00FC0091"/>
    <w:rsid w:val="00FC10E9"/>
    <w:rsid w:val="00FC4FF0"/>
    <w:rsid w:val="00FC57BC"/>
    <w:rsid w:val="00FC5D7E"/>
    <w:rsid w:val="00FD01DC"/>
    <w:rsid w:val="00FD01E1"/>
    <w:rsid w:val="00FD13B2"/>
    <w:rsid w:val="00FD16EA"/>
    <w:rsid w:val="00FD3EA0"/>
    <w:rsid w:val="00FD4DFC"/>
    <w:rsid w:val="00FD6173"/>
    <w:rsid w:val="00FE19A7"/>
    <w:rsid w:val="00FE3132"/>
    <w:rsid w:val="00FE47F2"/>
    <w:rsid w:val="00FE6C0D"/>
    <w:rsid w:val="00FF10DD"/>
    <w:rsid w:val="00FF25B5"/>
    <w:rsid w:val="00FF2F68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89817EE"/>
  <w15:docId w15:val="{E74CE97A-50E6-4BCC-AC12-AFDA3263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A2D"/>
    <w:pPr>
      <w:spacing w:after="200" w:line="276" w:lineRule="auto"/>
    </w:pPr>
    <w:rPr>
      <w:rFonts w:ascii="Arial" w:eastAsia="Arial" w:hAnsi="Arial" w:cs="Arial"/>
      <w:lang w:eastAsia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1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4A2D"/>
    <w:pPr>
      <w:keepNext/>
      <w:keepLines/>
      <w:spacing w:after="100"/>
      <w:outlineLvl w:val="1"/>
    </w:pPr>
    <w:rPr>
      <w:rFonts w:ascii="Calibri" w:eastAsia="Calibri" w:hAnsi="Calibri" w:cs="Calibri"/>
      <w:b/>
      <w:smallCaps/>
      <w:color w:val="008B98"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4A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4A2D"/>
    <w:rPr>
      <w:rFonts w:ascii="Calibri" w:eastAsia="Calibri" w:hAnsi="Calibri" w:cs="Calibri"/>
      <w:b/>
      <w:smallCaps/>
      <w:color w:val="008B98"/>
      <w:sz w:val="18"/>
      <w:szCs w:val="18"/>
      <w:lang w:eastAsia="pl-PL"/>
    </w:rPr>
  </w:style>
  <w:style w:type="paragraph" w:styleId="Footer">
    <w:name w:val="footer"/>
    <w:basedOn w:val="Normal"/>
    <w:link w:val="FooterChar"/>
    <w:uiPriority w:val="99"/>
    <w:unhideWhenUsed/>
    <w:rsid w:val="00D84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A2D"/>
    <w:rPr>
      <w:rFonts w:ascii="Arial" w:eastAsia="Arial" w:hAnsi="Arial" w:cs="Arial"/>
      <w:lang w:eastAsia="pl-PL"/>
    </w:rPr>
  </w:style>
  <w:style w:type="character" w:styleId="Hyperlink">
    <w:name w:val="Hyperlink"/>
    <w:basedOn w:val="DefaultParagraphFont"/>
    <w:unhideWhenUsed/>
    <w:qFormat/>
    <w:rsid w:val="00D84A2D"/>
    <w:rPr>
      <w:color w:val="4472C4" w:themeColor="accent1"/>
      <w:u w:val="single"/>
    </w:rPr>
  </w:style>
  <w:style w:type="table" w:styleId="TableGrid">
    <w:name w:val="Table Grid"/>
    <w:basedOn w:val="TableNormal"/>
    <w:uiPriority w:val="59"/>
    <w:rsid w:val="00D84A2D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Name">
    <w:name w:val="ContactName"/>
    <w:basedOn w:val="Heading3"/>
    <w:qFormat/>
    <w:rsid w:val="00D84A2D"/>
    <w:pPr>
      <w:spacing w:before="0" w:line="216" w:lineRule="atLeast"/>
    </w:pPr>
    <w:rPr>
      <w:rFonts w:ascii="Calibri" w:eastAsia="Times New Roman" w:hAnsi="Calibri" w:cs="Times New Roman"/>
      <w:b/>
      <w:bCs/>
      <w:color w:val="008B98"/>
      <w:sz w:val="18"/>
      <w:lang w:val="en-GB" w:eastAsia="en-GB"/>
    </w:rPr>
  </w:style>
  <w:style w:type="paragraph" w:customStyle="1" w:styleId="ContactDetail">
    <w:name w:val="ContactDetail"/>
    <w:basedOn w:val="Normal"/>
    <w:rsid w:val="00D84A2D"/>
    <w:pPr>
      <w:spacing w:after="0" w:line="216" w:lineRule="atLeast"/>
    </w:pPr>
    <w:rPr>
      <w:rFonts w:ascii="Calibri" w:eastAsia="Times New Roman" w:hAnsi="Calibri" w:cs="Times New Roman"/>
      <w:color w:val="000000"/>
      <w:sz w:val="18"/>
      <w:szCs w:val="24"/>
      <w:lang w:val="en-GB" w:eastAsia="en-GB"/>
    </w:rPr>
  </w:style>
  <w:style w:type="character" w:customStyle="1" w:styleId="Brak">
    <w:name w:val="Brak"/>
    <w:rsid w:val="00D84A2D"/>
  </w:style>
  <w:style w:type="character" w:customStyle="1" w:styleId="Hyperlink0">
    <w:name w:val="Hyperlink.0"/>
    <w:basedOn w:val="Brak"/>
    <w:rsid w:val="00D84A2D"/>
  </w:style>
  <w:style w:type="table" w:customStyle="1" w:styleId="PlainTable41">
    <w:name w:val="Plain Table 41"/>
    <w:basedOn w:val="TableNormal"/>
    <w:uiPriority w:val="44"/>
    <w:rsid w:val="00D84A2D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D84A2D"/>
    <w:pPr>
      <w:spacing w:after="0" w:line="240" w:lineRule="auto"/>
    </w:pPr>
    <w:rPr>
      <w:rFonts w:ascii="Calibri" w:eastAsia="Times New Roman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84A2D"/>
    <w:rPr>
      <w:rFonts w:ascii="Calibri" w:eastAsia="Times New Roman" w:hAnsi="Calibri" w:cs="Consolas"/>
      <w:szCs w:val="21"/>
      <w:lang w:eastAsia="pl-P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4A2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CB2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2F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2FB2"/>
    <w:rPr>
      <w:rFonts w:ascii="Arial" w:eastAsia="Arial" w:hAnsi="Arial" w:cs="Arial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FB2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FB2"/>
    <w:rPr>
      <w:rFonts w:ascii="Segoe UI" w:eastAsia="Arial" w:hAnsi="Segoe UI" w:cs="Segoe UI"/>
      <w:sz w:val="18"/>
      <w:szCs w:val="18"/>
      <w:lang w:eastAsia="pl-PL"/>
    </w:rPr>
  </w:style>
  <w:style w:type="paragraph" w:styleId="Revision">
    <w:name w:val="Revision"/>
    <w:hidden/>
    <w:uiPriority w:val="99"/>
    <w:semiHidden/>
    <w:rsid w:val="005323BE"/>
    <w:pPr>
      <w:spacing w:after="0" w:line="240" w:lineRule="auto"/>
    </w:pPr>
    <w:rPr>
      <w:rFonts w:ascii="Arial" w:eastAsia="Arial" w:hAnsi="Arial" w:cs="Arial"/>
      <w:lang w:eastAsia="pl-P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76C9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76C95"/>
    <w:rPr>
      <w:rFonts w:ascii="Arial" w:eastAsia="Arial" w:hAnsi="Arial" w:cs="Arial"/>
      <w:sz w:val="20"/>
      <w:szCs w:val="20"/>
      <w:lang w:eastAsia="pl-PL"/>
    </w:rPr>
  </w:style>
  <w:style w:type="character" w:styleId="EndnoteReference">
    <w:name w:val="endnote reference"/>
    <w:basedOn w:val="DefaultParagraphFont"/>
    <w:uiPriority w:val="99"/>
    <w:semiHidden/>
    <w:unhideWhenUsed/>
    <w:rsid w:val="00976C9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77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D91"/>
    <w:rPr>
      <w:rFonts w:ascii="Arial" w:eastAsia="Arial" w:hAnsi="Arial" w:cs="Arial"/>
      <w:lang w:eastAsia="pl-PL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B77D91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efaultParagraphFont"/>
    <w:uiPriority w:val="99"/>
    <w:semiHidden/>
    <w:unhideWhenUsed/>
    <w:rsid w:val="006B635B"/>
    <w:rPr>
      <w:color w:val="605E5C"/>
      <w:shd w:val="clear" w:color="auto" w:fill="E1DFDD"/>
    </w:rPr>
  </w:style>
  <w:style w:type="paragraph" w:customStyle="1" w:styleId="western">
    <w:name w:val="western"/>
    <w:basedOn w:val="Normal"/>
    <w:rsid w:val="00FE3132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styleId="Strong">
    <w:name w:val="Strong"/>
    <w:basedOn w:val="DefaultParagraphFont"/>
    <w:uiPriority w:val="22"/>
    <w:qFormat/>
    <w:rsid w:val="00FE313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E313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Emphasis">
    <w:name w:val="Emphasis"/>
    <w:basedOn w:val="DefaultParagraphFont"/>
    <w:uiPriority w:val="20"/>
    <w:qFormat/>
    <w:rsid w:val="00E909E6"/>
    <w:rPr>
      <w:i/>
      <w:iCs/>
    </w:rPr>
  </w:style>
  <w:style w:type="character" w:customStyle="1" w:styleId="cf01">
    <w:name w:val="cf01"/>
    <w:basedOn w:val="DefaultParagraphFont"/>
    <w:rsid w:val="00167436"/>
    <w:rPr>
      <w:rFonts w:ascii="Segoe UI" w:hAnsi="Segoe UI" w:cs="Segoe UI" w:hint="default"/>
      <w:sz w:val="18"/>
      <w:szCs w:val="18"/>
    </w:rPr>
  </w:style>
  <w:style w:type="character" w:customStyle="1" w:styleId="apple-converted-space">
    <w:name w:val="apple-converted-space"/>
    <w:basedOn w:val="DefaultParagraphFont"/>
    <w:rsid w:val="00775E16"/>
  </w:style>
  <w:style w:type="paragraph" w:styleId="ListParagraph">
    <w:name w:val="List Paragraph"/>
    <w:basedOn w:val="Normal"/>
    <w:uiPriority w:val="34"/>
    <w:qFormat/>
    <w:rsid w:val="00AF11EE"/>
    <w:pPr>
      <w:spacing w:after="0" w:line="240" w:lineRule="auto"/>
      <w:ind w:left="720"/>
    </w:pPr>
    <w:rPr>
      <w:rFonts w:ascii="Calibri" w:eastAsiaTheme="minorHAnsi" w:hAnsi="Calibri" w:cs="Calibri"/>
      <w:lang w:val="en-GB" w:eastAsia="en-GB"/>
      <w14:ligatures w14:val="standardContextual"/>
    </w:rPr>
  </w:style>
  <w:style w:type="paragraph" w:styleId="NormalWeb">
    <w:name w:val="Normal (Web)"/>
    <w:basedOn w:val="Normal"/>
    <w:uiPriority w:val="99"/>
    <w:unhideWhenUsed/>
    <w:rsid w:val="00AF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11E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11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11EE"/>
    <w:rPr>
      <w:vertAlign w:val="superscript"/>
    </w:rPr>
  </w:style>
  <w:style w:type="character" w:customStyle="1" w:styleId="normaltextrun">
    <w:name w:val="normaltextrun"/>
    <w:basedOn w:val="DefaultParagraphFont"/>
    <w:rsid w:val="00C0604F"/>
  </w:style>
  <w:style w:type="character" w:customStyle="1" w:styleId="eop">
    <w:name w:val="eop"/>
    <w:basedOn w:val="DefaultParagraphFont"/>
    <w:rsid w:val="00C0604F"/>
  </w:style>
  <w:style w:type="paragraph" w:customStyle="1" w:styleId="pf0">
    <w:name w:val="pf0"/>
    <w:basedOn w:val="Normal"/>
    <w:rsid w:val="00A12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6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0F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19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5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410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4367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84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083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266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91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595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581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157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1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8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ushmanwakefield.com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rolina.samczynska@cushwake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irst.last@cushwak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9ED7BA2763A478EDE0130F91B5123" ma:contentTypeVersion="15" ma:contentTypeDescription="Create a new document." ma:contentTypeScope="" ma:versionID="f0827b97c411c567ea7b6231876734c3">
  <xsd:schema xmlns:xsd="http://www.w3.org/2001/XMLSchema" xmlns:xs="http://www.w3.org/2001/XMLSchema" xmlns:p="http://schemas.microsoft.com/office/2006/metadata/properties" xmlns:ns2="ad0eda28-077b-48b4-981d-21104f8134f6" xmlns:ns3="9e8c748b-9673-4c43-b9e9-f6f47eed6137" targetNamespace="http://schemas.microsoft.com/office/2006/metadata/properties" ma:root="true" ma:fieldsID="b88f6f328498e53ec5465a59d7175b84" ns2:_="" ns3:_="">
    <xsd:import namespace="ad0eda28-077b-48b4-981d-21104f8134f6"/>
    <xsd:import namespace="9e8c748b-9673-4c43-b9e9-f6f47eed6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eda28-077b-48b4-981d-21104f8134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a8603ae-3637-436a-adfc-4f3f468c95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c748b-9673-4c43-b9e9-f6f47eed61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cbde1b-057e-4a17-a9b6-2fa292d2b0ef}" ma:internalName="TaxCatchAll" ma:showField="CatchAllData" ma:web="9e8c748b-9673-4c43-b9e9-f6f47eed6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8c748b-9673-4c43-b9e9-f6f47eed6137" xsi:nil="true"/>
    <lcf76f155ced4ddcb4097134ff3c332f xmlns="ad0eda28-077b-48b4-981d-21104f8134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303DC5-36C3-4D01-A699-677E7E9556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7DE266-5DC0-4843-A4A2-35C1C25F4D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1A7165-7933-4207-B555-4CFBF4C92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eda28-077b-48b4-981d-21104f8134f6"/>
    <ds:schemaRef ds:uri="9e8c748b-9673-4c43-b9e9-f6f47eed6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22DD7A-76A6-40A8-8556-74F891675D7E}">
  <ds:schemaRefs>
    <ds:schemaRef ds:uri="http://schemas.microsoft.com/office/2006/metadata/properties"/>
    <ds:schemaRef ds:uri="http://schemas.microsoft.com/office/infopath/2007/PartnerControls"/>
    <ds:schemaRef ds:uri="9e8c748b-9673-4c43-b9e9-f6f47eed6137"/>
    <ds:schemaRef ds:uri="ad0eda28-077b-48b4-981d-21104f8134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1035</Words>
  <Characters>5900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lastModifiedBy>magdalena ossowska</cp:lastModifiedBy>
  <cp:revision>3</cp:revision>
  <dcterms:created xsi:type="dcterms:W3CDTF">2025-08-04T10:06:00Z</dcterms:created>
  <dcterms:modified xsi:type="dcterms:W3CDTF">2025-08-04T11:28:00Z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01c4386eb9a1dc9de2fec12738f87015bcc4ef4c8803dccae430c9e60e042de1</vt:lpwstr>
  </property>
  <property fmtid="{D5CDD505-2E9C-101B-9397-08002B2CF9AE}" pid="3" name="ContentTypeId">
    <vt:lpwstr>0x010100C609ED7BA2763A478EDE0130F91B5123</vt:lpwstr>
  </property>
</Properties>
</file>