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20ADA" w14:textId="77777777" w:rsidR="001F4A39" w:rsidRDefault="001F4A39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Public Sans ExtraBold" w:eastAsia="Public Sans ExtraBold" w:hAnsi="Public Sans ExtraBold" w:cs="Public Sans ExtraBold"/>
          <w:sz w:val="26"/>
          <w:szCs w:val="26"/>
        </w:rPr>
      </w:pPr>
      <w:bookmarkStart w:id="0" w:name="_heading=h.sn0zye4bzibn" w:colFirst="0" w:colLast="0"/>
      <w:bookmarkEnd w:id="0"/>
    </w:p>
    <w:p w14:paraId="15473460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b/>
          <w:sz w:val="26"/>
          <w:szCs w:val="26"/>
        </w:rPr>
      </w:pPr>
      <w:bookmarkStart w:id="1" w:name="_heading=h.xzgpfoxw1u66" w:colFirst="0" w:colLast="0"/>
      <w:bookmarkEnd w:id="1"/>
      <w:r>
        <w:rPr>
          <w:rFonts w:ascii="Public Sans" w:eastAsia="Public Sans" w:hAnsi="Public Sans" w:cs="Public Sans"/>
          <w:b/>
          <w:sz w:val="26"/>
          <w:szCs w:val="26"/>
        </w:rPr>
        <w:t>Dobry klimat dla rozwoju centrów danych. Jak Polska może wykorzystać swój klimatyczny i energetyczny potencjał w wyścigu o infrastrukturę obliczeniową?</w:t>
      </w:r>
    </w:p>
    <w:p w14:paraId="67B0FEEB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</w:rPr>
        <w:t>W opublikowanym z końcem lipca Krajowym Planie w dziedzinie Energii i Klimatu 2030 Ministerstwo Klimatu i Środowiska określiło cele transformacji energetycznej Polski. W ciągu najbliższych pięciu lat udział odnawialnych źródeł w produkcji energii elektrycznej ma przekroczyć 50%, a do 2040 roku sięgnąć niemal 80%. To jeden z elementów, który — obok chłodnego klimatu i rosnącej dostępności zielonej energii — czyni Polskę jednym z najbardziej obiecujących miejsc dla rozwoju centrów danych w Europie. Średnia roczna temperatura w Warszawie to zaledwie 8,9 °C – najmniej poza Skandynawią – co znacząco obniża koszty chłodzenia i ślad węglowy. W jaki sposób Polska może wykorzystać ten potencjał w wyścigu o infrastrukturę przyszłości?</w:t>
      </w:r>
    </w:p>
    <w:p w14:paraId="0C30787B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</w:rPr>
        <w:t>Korzystne warunki inwestycyjne</w:t>
      </w:r>
    </w:p>
    <w:p w14:paraId="3A8ACADE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W dobie rosnącego zapotrzebowania na moc obliczeniową Polska wyróżnia się jako atrakcyjna lokalizacja dla rozwoju centrów danych. Dzięki korzystnemu klimatowi, niskim temperaturom i korzystnym kosztom chłodzenia, a także dynamicznie postępującej dekarbonizacji, nasz kraj zyskuje coraz silniejszą pozycję na konkurencyjnym europejskim rynku i staje się realnym kandydatem do roli jednego z najważniejszych ośrodków w Europie.</w:t>
      </w:r>
    </w:p>
    <w:p w14:paraId="79958BB9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Jest to istotne w kontekście rywalizacji z rynkami FLAP-D, czyli tradycyjnymi europejskimi hubami – Frankfurtem, Londynem, Amsterdamem, Paryżem i Dublinem - a szczególnie z tzw. rynkami Tier 2, jak Hiszpania, Skandynawia, Włochy i Grecja. Dojrzałe lokalizacje zmagają się z ograniczeniami mocy sieci energetycznych, wysokimi kosztami gruntu i energii oraz restrykcyjnymi przepisami planistycznymi. Polska, oferując korzystniejsze warunki inwestycyjne i rozwijając infrastrukturę cyfrową, wyrasta więc na realną alternatywę dla inwestorów szukających nowych lokalizacji dla rozbudowy mocy obliczeniowej i obsługi rosnących potrzeb związanych ze sztuczną inteligencją.</w:t>
      </w:r>
    </w:p>
    <w:p w14:paraId="791E39AE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 xml:space="preserve">Kluczowe przewagi Polski to przede wszystkim warunki klimatyczne i ambitne plany związane z transformacją energetyczną, które mogą znacząco obniżyć koszty operacyjne i zmniejszyć ślad węglowy centrów danych. Jak pokazuje </w:t>
      </w:r>
      <w:hyperlink r:id="rId7">
        <w:r>
          <w:rPr>
            <w:rFonts w:ascii="Public Sans" w:eastAsia="Public Sans" w:hAnsi="Public Sans" w:cs="Public Sans"/>
            <w:color w:val="1155CC"/>
            <w:u w:val="single"/>
          </w:rPr>
          <w:t>raport Stowarzyszenia Polish Data Center Association (PLDCA) „Poland – a Cool Place for Data Centers”</w:t>
        </w:r>
      </w:hyperlink>
      <w:r>
        <w:rPr>
          <w:rFonts w:ascii="Public Sans" w:eastAsia="Public Sans" w:hAnsi="Public Sans" w:cs="Public Sans"/>
        </w:rPr>
        <w:t xml:space="preserve">, średnia roczna temperatura w Warszawie wynosi zaledwie 8,88 °C – najniżej w Europie poza krajami nordyckimi. Dla porównania, w Atenach jest to 17,65 °C, w Mediolanie 13,92 °C, w Madrycie 12,89 °C, a w Londynie 11,48 °C. Tak korzystny klimat ogranicza zużycie energii na chłodzenie serwerowni, która stanowi nawet 15–50% całkowitych kosztów ich funkcjonowania. </w:t>
      </w:r>
    </w:p>
    <w:p w14:paraId="1797C39F" w14:textId="77777777" w:rsidR="001F4A39" w:rsidRDefault="00000000">
      <w:pPr>
        <w:spacing w:before="240" w:after="240" w:line="276" w:lineRule="auto"/>
        <w:ind w:left="720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 xml:space="preserve">– </w:t>
      </w:r>
      <w:r>
        <w:rPr>
          <w:rFonts w:ascii="Public Sans" w:eastAsia="Public Sans" w:hAnsi="Public Sans" w:cs="Public Sans"/>
          <w:i/>
        </w:rPr>
        <w:t xml:space="preserve">Doskonałe warunki klimatyczne i rozwijająca się infrastruktura energetyczna już teraz przekładają się na dynamiczny wzrost rynku centrów danych w Polsce. Krajowy sektor osiągnął około 200 MW mocy operacyjnej, notując imponujący </w:t>
      </w:r>
      <w:r>
        <w:rPr>
          <w:rFonts w:ascii="Public Sans" w:eastAsia="Public Sans" w:hAnsi="Public Sans" w:cs="Public Sans"/>
          <w:i/>
        </w:rPr>
        <w:lastRenderedPageBreak/>
        <w:t>średnioroczny wskaźnik wzrostu na poziomie niemal 20% od 2020 roku. To dowód na rosnące zainteresowanie inwestorów, którzy dostrzegają w Polsce nie tylko korzystne koszty operacyjne, ale i strategiczne położenie pozwalające obsługiwać cały region Europy Środkowej z odpowiednim poziomem opóźnień transmisji danych, kluczowym dla nowoczesnych usług chmurowych i aplikacji opartych na sztucznej inteligencji</w:t>
      </w:r>
      <w:r>
        <w:rPr>
          <w:rFonts w:ascii="Public Sans" w:eastAsia="Public Sans" w:hAnsi="Public Sans" w:cs="Public Sans"/>
        </w:rPr>
        <w:t xml:space="preserve"> – komentuje </w:t>
      </w:r>
      <w:r>
        <w:rPr>
          <w:rFonts w:ascii="Public Sans" w:eastAsia="Public Sans" w:hAnsi="Public Sans" w:cs="Public Sans"/>
          <w:b/>
        </w:rPr>
        <w:t xml:space="preserve">Piotr Kowalski, dyrektor zarządzający Stowarzyszenia Polish Data Center Association. </w:t>
      </w:r>
    </w:p>
    <w:p w14:paraId="34386488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  <w:noProof/>
        </w:rPr>
        <w:drawing>
          <wp:inline distT="114300" distB="114300" distL="114300" distR="114300" wp14:anchorId="7CE01BA8" wp14:editId="3C91EF59">
            <wp:extent cx="5760410" cy="57658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576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7590F7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  <w:b/>
        </w:rPr>
        <w:t>Głęboka dekarbonizacja</w:t>
      </w:r>
    </w:p>
    <w:p w14:paraId="23475296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Nie tylko klimat stanowi jednak atut Polski w wyścigu o inwestycje w centra danych. Równie istotnym filarem tej przewagi jest ambitne podejście transformacji energetycznej, które ma zapewnić czyste, stabilne i konkurencyjne źródła zasilania dla cyfrowej infrastruktury przyszłości.</w:t>
      </w:r>
    </w:p>
    <w:p w14:paraId="02380BE7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lastRenderedPageBreak/>
        <w:t xml:space="preserve">Nasz kraj intensywnie inwestuje w rozwój odnawialnych źródeł energii, tworząc solidne podstawy pod zieloną transformację sektora. Kluczowe jest przy tym wykorzystanie potencjału polskiej części Morza Bałtyckiego, którego możliwości oceniane są na 33 GW – ilość energii zdolną pokryć około połowę krajowego zapotrzebowania na prąd. </w:t>
      </w:r>
    </w:p>
    <w:p w14:paraId="3B2D545E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Do 2030 roku planowane jest oddanie 6 GW nowych mocy z morskiej energetyki wiatrowej, a do 2040 roku – aż 18 GW. Zgodnie z opublikowanym w lipcu Krajowym Planem w dziedzinie Energii i Klimatu (KPEiK 2030), Polska zakłada osiągnięcie ponad 50% udziału odnawialnych źródeł energii w produkcji energii elektrycznej do 2030 roku, a do 2040 roku niemal 80%. To podstawa transformacji energetycznej mającej zapewnić czyste, stabilne i konkurencyjne źródła zasilania dla nowoczesnej gospodarki.</w:t>
      </w:r>
    </w:p>
    <w:p w14:paraId="550A5D83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Transformacja energetyczna Polski to jednak nie tylko rozwój nowych źródeł mocy, ale także zdecydowana walka z emisjami CO₂ i powstałym na przestrzeni lat wizerunkiem kraju uzależnionego od węgla. Polska wyznaczyła sobie w tym zakresie cel redukcji emisji gazów cieplarnianych o 53,9% do 2030 roku.</w:t>
      </w:r>
    </w:p>
    <w:p w14:paraId="09B24063" w14:textId="77777777" w:rsidR="001F4A39" w:rsidRDefault="00000000">
      <w:pPr>
        <w:spacing w:before="240" w:after="240" w:line="276" w:lineRule="auto"/>
        <w:ind w:left="720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</w:rPr>
        <w:t xml:space="preserve">– </w:t>
      </w:r>
      <w:r>
        <w:rPr>
          <w:rFonts w:ascii="Public Sans" w:eastAsia="Public Sans" w:hAnsi="Public Sans" w:cs="Public Sans"/>
          <w:i/>
        </w:rPr>
        <w:t xml:space="preserve">Głęboka dekarbonizacja ma kluczowe znaczenie nie tylko dla realizacji zobowiązań klimatycznych i poprawy jakości powietrza, ale też dla budowania nowego wizerunku Polski jako atrakcyjnego, odpowiedzialnego partnera inwestycyjnego. W czasach, gdy firmy technologiczne i operatorzy centrów danych coraz mocniej stawiają na zrównoważony rozwój i minimalizację śladu węglowego, redukcja emisji stanowi ważny argument przemawiający za lokowaniem nowych inwestycji właśnie nad Wisłą </w:t>
      </w:r>
      <w:r>
        <w:rPr>
          <w:rFonts w:ascii="Public Sans" w:eastAsia="Public Sans" w:hAnsi="Public Sans" w:cs="Public Sans"/>
        </w:rPr>
        <w:t xml:space="preserve"> – podkreśla </w:t>
      </w:r>
      <w:r>
        <w:rPr>
          <w:rFonts w:ascii="Public Sans" w:eastAsia="Public Sans" w:hAnsi="Public Sans" w:cs="Public Sans"/>
          <w:b/>
        </w:rPr>
        <w:t xml:space="preserve">Sławomir Koszołko, CEO firmy Atman należącej do Stowarzyszenia Polish Data Center Association. </w:t>
      </w:r>
    </w:p>
    <w:p w14:paraId="165CC89F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Jednym z unikalnych atutów Polski w rozwoju zrównoważonej infrastruktury centrów danych jest również możliwość efektywnego wykorzystania ciepła odpadowego dzięki rozbudowanej sieci ciepłowniczej. Polska dysponuje jedną z najdłuższych i najbardziej rozbudowanych sieci ciepłowniczych w Europie, której długość na koniec 2023 roku wynosiła około 25 700 km. Ta gęsta infrastruktura, skoncentrowana głównie na obszarach miejskich i przemysłowych, umożliwia przesyłanie nadmiaru ciepła z procesów chłodzenia serwerów oraz przemysłu do odbiorców na potrzeby ogrzewania budynków mieszkalnych i użyteczności publicznej. W efekcie pozwala to na znaczące zwiększenie efektywności energetycznej oraz redukcję emisji CO₂ obu sektorów. Pełne wykorzystanie tego potencjału wymaga dalszych inwestycji i modernizacji sieci, zwłaszcza dostosowania jej parametrów do pracy z niskotemperaturowymi źródłami ciepła.</w:t>
      </w:r>
    </w:p>
    <w:p w14:paraId="00892726" w14:textId="77777777" w:rsidR="001F4A39" w:rsidRDefault="00000000">
      <w:pPr>
        <w:spacing w:before="240" w:after="240" w:line="276" w:lineRule="auto"/>
        <w:ind w:left="720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</w:rPr>
        <w:t xml:space="preserve">– </w:t>
      </w:r>
      <w:r>
        <w:rPr>
          <w:rFonts w:ascii="Public Sans" w:eastAsia="Public Sans" w:hAnsi="Public Sans" w:cs="Public Sans"/>
          <w:i/>
        </w:rPr>
        <w:t xml:space="preserve">Polska dysponuje drugim co do wielkości systemem ciepłownictwa sieciowego w Europie, co pozwala na zagospodarowanie stabilnego, całorocznego źródła ciepła generowanego przez serwerownie. Do 2030 roku potencjał odzysku ciepła z centrów danych w Polsce może pokryć około 7% zapotrzebowania na ciepło sieciowe w kraju. Do 2035 roku ten udział może wzrosnąć nawet do 16% </w:t>
      </w:r>
      <w:r>
        <w:rPr>
          <w:rFonts w:ascii="Public Sans" w:eastAsia="Public Sans" w:hAnsi="Public Sans" w:cs="Public Sans"/>
        </w:rPr>
        <w:t xml:space="preserve"> – zauważa </w:t>
      </w:r>
      <w:r>
        <w:rPr>
          <w:rFonts w:ascii="Public Sans" w:eastAsia="Public Sans" w:hAnsi="Public Sans" w:cs="Public Sans"/>
          <w:b/>
        </w:rPr>
        <w:t xml:space="preserve">Emil Gromadzki, dyrektor sprzedaży w firmie Carrier należącej do Stowarzyszenia Polish Data Center Association. </w:t>
      </w:r>
    </w:p>
    <w:p w14:paraId="28AF96CD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  <w:b/>
        </w:rPr>
        <w:t>Stabilne otoczenie dla energii jądrowej</w:t>
      </w:r>
    </w:p>
    <w:p w14:paraId="73390093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lastRenderedPageBreak/>
        <w:t xml:space="preserve">Niezwykle istotnym elementem polskiej strategii zapewnienia stabilnego i czystego źródła energii jest także rozwój energetyki jądrowej, w szczególności technologii małych reaktorów modułowych (SMR). Jak wynika z danych zebranych w raporcie Stowarzyszenia Polish Data Center Association (PLDCA), w Polsce planowana jest budowa 24 jednostek SMR o mocy 300 MW każda, co przekłada się na  7,2 GW niskoemisyjnych i wysoko-dostępnych mocy wytwórczych w systemie. Te reaktory mogłyby potencjalnie zasilać kampusy centrów danych już od 2032 roku - potencjalnie w modelu wyspowym z zerową emisją - oferując inwestorom unikalne rozwiązania odpowiadające na rosnące wymagania związane ze zrównoważonym rozwojem. Zgodnie z danymi opublikowanymi przez Ministerstwo Przemysłu, poparcie społeczne dla energetyki jądrowej sięga w Polsce aż 93%, co zapewnia stabilne otoczenie dla tego typu inwestycji oraz pozycję lidera rozwoju tej technologii w Europie. </w:t>
      </w:r>
    </w:p>
    <w:p w14:paraId="6CD80564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Co więcej, niedawno ORLEN Synthos Green Energy (OSGE) oraz PLDCA ogłosiły utworzenie wspólnej grupy roboczej, której zadaniem jest opracowanie kompleksowego modelu wykorzystania energii z małych reaktorów modułowych (SMR) do zasilania centrów danych w Polsce. W ramach tej współpracy ma powstać tzw. biała księga – dokument analizujący możliwości i korzyści takiej integracji, identyfikujący potencjalne bariery oraz wskazujący potrzebne zmiany prawne i deregulacyjne, które mogłyby usprawnić realizację wspólnych projektów w przyszłości.</w:t>
      </w:r>
    </w:p>
    <w:p w14:paraId="3653CAD5" w14:textId="3E680F31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W marcu 2025 roku OSGE dołączyło do globalnej inicjatywy mającej na celu potrojenie mocy zainstalowanej w energetyce jądrowej na świecie do 2050 roku. Do tego strategicznego porozumienia przystąpiły także największe firmy technologiczne — Amazon, Google i Meta — które są kluczowymi graczami na rynku centrów danych.</w:t>
      </w:r>
    </w:p>
    <w:p w14:paraId="479930CF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  <w:b/>
        </w:rPr>
        <w:t>Polska w oczach inwestorów</w:t>
      </w:r>
    </w:p>
    <w:p w14:paraId="5AF25076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Polska łączy w sobie unikalne atuty klimatyczne z ambitnym planem transformacji energetycznej, co czyni ją naturalnym kandydatem do roli centrum danych dla całej Europy Środkowej. Chłodny klimat ogranicza koszty chłodzenia i zmniejsza ślad węglowy, a rozwój odnawialnych źródeł energii i technologii jądrowej, w tym małych reaktorów modułowych, ma zapewnić stabilne i czyste zasilanie dla najbardziej wymagających inwestycji. Te przewagi, wspierane przez rozbudowaną sieć ciepłowniczą z potencjałem odzysku ciepła odpadowego, tworzą solidne podstawy pod zrównoważony rozwój sektora.</w:t>
      </w:r>
    </w:p>
    <w:p w14:paraId="1D05A1DA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Dynamiczny wzrost zapotrzebowania na infrastrukturę dla sztucznej inteligencji dodatkowo zwiększa atrakcyjność Polski jako lokalizacji inwestycyjnej. Gigafabryki AI i nowoczesne kampusy centrów danych potrzebują dużych, niezawodnych i zielonych źródeł energii, a także sprawnie działającej sieci przesyłowej i odpowiednich regulacji prawnych. Polska może zaoferować centralne położenie, korzystne warunki klimatyczne i energetyczne oraz rozwijający się rynek usług chmurowych, przyciągając inwestorów szukających alternatywy dla zatłoczonych rynków Europy Zachodniej.</w:t>
      </w:r>
    </w:p>
    <w:p w14:paraId="7C1ED9A5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 xml:space="preserve">Warunkiem pełnego wykorzystania tego potencjału pozostaje jednak utrzymanie szybkiego tempa procesu dekarbonizacji, usprawnienie procedur administracyjnych i planistycznych oraz rozwój kompetencji technologicznych na rynku pracy. W obliczu </w:t>
      </w:r>
      <w:r>
        <w:rPr>
          <w:rFonts w:ascii="Public Sans" w:eastAsia="Public Sans" w:hAnsi="Public Sans" w:cs="Public Sans"/>
        </w:rPr>
        <w:lastRenderedPageBreak/>
        <w:t>rosnącej konkurencji w regionie kluczowe staje się pytanie: czy Polska stanie się hubem centrów danych Europy Środkowej? Wszystko wskazuje na to, że ma ku temu wyjątkowo dobre warunki.</w:t>
      </w:r>
    </w:p>
    <w:p w14:paraId="46908AA6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</w:rPr>
        <w:t>O PLDCA</w:t>
      </w:r>
    </w:p>
    <w:p w14:paraId="3223D7F3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sz w:val="18"/>
          <w:szCs w:val="18"/>
        </w:rPr>
      </w:pPr>
      <w:r>
        <w:rPr>
          <w:rFonts w:ascii="Public Sans" w:eastAsia="Public Sans" w:hAnsi="Public Sans" w:cs="Public Sans"/>
          <w:sz w:val="18"/>
          <w:szCs w:val="18"/>
        </w:rPr>
        <w:t>Polish Data Centre Association (PLDCA) jest reprezentantem polskiego sektora centrów danych i zrzesza blisko 60 podmiotów z szerokiego łańcucha wartości branży – od właścicieli i operatorów centrów obliczeniowych, przez firmy inżynieryjne, po firmy technologiczne, integratorów i generalnych wykonawców. Stowarzyszenie wzmacnia potencjał branży data center w Polsce, edukuje rynek i buduje nowe miejsca pracy poprzez współpracę z władzami, inicjowanie zmian legislacyjnych oraz wykorzystywanie doświadczeń podobnych organizacji w Europie. PLDCA określa warunki infrastrukturalne sprzyjające realizacji celów strategicznych biznesu, promuje rozwój oraz pozyskiwanie inwestorów oraz wspiera zrównoważony i odpowiedzialny rozwój sektora.</w:t>
      </w:r>
    </w:p>
    <w:p w14:paraId="2420505C" w14:textId="77777777" w:rsidR="001F4A39" w:rsidRDefault="00000000">
      <w:pPr>
        <w:spacing w:before="240" w:after="240" w:line="276" w:lineRule="auto"/>
        <w:jc w:val="both"/>
        <w:rPr>
          <w:rFonts w:ascii="Public Sans" w:eastAsia="Public Sans" w:hAnsi="Public Sans" w:cs="Public Sans"/>
          <w:sz w:val="18"/>
          <w:szCs w:val="18"/>
        </w:rPr>
      </w:pPr>
      <w:hyperlink r:id="rId9">
        <w:r>
          <w:rPr>
            <w:rFonts w:ascii="Public Sans" w:eastAsia="Public Sans" w:hAnsi="Public Sans" w:cs="Public Sans"/>
            <w:color w:val="1155CC"/>
            <w:sz w:val="18"/>
            <w:szCs w:val="18"/>
            <w:u w:val="single"/>
          </w:rPr>
          <w:t>www.pldca.pl</w:t>
        </w:r>
      </w:hyperlink>
      <w:r>
        <w:rPr>
          <w:rFonts w:ascii="Public Sans" w:eastAsia="Public Sans" w:hAnsi="Public Sans" w:cs="Public Sans"/>
          <w:sz w:val="18"/>
          <w:szCs w:val="18"/>
        </w:rPr>
        <w:t xml:space="preserve"> </w:t>
      </w:r>
    </w:p>
    <w:p w14:paraId="06B78D0D" w14:textId="77777777" w:rsidR="001F4A3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</w:rPr>
        <w:t>Kontakt dla mediów:</w:t>
      </w:r>
    </w:p>
    <w:p w14:paraId="4AAAE4F8" w14:textId="77777777" w:rsidR="001F4A39" w:rsidRDefault="00000000">
      <w:pPr>
        <w:widowControl w:val="0"/>
        <w:spacing w:after="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</w:rPr>
        <w:t>Arkadiusz Lorenc</w:t>
      </w:r>
    </w:p>
    <w:p w14:paraId="191ECF3E" w14:textId="77777777" w:rsidR="001F4A39" w:rsidRDefault="00000000">
      <w:pPr>
        <w:widowControl w:val="0"/>
        <w:spacing w:after="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Senior Consultant</w:t>
      </w:r>
    </w:p>
    <w:p w14:paraId="4E014C7F" w14:textId="77777777" w:rsidR="001F4A39" w:rsidRDefault="00000000">
      <w:pPr>
        <w:widowControl w:val="0"/>
        <w:spacing w:after="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M: +48 538 113 774</w:t>
      </w:r>
    </w:p>
    <w:p w14:paraId="22E08F36" w14:textId="77777777" w:rsidR="001F4A39" w:rsidRDefault="00000000">
      <w:pPr>
        <w:widowControl w:val="0"/>
        <w:spacing w:after="0" w:line="276" w:lineRule="auto"/>
        <w:jc w:val="both"/>
        <w:rPr>
          <w:rFonts w:ascii="Public Sans" w:eastAsia="Public Sans" w:hAnsi="Public Sans" w:cs="Public Sans"/>
        </w:rPr>
      </w:pPr>
      <w:hyperlink r:id="rId10">
        <w:r>
          <w:rPr>
            <w:rFonts w:ascii="Public Sans" w:eastAsia="Public Sans" w:hAnsi="Public Sans" w:cs="Public Sans"/>
            <w:color w:val="1155CC"/>
            <w:u w:val="single"/>
          </w:rPr>
          <w:t>arkadiusz.lorenc@linkleaders.pl</w:t>
        </w:r>
      </w:hyperlink>
      <w:r>
        <w:rPr>
          <w:rFonts w:ascii="Public Sans" w:eastAsia="Public Sans" w:hAnsi="Public Sans" w:cs="Public Sans"/>
        </w:rPr>
        <w:t xml:space="preserve"> </w:t>
      </w:r>
    </w:p>
    <w:p w14:paraId="1BE2D3C0" w14:textId="77777777" w:rsidR="001F4A39" w:rsidRDefault="001F4A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  <w:b/>
        </w:rPr>
      </w:pPr>
    </w:p>
    <w:p w14:paraId="67E22B03" w14:textId="77777777" w:rsidR="001F4A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  <w:b/>
        </w:rPr>
      </w:pPr>
      <w:r>
        <w:rPr>
          <w:rFonts w:ascii="Public Sans" w:eastAsia="Public Sans" w:hAnsi="Public Sans" w:cs="Public Sans"/>
          <w:b/>
        </w:rPr>
        <w:t>Monika Trojanowska</w:t>
      </w:r>
    </w:p>
    <w:p w14:paraId="6A99101E" w14:textId="77777777" w:rsidR="001F4A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PR Consultant</w:t>
      </w:r>
    </w:p>
    <w:p w14:paraId="0D0C3CAC" w14:textId="77777777" w:rsidR="001F4A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M: +48 512 141 361</w:t>
      </w:r>
    </w:p>
    <w:p w14:paraId="298049EF" w14:textId="77777777" w:rsidR="001F4A3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</w:rPr>
      </w:pPr>
      <w:hyperlink r:id="rId11">
        <w:r>
          <w:rPr>
            <w:rFonts w:ascii="Public Sans" w:eastAsia="Public Sans" w:hAnsi="Public Sans" w:cs="Public Sans"/>
            <w:color w:val="1155CC"/>
            <w:u w:val="single"/>
          </w:rPr>
          <w:t>monika.trojanowska@linkleaders.pl</w:t>
        </w:r>
      </w:hyperlink>
    </w:p>
    <w:p w14:paraId="39A1192F" w14:textId="77777777" w:rsidR="001F4A39" w:rsidRDefault="001F4A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</w:rPr>
      </w:pPr>
    </w:p>
    <w:p w14:paraId="74500539" w14:textId="77777777" w:rsidR="001F4A39" w:rsidRDefault="001F4A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</w:rPr>
      </w:pPr>
    </w:p>
    <w:p w14:paraId="3CE56427" w14:textId="77777777" w:rsidR="001F4A39" w:rsidRDefault="001F4A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Public Sans" w:eastAsia="Public Sans" w:hAnsi="Public Sans" w:cs="Public Sans"/>
        </w:rPr>
      </w:pPr>
    </w:p>
    <w:p w14:paraId="473FFD2A" w14:textId="77777777" w:rsidR="001F4A39" w:rsidRDefault="001F4A39">
      <w:pPr>
        <w:spacing w:line="276" w:lineRule="auto"/>
        <w:rPr>
          <w:rFonts w:ascii="Public Sans" w:eastAsia="Public Sans" w:hAnsi="Public Sans" w:cs="Public Sans"/>
        </w:rPr>
      </w:pPr>
    </w:p>
    <w:sectPr w:rsidR="001F4A39">
      <w:headerReference w:type="default" r:id="rId12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C3B24" w14:textId="77777777" w:rsidR="00ED1998" w:rsidRDefault="00ED1998">
      <w:pPr>
        <w:spacing w:after="0" w:line="240" w:lineRule="auto"/>
      </w:pPr>
      <w:r>
        <w:separator/>
      </w:r>
    </w:p>
  </w:endnote>
  <w:endnote w:type="continuationSeparator" w:id="0">
    <w:p w14:paraId="3213DDD9" w14:textId="77777777" w:rsidR="00ED1998" w:rsidRDefault="00ED1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9E1955-1C12-2445-B9BC-8F4389533F52}"/>
    <w:embedBold r:id="rId2" w:fontKey="{BD2B928C-58B2-4541-81AE-0CE01AABB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76556C-3E3D-F240-AAE6-B72902EDFF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59F9A46-7411-7441-A212-5F2EE807EAB6}"/>
    <w:embedItalic r:id="rId5" w:fontKey="{B48A5CDB-612B-7443-8E8A-3E73C26563A0}"/>
  </w:font>
  <w:font w:name="Public Sans ExtraBold">
    <w:charset w:val="00"/>
    <w:family w:val="auto"/>
    <w:pitch w:val="default"/>
    <w:embedRegular r:id="rId6" w:fontKey="{1B7FA9C2-DDCE-9547-9BEC-530181950435}"/>
  </w:font>
  <w:font w:name="Public Sans">
    <w:panose1 w:val="020B0604020202020204"/>
    <w:charset w:val="00"/>
    <w:family w:val="auto"/>
    <w:pitch w:val="default"/>
    <w:embedRegular r:id="rId7" w:fontKey="{C9571208-1C5E-F740-A900-1FF2063BBE59}"/>
    <w:embedBold r:id="rId8" w:fontKey="{8B3653B1-ED76-814C-8823-5B84A80CF37B}"/>
    <w:embedItalic r:id="rId9" w:fontKey="{5183EFB7-93CD-1944-AE95-9D13CC70BDB1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0" w:fontKey="{8DEB9D74-5F61-9F47-AABF-BDF9295A87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7D0E0" w14:textId="77777777" w:rsidR="00ED1998" w:rsidRDefault="00ED1998">
      <w:pPr>
        <w:spacing w:after="0" w:line="240" w:lineRule="auto"/>
      </w:pPr>
      <w:r>
        <w:separator/>
      </w:r>
    </w:p>
  </w:footnote>
  <w:footnote w:type="continuationSeparator" w:id="0">
    <w:p w14:paraId="77DAE66D" w14:textId="77777777" w:rsidR="00ED1998" w:rsidRDefault="00ED1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7B5EC" w14:textId="77777777" w:rsidR="001F4A39" w:rsidRDefault="00000000">
    <w:pPr>
      <w:jc w:val="right"/>
    </w:pPr>
    <w:r>
      <w:rPr>
        <w:noProof/>
      </w:rPr>
      <w:drawing>
        <wp:inline distT="114300" distB="114300" distL="114300" distR="114300" wp14:anchorId="4DDD364F" wp14:editId="3A7941CD">
          <wp:extent cx="1438593" cy="44558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593" cy="445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4A39"/>
    <w:rsid w:val="001F4A39"/>
    <w:rsid w:val="003C0CAC"/>
    <w:rsid w:val="004F1FD6"/>
    <w:rsid w:val="00ED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42C7D0"/>
  <w15:docId w15:val="{8E1AB603-F3CC-AC45-9732-3AD8BC847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L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95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1D7D2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dca.pl/aktualnosci/polska-przyciaga-inwestycje-w-centra-danych-nowy-raport-pokazuje-dlaczego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onika.trojanowska@linkleaders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rkadiusz.lorenc@linkleaders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dca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9IErSrJbl2OCRZXAa86cVYYTgg==">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1769</Words>
  <Characters>9735</Characters>
  <Application>Microsoft Office Word</Application>
  <DocSecurity>0</DocSecurity>
  <Lines>81</Lines>
  <Paragraphs>22</Paragraphs>
  <ScaleCrop>false</ScaleCrop>
  <Company/>
  <LinksUpToDate>false</LinksUpToDate>
  <CharactersWithSpaces>11482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Link Leaders</cp:lastModifiedBy>
  <cp:revision>2</cp:revision>
  <dcterms:created xsi:type="dcterms:W3CDTF">2025-04-15T09:37:00Z</dcterms:created>
  <dcterms:modified xsi:type="dcterms:W3CDTF">2025-08-04T08:53:00Z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27df7bd1-4181-40d8-a0e3-905a8c20a426</vt:lpwstr>
  </property>
</Properties>
</file>