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B20D3" w:rsidRDefault="00A72B08" w14:paraId="3DC367F6" w14:textId="71006629">
      <w:pPr>
        <w:pStyle w:val="Tekstpodstawowy"/>
        <w:ind w:left="4302"/>
        <w:rPr>
          <w:rFonts w:ascii="Times New Roman"/>
          <w:sz w:val="20"/>
        </w:rPr>
      </w:pPr>
      <w:r w:rsidRPr="00A72B08">
        <w:rPr>
          <w:i/>
          <w:iCs/>
          <w:color w:val="040033"/>
          <w:sz w:val="14"/>
          <w:szCs w:val="14"/>
          <w:lang w:val="pl-PL"/>
        </w:rPr>
        <w:drawing>
          <wp:anchor distT="0" distB="0" distL="114300" distR="114300" simplePos="0" relativeHeight="251658240" behindDoc="0" locked="0" layoutInCell="1" allowOverlap="1" wp14:anchorId="7222FBC1" wp14:editId="4EB41049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832600" cy="2277745"/>
            <wp:effectExtent l="0" t="0" r="6350" b="8255"/>
            <wp:wrapSquare wrapText="bothSides"/>
            <wp:docPr id="8747876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72B08" w:rsidR="00B30EC3" w:rsidRDefault="00B30EC3" w14:paraId="34E63B69" w14:textId="6350CF52">
      <w:pPr>
        <w:pStyle w:val="Tekstpodstawowy"/>
        <w:ind w:left="4302"/>
        <w:rPr>
          <w:rFonts w:ascii="Times New Roman"/>
          <w:sz w:val="14"/>
          <w:szCs w:val="14"/>
        </w:rPr>
      </w:pPr>
    </w:p>
    <w:p w:rsidRPr="00A72B08" w:rsidR="00B30EC3" w:rsidRDefault="00B30EC3" w14:paraId="34E63B6A" w14:textId="3226C124">
      <w:pPr>
        <w:pStyle w:val="Tekstpodstawowy"/>
        <w:rPr>
          <w:rFonts w:ascii="Times New Roman"/>
          <w:sz w:val="14"/>
          <w:szCs w:val="14"/>
        </w:rPr>
      </w:pPr>
    </w:p>
    <w:p w:rsidRPr="00A72B08" w:rsidR="00916C3F" w:rsidP="00916C3F" w:rsidRDefault="00916C3F" w14:paraId="07C93FE3" w14:textId="0D5E2D66">
      <w:pPr>
        <w:pStyle w:val="Tekstpodstawowy"/>
        <w:spacing w:before="13" w:after="1"/>
        <w:rPr>
          <w:i/>
          <w:iCs/>
          <w:color w:val="040033"/>
          <w:sz w:val="14"/>
          <w:szCs w:val="14"/>
          <w:lang w:val="pl-PL"/>
        </w:rPr>
      </w:pPr>
      <w:r w:rsidRPr="00A72B08">
        <w:rPr>
          <w:i/>
          <w:iCs/>
          <w:color w:val="040033"/>
          <w:sz w:val="14"/>
          <w:szCs w:val="14"/>
          <w:lang w:val="pl-PL"/>
        </w:rPr>
        <w:t>Informacja prasowa</w:t>
      </w:r>
    </w:p>
    <w:p w:rsidR="00916C3F" w:rsidP="1C58B304" w:rsidRDefault="00916C3F" w14:paraId="14A2A000" w14:textId="22E30906">
      <w:pPr>
        <w:pStyle w:val="Tekstpodstawowy"/>
        <w:spacing w:before="13" w:after="1"/>
        <w:rPr>
          <w:i w:val="1"/>
          <w:iCs w:val="1"/>
          <w:color w:val="040033"/>
          <w:sz w:val="14"/>
          <w:szCs w:val="14"/>
          <w:lang w:val="pl-PL"/>
        </w:rPr>
      </w:pPr>
      <w:r w:rsidRPr="1C58B304" w:rsidR="4D797F4E">
        <w:rPr>
          <w:i w:val="1"/>
          <w:iCs w:val="1"/>
          <w:color w:val="040033"/>
          <w:sz w:val="14"/>
          <w:szCs w:val="14"/>
          <w:lang w:val="pl-PL"/>
        </w:rPr>
        <w:t>04 sierpni</w:t>
      </w:r>
      <w:r w:rsidRPr="1C58B304" w:rsidR="00916C3F">
        <w:rPr>
          <w:i w:val="1"/>
          <w:iCs w:val="1"/>
          <w:color w:val="040033"/>
          <w:sz w:val="14"/>
          <w:szCs w:val="14"/>
          <w:lang w:val="pl-PL"/>
        </w:rPr>
        <w:t>a 2025</w:t>
      </w:r>
    </w:p>
    <w:p w:rsidRPr="00A72B08" w:rsidR="00A72B08" w:rsidP="00916C3F" w:rsidRDefault="00A72B08" w14:paraId="6B539D05" w14:textId="77777777">
      <w:pPr>
        <w:pStyle w:val="Tekstpodstawowy"/>
        <w:spacing w:before="13" w:after="1"/>
        <w:rPr>
          <w:i/>
          <w:iCs/>
          <w:color w:val="040033"/>
          <w:sz w:val="14"/>
          <w:szCs w:val="14"/>
          <w:lang w:val="pl-PL"/>
        </w:rPr>
      </w:pPr>
    </w:p>
    <w:p w:rsidRPr="00234425" w:rsidR="00B30EC3" w:rsidP="00A72B08" w:rsidRDefault="00234425" w14:paraId="34E63B72" w14:textId="0FAF9442">
      <w:pPr>
        <w:pStyle w:val="Tytu"/>
        <w:ind w:left="0" w:right="997"/>
        <w:rPr>
          <w:lang w:val="pl-PL"/>
        </w:rPr>
      </w:pPr>
      <w:r w:rsidRPr="00234425">
        <w:rPr>
          <w:color w:val="040033"/>
          <w:lang w:val="pl-PL"/>
        </w:rPr>
        <w:t xml:space="preserve">Accor podsumowuje </w:t>
      </w:r>
      <w:r w:rsidR="009608C6">
        <w:rPr>
          <w:color w:val="040033"/>
          <w:lang w:val="pl-PL"/>
        </w:rPr>
        <w:t xml:space="preserve">pierwsze półrocze </w:t>
      </w:r>
      <w:r w:rsidRPr="00234425">
        <w:rPr>
          <w:color w:val="040033"/>
          <w:lang w:val="pl-PL"/>
        </w:rPr>
        <w:t>202</w:t>
      </w:r>
      <w:r w:rsidR="009608C6">
        <w:rPr>
          <w:color w:val="040033"/>
          <w:lang w:val="pl-PL"/>
        </w:rPr>
        <w:t>5</w:t>
      </w:r>
      <w:r w:rsidRPr="00234425">
        <w:rPr>
          <w:color w:val="040033"/>
          <w:lang w:val="pl-PL"/>
        </w:rPr>
        <w:t xml:space="preserve"> rok</w:t>
      </w:r>
      <w:r w:rsidR="009608C6">
        <w:rPr>
          <w:color w:val="040033"/>
          <w:lang w:val="pl-PL"/>
        </w:rPr>
        <w:t>u</w:t>
      </w:r>
    </w:p>
    <w:p w:rsidRPr="001A1003" w:rsidR="00346CBA" w:rsidP="00CE6A83" w:rsidRDefault="00346CBA" w14:paraId="52BEC911" w14:textId="679773C3">
      <w:pPr>
        <w:pStyle w:val="Tekstpodstawowy"/>
        <w:spacing w:line="331" w:lineRule="auto"/>
        <w:ind w:left="1191" w:right="1189"/>
        <w:jc w:val="both"/>
        <w:rPr>
          <w:color w:val="74758B"/>
          <w:lang w:val="pl-PL"/>
        </w:rPr>
      </w:pPr>
    </w:p>
    <w:p w:rsidRPr="00CE6A83" w:rsidR="00EB47ED" w:rsidP="00A72B08" w:rsidRDefault="000847CB" w14:paraId="583D6DA9" w14:textId="76E508DF">
      <w:pPr>
        <w:pStyle w:val="Tekstpodstawowy"/>
        <w:spacing w:line="331" w:lineRule="auto"/>
        <w:ind w:right="1189"/>
        <w:jc w:val="both"/>
        <w:rPr>
          <w:b/>
          <w:bCs/>
          <w:color w:val="040033"/>
          <w:lang w:val="pl-PL"/>
        </w:rPr>
      </w:pPr>
      <w:r w:rsidRPr="00CE6A83">
        <w:rPr>
          <w:b/>
          <w:bCs/>
          <w:color w:val="040033"/>
          <w:lang w:val="pl-PL"/>
        </w:rPr>
        <w:t>Accor, wiodąca globalna grupa hotelowa, odnotowała wzrost przychodów o 5,1% przy stałych kursach wymiany w pierwszej połowie bieżącego roku, ze wzrostem powtarzalnego wskaźnika EBITDA o 9,4%.</w:t>
      </w:r>
    </w:p>
    <w:p w:rsidR="000847CB" w:rsidP="00916C3F" w:rsidRDefault="000847CB" w14:paraId="6A92B783" w14:textId="77777777">
      <w:pPr>
        <w:pStyle w:val="Tekstpodstawowy"/>
        <w:spacing w:line="331" w:lineRule="auto"/>
        <w:ind w:left="1191" w:right="1189"/>
        <w:jc w:val="both"/>
        <w:rPr>
          <w:b/>
          <w:bCs/>
          <w:color w:val="040033"/>
          <w:lang w:val="pl-PL"/>
        </w:rPr>
      </w:pPr>
    </w:p>
    <w:p w:rsidR="00CE6A83" w:rsidP="00916C3F" w:rsidRDefault="00062742" w14:paraId="2EBD7A5D" w14:textId="77777777">
      <w:pPr>
        <w:pStyle w:val="Tekstpodstawowy"/>
        <w:spacing w:line="331" w:lineRule="auto"/>
        <w:ind w:right="1189"/>
        <w:jc w:val="both"/>
        <w:rPr>
          <w:color w:val="040033"/>
          <w:lang w:val="pl-PL"/>
        </w:rPr>
      </w:pPr>
      <w:r>
        <w:rPr>
          <w:color w:val="040033"/>
          <w:lang w:val="pl-PL"/>
        </w:rPr>
        <w:t>Jak po</w:t>
      </w:r>
      <w:r w:rsidR="006535B3">
        <w:rPr>
          <w:color w:val="040033"/>
          <w:lang w:val="pl-PL"/>
        </w:rPr>
        <w:t>dkreśla</w:t>
      </w:r>
      <w:r w:rsidR="00456BCD">
        <w:rPr>
          <w:b/>
          <w:bCs/>
          <w:color w:val="040033"/>
          <w:lang w:val="pl-PL"/>
        </w:rPr>
        <w:t xml:space="preserve"> </w:t>
      </w:r>
      <w:proofErr w:type="spellStart"/>
      <w:r w:rsidRPr="008843B6" w:rsidR="00456BCD">
        <w:rPr>
          <w:b/>
          <w:bCs/>
          <w:color w:val="040033"/>
          <w:lang w:val="pl-PL"/>
        </w:rPr>
        <w:t>Sébastien</w:t>
      </w:r>
      <w:proofErr w:type="spellEnd"/>
      <w:r w:rsidRPr="008843B6" w:rsidR="00456BCD">
        <w:rPr>
          <w:b/>
          <w:bCs/>
          <w:color w:val="040033"/>
          <w:lang w:val="pl-PL"/>
        </w:rPr>
        <w:t xml:space="preserve"> </w:t>
      </w:r>
      <w:proofErr w:type="spellStart"/>
      <w:r w:rsidRPr="008843B6" w:rsidR="00456BCD">
        <w:rPr>
          <w:b/>
          <w:bCs/>
          <w:color w:val="040033"/>
          <w:lang w:val="pl-PL"/>
        </w:rPr>
        <w:t>Bazin</w:t>
      </w:r>
      <w:proofErr w:type="spellEnd"/>
      <w:r w:rsidRPr="008843B6" w:rsidR="00456BCD">
        <w:rPr>
          <w:b/>
          <w:bCs/>
          <w:color w:val="040033"/>
          <w:lang w:val="pl-PL"/>
        </w:rPr>
        <w:t xml:space="preserve">, Chairman </w:t>
      </w:r>
      <w:r w:rsidR="00987AC8">
        <w:rPr>
          <w:b/>
          <w:bCs/>
          <w:color w:val="040033"/>
          <w:lang w:val="pl-PL"/>
        </w:rPr>
        <w:t>i</w:t>
      </w:r>
      <w:r w:rsidRPr="008843B6" w:rsidR="00456BCD">
        <w:rPr>
          <w:b/>
          <w:bCs/>
          <w:color w:val="040033"/>
          <w:lang w:val="pl-PL"/>
        </w:rPr>
        <w:t xml:space="preserve"> CEO Accor</w:t>
      </w:r>
      <w:r>
        <w:rPr>
          <w:color w:val="040033"/>
          <w:lang w:val="pl-PL"/>
        </w:rPr>
        <w:t xml:space="preserve">: </w:t>
      </w:r>
      <w:r w:rsidRPr="00CE6A83" w:rsidR="00CE6A83">
        <w:rPr>
          <w:i/>
          <w:iCs/>
          <w:color w:val="040033"/>
          <w:lang w:val="pl-PL"/>
        </w:rPr>
        <w:t xml:space="preserve">W pierwszym półroczu 2025 roku Accor ponownie odnotował silny wzrost, pomimo złożonego środowiska geopolitycznego i wpływu kursów walut. Te solidne wyniki potwierdzają jakość naszego portfolio marek i trafność naszej zdywersyfikowanej obecności geograficznej, a także są rezultatem dyscypliny operacyjnej i finansowej, którą Grupa konsekwentnie wdraża kwartał po kwartale. Przy stałych kursach walutowych, na cały rok 2025, potwierdzamy nasze cele dotyczące wzrostu </w:t>
      </w:r>
      <w:proofErr w:type="spellStart"/>
      <w:r w:rsidRPr="00CE6A83" w:rsidR="00CE6A83">
        <w:rPr>
          <w:i/>
          <w:iCs/>
          <w:color w:val="040033"/>
          <w:lang w:val="pl-PL"/>
        </w:rPr>
        <w:t>RevPAR</w:t>
      </w:r>
      <w:proofErr w:type="spellEnd"/>
      <w:r w:rsidRPr="00CE6A83" w:rsidR="00CE6A83">
        <w:rPr>
          <w:i/>
          <w:iCs/>
          <w:color w:val="040033"/>
          <w:lang w:val="pl-PL"/>
        </w:rPr>
        <w:t>, rozwoju sieci oraz powtarzalnego wskaźnika EBITDA, zgodnie z naszymi średnioterminowymi perspektywami</w:t>
      </w:r>
      <w:r w:rsidR="00CE6A83">
        <w:rPr>
          <w:color w:val="040033"/>
          <w:lang w:val="pl-PL"/>
        </w:rPr>
        <w:t>.</w:t>
      </w:r>
    </w:p>
    <w:p w:rsidR="00CE6A83" w:rsidP="00916C3F" w:rsidRDefault="00CE6A83" w14:paraId="09B7B8DC" w14:textId="77777777">
      <w:pPr>
        <w:pStyle w:val="Tekstpodstawowy"/>
        <w:spacing w:line="331" w:lineRule="auto"/>
        <w:ind w:left="1191" w:right="1189"/>
        <w:jc w:val="both"/>
        <w:rPr>
          <w:color w:val="040033"/>
          <w:lang w:val="pl-PL"/>
        </w:rPr>
      </w:pPr>
    </w:p>
    <w:p w:rsidR="00CE6A83" w:rsidP="00916C3F" w:rsidRDefault="00CE6A83" w14:paraId="59CAFD30" w14:textId="77777777">
      <w:pPr>
        <w:pStyle w:val="Tekstpodstawowy"/>
        <w:spacing w:line="331" w:lineRule="auto"/>
        <w:ind w:right="1189"/>
        <w:jc w:val="both"/>
        <w:rPr>
          <w:color w:val="040033"/>
          <w:lang w:val="pl-PL"/>
        </w:rPr>
      </w:pPr>
      <w:r w:rsidRPr="00CE6A83">
        <w:rPr>
          <w:color w:val="040033"/>
          <w:lang w:val="pl-PL"/>
        </w:rPr>
        <w:t xml:space="preserve">W pierwszym półroczu 2025 roku Accor odnotował </w:t>
      </w:r>
      <w:r w:rsidRPr="00CE6A83">
        <w:rPr>
          <w:b/>
          <w:bCs/>
          <w:color w:val="040033"/>
          <w:lang w:val="pl-PL"/>
        </w:rPr>
        <w:t>przychody w wysokości 2 745 mln EUR</w:t>
      </w:r>
      <w:r w:rsidRPr="00CE6A83">
        <w:rPr>
          <w:color w:val="040033"/>
          <w:lang w:val="pl-PL"/>
        </w:rPr>
        <w:t>, co oznacza wzrost o 2,5% w porównaniu z analogicznym okresem ubiegłego roku. Na ten wynik złożył się wzrost przychodów o 0,1% w segmencie Premium, Midscale i Economy oraz 5,6% w segmencie Luxury &amp; Lifestyle.</w:t>
      </w:r>
    </w:p>
    <w:p w:rsidR="00CE6A83" w:rsidP="00916C3F" w:rsidRDefault="00CE6A83" w14:paraId="0B089B05" w14:textId="77777777">
      <w:pPr>
        <w:pStyle w:val="Tekstpodstawowy"/>
        <w:spacing w:line="331" w:lineRule="auto"/>
        <w:ind w:left="1191" w:right="1189"/>
        <w:jc w:val="both"/>
        <w:rPr>
          <w:color w:val="040033"/>
          <w:lang w:val="pl-PL"/>
        </w:rPr>
      </w:pPr>
    </w:p>
    <w:p w:rsidRPr="00CE6A83" w:rsidR="00CE6A83" w:rsidP="00916C3F" w:rsidRDefault="00CE6A83" w14:paraId="0861182D" w14:textId="5B5FF360">
      <w:pPr>
        <w:pStyle w:val="Tekstpodstawowy"/>
        <w:spacing w:line="331" w:lineRule="auto"/>
        <w:ind w:right="1189"/>
        <w:jc w:val="both"/>
        <w:rPr>
          <w:color w:val="040033"/>
          <w:lang w:val="pl-PL"/>
        </w:rPr>
      </w:pPr>
      <w:r w:rsidRPr="00CE6A83">
        <w:rPr>
          <w:b/>
          <w:bCs/>
          <w:color w:val="040033"/>
          <w:lang w:val="pl-PL"/>
        </w:rPr>
        <w:t>Skonsolidowany Powtarzalny Wskaźnik EBITDA</w:t>
      </w:r>
      <w:r w:rsidRPr="00CE6A83">
        <w:rPr>
          <w:color w:val="040033"/>
          <w:lang w:val="pl-PL"/>
        </w:rPr>
        <w:t xml:space="preserve"> wyniósł </w:t>
      </w:r>
      <w:r w:rsidRPr="00CE6A83">
        <w:rPr>
          <w:b/>
          <w:bCs/>
          <w:color w:val="040033"/>
          <w:lang w:val="pl-PL"/>
        </w:rPr>
        <w:t>552 mln EUR</w:t>
      </w:r>
      <w:r w:rsidRPr="00CE6A83">
        <w:rPr>
          <w:color w:val="040033"/>
          <w:lang w:val="pl-PL"/>
        </w:rPr>
        <w:t xml:space="preserve">, co oznacza wzrost o 9,4% w porównaniu z pierwszym półroczem 2024 roku. Kluczowy wskaźnik </w:t>
      </w:r>
      <w:proofErr w:type="spellStart"/>
      <w:r w:rsidRPr="00CE6A83">
        <w:rPr>
          <w:b/>
          <w:bCs/>
          <w:color w:val="040033"/>
          <w:lang w:val="pl-PL"/>
        </w:rPr>
        <w:t>RevPAR</w:t>
      </w:r>
      <w:proofErr w:type="spellEnd"/>
      <w:r w:rsidRPr="00CE6A83">
        <w:rPr>
          <w:b/>
          <w:bCs/>
          <w:color w:val="040033"/>
          <w:lang w:val="pl-PL"/>
        </w:rPr>
        <w:t xml:space="preserve"> (przychód na dostępny pokój)</w:t>
      </w:r>
      <w:r w:rsidRPr="00CE6A83">
        <w:rPr>
          <w:color w:val="040033"/>
          <w:lang w:val="pl-PL"/>
        </w:rPr>
        <w:t xml:space="preserve"> wzrósł o </w:t>
      </w:r>
      <w:r w:rsidRPr="00CE6A83">
        <w:rPr>
          <w:b/>
          <w:bCs/>
          <w:color w:val="040033"/>
          <w:lang w:val="pl-PL"/>
        </w:rPr>
        <w:t>4,6%</w:t>
      </w:r>
      <w:r w:rsidRPr="00CE6A83">
        <w:rPr>
          <w:color w:val="040033"/>
          <w:lang w:val="pl-PL"/>
        </w:rPr>
        <w:t xml:space="preserve"> w ciągu sześciu miesięcy tego roku.</w:t>
      </w:r>
    </w:p>
    <w:p w:rsidRPr="006535B3" w:rsidR="00667F24" w:rsidP="00916C3F" w:rsidRDefault="00667F24" w14:paraId="5AF7459A" w14:textId="77777777">
      <w:pPr>
        <w:pStyle w:val="Tekstpodstawowy"/>
        <w:spacing w:line="331" w:lineRule="auto"/>
        <w:ind w:right="1189"/>
        <w:jc w:val="both"/>
        <w:rPr>
          <w:color w:val="040033"/>
          <w:lang w:val="pl-PL"/>
        </w:rPr>
      </w:pPr>
    </w:p>
    <w:p w:rsidRPr="00B70107" w:rsidR="00B70107" w:rsidP="00916C3F" w:rsidRDefault="00B70107" w14:paraId="0FB7CBF6" w14:textId="77777777">
      <w:pPr>
        <w:pStyle w:val="Tekstpodstawowy"/>
        <w:spacing w:line="331" w:lineRule="auto"/>
        <w:ind w:right="1189"/>
        <w:jc w:val="both"/>
        <w:rPr>
          <w:color w:val="040033"/>
          <w:lang w:val="pl-PL"/>
        </w:rPr>
      </w:pPr>
      <w:r w:rsidRPr="00B70107">
        <w:rPr>
          <w:color w:val="040033"/>
          <w:lang w:val="pl-PL"/>
        </w:rPr>
        <w:t xml:space="preserve">W pierwszym półroczu 2025 roku Accor otworzył </w:t>
      </w:r>
      <w:r w:rsidRPr="00B70107">
        <w:rPr>
          <w:b/>
          <w:bCs/>
          <w:color w:val="040033"/>
          <w:lang w:val="pl-PL"/>
        </w:rPr>
        <w:t>117 hoteli</w:t>
      </w:r>
      <w:r w:rsidRPr="00B70107">
        <w:rPr>
          <w:color w:val="040033"/>
          <w:lang w:val="pl-PL"/>
        </w:rPr>
        <w:t xml:space="preserve">, co odpowiada ponad 15 000 pokoi, oznaczając wzrost netto o 1,9% w ciągu ostatnich 12 miesięcy. Na koniec czerwca 2025 roku portfolio grupy sięgnęło </w:t>
      </w:r>
      <w:r w:rsidRPr="00B70107">
        <w:rPr>
          <w:b/>
          <w:bCs/>
          <w:color w:val="040033"/>
          <w:lang w:val="pl-PL"/>
        </w:rPr>
        <w:t>5 740 hoteli (854 695 pokoi)</w:t>
      </w:r>
      <w:r w:rsidRPr="00B70107">
        <w:rPr>
          <w:color w:val="040033"/>
          <w:lang w:val="pl-PL"/>
        </w:rPr>
        <w:t xml:space="preserve"> oraz kolejne </w:t>
      </w:r>
      <w:r w:rsidRPr="00B70107">
        <w:rPr>
          <w:b/>
          <w:bCs/>
          <w:color w:val="040033"/>
          <w:lang w:val="pl-PL"/>
        </w:rPr>
        <w:t>1 432 hotele (ponad 241 000 pokoi)</w:t>
      </w:r>
      <w:r w:rsidRPr="00B70107">
        <w:rPr>
          <w:color w:val="040033"/>
          <w:lang w:val="pl-PL"/>
        </w:rPr>
        <w:t xml:space="preserve"> w fazie przygotowań.</w:t>
      </w:r>
    </w:p>
    <w:p w:rsidR="00B70107" w:rsidP="00916C3F" w:rsidRDefault="00B70107" w14:paraId="1594E2FD" w14:textId="77777777">
      <w:pPr>
        <w:pStyle w:val="Tekstpodstawowy"/>
        <w:spacing w:line="331" w:lineRule="auto"/>
        <w:ind w:left="1191" w:right="1189"/>
        <w:jc w:val="both"/>
        <w:rPr>
          <w:color w:val="040033"/>
          <w:lang w:val="pl-PL"/>
        </w:rPr>
      </w:pPr>
    </w:p>
    <w:p w:rsidRPr="00916C3F" w:rsidR="00346E3D" w:rsidP="00916C3F" w:rsidRDefault="00B70107" w14:paraId="099B032C" w14:textId="4CA99AE7">
      <w:pPr>
        <w:pStyle w:val="Tekstpodstawowy"/>
        <w:spacing w:line="331" w:lineRule="auto"/>
        <w:ind w:right="1189"/>
        <w:jc w:val="both"/>
        <w:rPr>
          <w:i/>
          <w:iCs/>
          <w:color w:val="040033"/>
          <w:lang w:val="pl-PL"/>
        </w:rPr>
      </w:pPr>
      <w:r w:rsidRPr="00B70107">
        <w:rPr>
          <w:i/>
          <w:iCs/>
          <w:color w:val="040033"/>
          <w:lang w:val="pl-PL"/>
        </w:rPr>
        <w:t>Będziemy również kontynuować, zgodnie z obietnicą, naszą atrakcyjną politykę zwrotu dla akcjonariuszy, uruchamiając drugą transzę naszego programu skupu akcji własnych</w:t>
      </w:r>
      <w:r w:rsidR="00916C3F">
        <w:rPr>
          <w:i/>
          <w:iCs/>
          <w:color w:val="040033"/>
          <w:lang w:val="pl-PL"/>
        </w:rPr>
        <w:t xml:space="preserve"> </w:t>
      </w:r>
      <w:r w:rsidRPr="00346E3D" w:rsidR="00346E3D">
        <w:rPr>
          <w:color w:val="040033"/>
          <w:lang w:val="pl-PL"/>
        </w:rPr>
        <w:t xml:space="preserve">– dodał </w:t>
      </w:r>
      <w:proofErr w:type="spellStart"/>
      <w:r w:rsidRPr="00346E3D" w:rsidR="00346E3D">
        <w:rPr>
          <w:b/>
          <w:bCs/>
          <w:color w:val="040033"/>
          <w:lang w:val="pl-PL"/>
        </w:rPr>
        <w:t>Sébastien</w:t>
      </w:r>
      <w:proofErr w:type="spellEnd"/>
      <w:r w:rsidRPr="00346E3D" w:rsidR="00346E3D">
        <w:rPr>
          <w:b/>
          <w:bCs/>
          <w:color w:val="040033"/>
          <w:lang w:val="pl-PL"/>
        </w:rPr>
        <w:t xml:space="preserve"> </w:t>
      </w:r>
      <w:proofErr w:type="spellStart"/>
      <w:r w:rsidRPr="00346E3D" w:rsidR="00346E3D">
        <w:rPr>
          <w:b/>
          <w:bCs/>
          <w:color w:val="040033"/>
          <w:lang w:val="pl-PL"/>
        </w:rPr>
        <w:t>Bazin</w:t>
      </w:r>
      <w:proofErr w:type="spellEnd"/>
      <w:r w:rsidR="00346E3D">
        <w:rPr>
          <w:color w:val="040033"/>
          <w:lang w:val="pl-PL"/>
        </w:rPr>
        <w:t>.</w:t>
      </w:r>
    </w:p>
    <w:p w:rsidRPr="006535B3" w:rsidR="008843B6" w:rsidP="00916C3F" w:rsidRDefault="008843B6" w14:paraId="324CBB19" w14:textId="77777777">
      <w:pPr>
        <w:pStyle w:val="Tekstpodstawowy"/>
        <w:spacing w:line="331" w:lineRule="auto"/>
        <w:ind w:left="1191" w:right="1189"/>
        <w:jc w:val="both"/>
        <w:rPr>
          <w:color w:val="040033"/>
          <w:lang w:val="pl-PL"/>
        </w:rPr>
      </w:pPr>
    </w:p>
    <w:p w:rsidRPr="00862207" w:rsidR="007B20D3" w:rsidP="00916C3F" w:rsidRDefault="00862207" w14:paraId="4018B8BC" w14:textId="7A8EC3F2">
      <w:pPr>
        <w:pStyle w:val="Tekstpodstawowy"/>
        <w:spacing w:line="227" w:lineRule="exact"/>
        <w:jc w:val="both"/>
        <w:rPr>
          <w:lang w:val="pl-PL"/>
        </w:rPr>
      </w:pPr>
      <w:r w:rsidRPr="006535B3">
        <w:rPr>
          <w:color w:val="040033"/>
          <w:lang w:val="pl-PL"/>
        </w:rPr>
        <w:t xml:space="preserve">Pełny raport w języku angielskim </w:t>
      </w:r>
      <w:r w:rsidRPr="006535B3" w:rsidR="009A3868">
        <w:rPr>
          <w:color w:val="040033"/>
          <w:lang w:val="pl-PL"/>
        </w:rPr>
        <w:t>jest dostępn</w:t>
      </w:r>
      <w:r w:rsidRPr="006535B3" w:rsidR="00122284">
        <w:rPr>
          <w:color w:val="040033"/>
          <w:lang w:val="pl-PL"/>
        </w:rPr>
        <w:t>y</w:t>
      </w:r>
      <w:r w:rsidRPr="006535B3">
        <w:rPr>
          <w:color w:val="040033"/>
          <w:lang w:val="pl-PL"/>
        </w:rPr>
        <w:t xml:space="preserve"> </w:t>
      </w:r>
      <w:hyperlink w:history="1" r:id="rId8">
        <w:r w:rsidRPr="00916C3F">
          <w:rPr>
            <w:b/>
            <w:bCs/>
            <w:color w:val="040033"/>
            <w:u w:val="single"/>
          </w:rPr>
          <w:t>tutaj</w:t>
        </w:r>
      </w:hyperlink>
      <w:r w:rsidRPr="00916C3F" w:rsidR="007B20D3">
        <w:rPr>
          <w:b/>
          <w:bCs/>
          <w:color w:val="040033"/>
          <w:u w:val="single"/>
          <w:lang w:val="pl-PL"/>
        </w:rPr>
        <w:t xml:space="preserve">. </w:t>
      </w:r>
    </w:p>
    <w:p w:rsidRPr="00862207" w:rsidR="008005FC" w:rsidP="00E540A9" w:rsidRDefault="00E540A9" w14:paraId="69DBC5B3" w14:textId="12EFCBBD">
      <w:pPr>
        <w:tabs>
          <w:tab w:val="left" w:pos="3773"/>
        </w:tabs>
        <w:spacing w:before="114" w:line="331" w:lineRule="auto"/>
        <w:ind w:left="1191" w:right="1196"/>
        <w:jc w:val="both"/>
        <w:rPr>
          <w:iCs/>
          <w:sz w:val="19"/>
          <w:lang w:val="pl-PL"/>
        </w:rPr>
      </w:pPr>
      <w:r>
        <w:rPr>
          <w:iCs/>
          <w:sz w:val="19"/>
          <w:lang w:val="pl-PL"/>
        </w:rPr>
        <w:tab/>
      </w:r>
      <w:r>
        <w:rPr>
          <w:iCs/>
          <w:sz w:val="19"/>
          <w:lang w:val="pl-PL"/>
        </w:rPr>
        <w:t xml:space="preserve"> </w:t>
      </w:r>
    </w:p>
    <w:p w:rsidRPr="007B24BB" w:rsidR="007B20D3" w:rsidP="00916C3F" w:rsidRDefault="00534408" w14:paraId="52AD82D6" w14:textId="62225E99">
      <w:pPr>
        <w:ind w:left="1" w:right="1"/>
        <w:jc w:val="center"/>
        <w:rPr>
          <w:b/>
          <w:sz w:val="15"/>
          <w:lang w:val="pl-PL"/>
        </w:rPr>
      </w:pPr>
      <w:r>
        <w:rPr>
          <w:b/>
          <w:color w:val="040033"/>
          <w:sz w:val="15"/>
          <w:lang w:val="pl-PL"/>
        </w:rPr>
        <w:t>O</w:t>
      </w:r>
      <w:r w:rsidRPr="007B24BB" w:rsidR="007B20D3">
        <w:rPr>
          <w:b/>
          <w:color w:val="040033"/>
          <w:spacing w:val="-5"/>
          <w:sz w:val="15"/>
          <w:lang w:val="pl-PL"/>
        </w:rPr>
        <w:t xml:space="preserve"> </w:t>
      </w:r>
      <w:r w:rsidRPr="007B24BB" w:rsidR="007B20D3">
        <w:rPr>
          <w:b/>
          <w:color w:val="040033"/>
          <w:spacing w:val="-2"/>
          <w:sz w:val="15"/>
          <w:lang w:val="pl-PL"/>
        </w:rPr>
        <w:t>ACCOR</w:t>
      </w:r>
    </w:p>
    <w:p w:rsidRPr="007B24BB" w:rsidR="007B20D3" w:rsidP="007B20D3" w:rsidRDefault="007B20D3" w14:paraId="2896BF44" w14:textId="77777777">
      <w:pPr>
        <w:pStyle w:val="Tekstpodstawowy"/>
        <w:spacing w:before="15"/>
        <w:rPr>
          <w:color w:val="74758B"/>
          <w:sz w:val="18"/>
          <w:szCs w:val="22"/>
          <w:lang w:val="pl-PL"/>
        </w:rPr>
      </w:pPr>
    </w:p>
    <w:p w:rsidRPr="00080B74" w:rsidR="007B20D3" w:rsidP="00916C3F" w:rsidRDefault="000677E8" w14:paraId="64E884F4" w14:textId="0859F2F2">
      <w:pPr>
        <w:spacing w:line="219" w:lineRule="exact"/>
        <w:ind w:right="1139"/>
        <w:jc w:val="both"/>
        <w:rPr>
          <w:sz w:val="2"/>
          <w:lang w:val="pl-PL"/>
        </w:rPr>
      </w:pPr>
      <w:hyperlink r:id="rId9">
        <w:r w:rsidRPr="00EA1EA8" w:rsidR="00EA1EA8">
          <w:rPr>
            <w:color w:val="0000FF"/>
            <w:sz w:val="18"/>
            <w:u w:val="single" w:color="0000FF"/>
            <w:lang w:val="pl-PL"/>
          </w:rPr>
          <w:t>Accor</w:t>
        </w:r>
      </w:hyperlink>
      <w:r w:rsidRPr="00EA1EA8" w:rsidR="00EA1EA8">
        <w:rPr>
          <w:color w:val="74758B"/>
          <w:sz w:val="18"/>
          <w:lang w:val="pl-PL"/>
        </w:rPr>
        <w:t xml:space="preserve"> </w:t>
      </w:r>
      <w:r w:rsidR="00EA1EA8">
        <w:rPr>
          <w:color w:val="74758B"/>
          <w:sz w:val="18"/>
          <w:lang w:val="pl-PL"/>
        </w:rPr>
        <w:t xml:space="preserve">to </w:t>
      </w:r>
      <w:r w:rsidRPr="00EA1EA8" w:rsidR="00EA1EA8">
        <w:rPr>
          <w:color w:val="74758B"/>
          <w:sz w:val="18"/>
          <w:lang w:val="pl-PL"/>
        </w:rPr>
        <w:t xml:space="preserve">wiodąca na świecie grupa hotelarska oferująca usługi w ponad 110 krajach w </w:t>
      </w:r>
      <w:r w:rsidR="00E540A9">
        <w:rPr>
          <w:color w:val="74758B"/>
          <w:sz w:val="18"/>
          <w:lang w:val="pl-PL"/>
        </w:rPr>
        <w:t xml:space="preserve">ponad </w:t>
      </w:r>
      <w:r w:rsidRPr="00EA1EA8" w:rsidR="00EA1EA8">
        <w:rPr>
          <w:color w:val="74758B"/>
          <w:sz w:val="18"/>
          <w:lang w:val="pl-PL"/>
        </w:rPr>
        <w:t xml:space="preserve">5 </w:t>
      </w:r>
      <w:r w:rsidR="00E540A9">
        <w:rPr>
          <w:color w:val="74758B"/>
          <w:sz w:val="18"/>
          <w:lang w:val="pl-PL"/>
        </w:rPr>
        <w:t>7</w:t>
      </w:r>
      <w:r w:rsidRPr="00EA1EA8" w:rsidR="00EA1EA8">
        <w:rPr>
          <w:color w:val="74758B"/>
          <w:sz w:val="18"/>
          <w:lang w:val="pl-PL"/>
        </w:rPr>
        <w:t>00 obiektach, 10 000 lokalach gastronomicznych, ośrodkach wellness i elastycznych miejscach pracy. Grupa</w:t>
      </w:r>
      <w:r w:rsidRPr="001A1003" w:rsidR="001A1003">
        <w:rPr>
          <w:color w:val="74758B"/>
          <w:sz w:val="18"/>
          <w:lang w:val="pl-PL"/>
        </w:rPr>
        <w:t xml:space="preserve"> posiada </w:t>
      </w:r>
      <w:r w:rsidR="001A1003">
        <w:rPr>
          <w:color w:val="74758B"/>
          <w:sz w:val="18"/>
          <w:lang w:val="pl-PL"/>
        </w:rPr>
        <w:t xml:space="preserve">jeden </w:t>
      </w:r>
      <w:r w:rsidRPr="00EA1EA8" w:rsidR="00EA1EA8">
        <w:rPr>
          <w:color w:val="74758B"/>
          <w:sz w:val="18"/>
          <w:lang w:val="pl-PL"/>
        </w:rPr>
        <w:t xml:space="preserve">z najbardziej zróżnicowanych ekosystemów hotelarskich w branży, obejmujący ponad 45 marek hotelowych, od luksusowych po ekonomiczne, a także Lifestyle wraz z Ennismore. </w:t>
      </w:r>
      <w:r w:rsidRPr="007B24BB" w:rsidR="00EA1EA8">
        <w:rPr>
          <w:color w:val="74758B"/>
          <w:sz w:val="18"/>
          <w:lang w:val="pl-PL"/>
        </w:rPr>
        <w:t xml:space="preserve">Accor jest zaangażowany w podejmowanie pozytywnych działań w zakresie etyki i uczciwości biznesowej, odpowiedzialnej turystyki, zrównoważonego rozwoju, działań na rzecz społeczności lokalnej oraz różnorodności i integracji.  </w:t>
      </w:r>
      <w:r w:rsidRPr="002D65AA" w:rsidR="002D65AA">
        <w:rPr>
          <w:color w:val="74758B"/>
          <w:sz w:val="18"/>
          <w:lang w:val="pl-PL"/>
        </w:rPr>
        <w:t>Misja Accor znajduje odzwierciedlenie w celu Grupy: Bycie pionierem w dziedzinie odpowiedzialnej gościnności, łączenie kultur poprzez serdeczną troskę.</w:t>
      </w:r>
      <w:r w:rsidR="002D65AA">
        <w:rPr>
          <w:color w:val="74758B"/>
          <w:sz w:val="18"/>
          <w:lang w:val="pl-PL"/>
        </w:rPr>
        <w:t xml:space="preserve"> </w:t>
      </w:r>
      <w:r w:rsidRPr="007B24BB" w:rsidR="00EA1EA8">
        <w:rPr>
          <w:color w:val="74758B"/>
          <w:sz w:val="18"/>
          <w:lang w:val="pl-PL"/>
        </w:rPr>
        <w:t xml:space="preserve">Założona w 1967 roku spółka Accor SA ma siedzibę we Francji i jest notowana na giełdzie Euronext w Paryżu (kod ISIN: FR0000120404) oraz na rynku pozagiełdowym (Ticker: ACCYY) w Stanach Zjednoczonych. </w:t>
      </w:r>
      <w:r w:rsidRPr="00EA1EA8" w:rsidR="00EA1EA8">
        <w:rPr>
          <w:color w:val="74758B"/>
          <w:sz w:val="18"/>
          <w:lang w:val="pl-PL"/>
        </w:rPr>
        <w:t>Więcej informacji można znaleźć na stronie www.group.accor.com lub śledząc na Twitter, Facebook, LinkedIn, Instagram i TikTok.</w:t>
      </w:r>
      <w:r w:rsidRPr="00EA1EA8" w:rsidR="00EA1EA8">
        <w:rPr>
          <w:lang w:val="pl-PL"/>
        </w:rPr>
        <w:t>   </w:t>
      </w:r>
    </w:p>
    <w:p w:rsidRPr="00080B74" w:rsidR="007B20D3" w:rsidP="007B20D3" w:rsidRDefault="007B20D3" w14:paraId="33B550A1" w14:textId="77777777">
      <w:pPr>
        <w:pStyle w:val="Tekstpodstawowy"/>
        <w:rPr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270"/>
        <w:tblW w:w="0" w:type="auto"/>
        <w:tblLayout w:type="fixed"/>
        <w:tblLook w:val="01E0" w:firstRow="1" w:lastRow="1" w:firstColumn="1" w:lastColumn="1" w:noHBand="0" w:noVBand="0"/>
      </w:tblPr>
      <w:tblGrid>
        <w:gridCol w:w="4447"/>
        <w:gridCol w:w="2644"/>
      </w:tblGrid>
      <w:tr w:rsidRPr="009608C6" w:rsidR="000677E8" w:rsidTr="000677E8" w14:paraId="0088EADE" w14:textId="77777777">
        <w:trPr>
          <w:trHeight w:val="361"/>
        </w:trPr>
        <w:tc>
          <w:tcPr>
            <w:tcW w:w="4447" w:type="dxa"/>
          </w:tcPr>
          <w:p w:rsidRPr="007B24BB" w:rsidR="000677E8" w:rsidP="000677E8" w:rsidRDefault="000677E8" w14:paraId="3BCCFBD9" w14:textId="77777777">
            <w:pPr>
              <w:pStyle w:val="TableParagraph"/>
              <w:spacing w:before="0" w:line="287" w:lineRule="exact"/>
              <w:ind w:left="50"/>
              <w:jc w:val="left"/>
              <w:rPr>
                <w:rFonts w:ascii="Times New Roman"/>
                <w:b/>
                <w:i/>
                <w:color w:val="040033"/>
                <w:spacing w:val="-2"/>
                <w:sz w:val="26"/>
                <w:u w:val="single" w:color="040033"/>
                <w:lang w:val="pl-PL"/>
              </w:rPr>
            </w:pPr>
            <w:r w:rsidRPr="007B24BB">
              <w:rPr>
                <w:rFonts w:ascii="Times New Roman"/>
                <w:b/>
                <w:i/>
                <w:color w:val="040033"/>
                <w:spacing w:val="-2"/>
                <w:sz w:val="26"/>
                <w:u w:val="single" w:color="040033"/>
                <w:lang w:val="pl-PL"/>
              </w:rPr>
              <w:t>Kontakt dla prasy:</w:t>
            </w:r>
          </w:p>
          <w:p w:rsidRPr="007B24BB" w:rsidR="000677E8" w:rsidP="000677E8" w:rsidRDefault="000677E8" w14:paraId="41E693E4" w14:textId="77777777">
            <w:pPr>
              <w:pStyle w:val="TableParagraph"/>
              <w:spacing w:before="0" w:line="287" w:lineRule="exact"/>
              <w:ind w:left="50"/>
              <w:jc w:val="left"/>
              <w:rPr>
                <w:rFonts w:ascii="Times New Roman"/>
                <w:b/>
                <w:i/>
                <w:color w:val="040033"/>
                <w:spacing w:val="-2"/>
                <w:sz w:val="26"/>
                <w:u w:val="single" w:color="040033"/>
                <w:lang w:val="pl-PL"/>
              </w:rPr>
            </w:pPr>
          </w:p>
          <w:p w:rsidRPr="007B24BB" w:rsidR="000677E8" w:rsidP="000677E8" w:rsidRDefault="000677E8" w14:paraId="45C4666C" w14:textId="77777777">
            <w:pPr>
              <w:pStyle w:val="TableParagraph"/>
              <w:spacing w:before="74"/>
              <w:ind w:left="50"/>
              <w:jc w:val="left"/>
              <w:rPr>
                <w:b/>
                <w:color w:val="040033"/>
                <w:sz w:val="18"/>
                <w:lang w:val="pl-PL"/>
              </w:rPr>
            </w:pPr>
            <w:r w:rsidRPr="007B24BB">
              <w:rPr>
                <w:b/>
                <w:color w:val="040033"/>
                <w:sz w:val="18"/>
                <w:lang w:val="pl-PL"/>
              </w:rPr>
              <w:t>Agnieszka Kalinowska</w:t>
            </w:r>
          </w:p>
          <w:p w:rsidRPr="007B24BB" w:rsidR="000677E8" w:rsidP="000677E8" w:rsidRDefault="000677E8" w14:paraId="1A9A19D9" w14:textId="77777777">
            <w:pPr>
              <w:pStyle w:val="TableParagraph"/>
              <w:spacing w:before="74"/>
              <w:ind w:left="50"/>
              <w:jc w:val="left"/>
              <w:rPr>
                <w:color w:val="040033"/>
                <w:sz w:val="18"/>
                <w:lang w:val="pl-PL"/>
              </w:rPr>
            </w:pPr>
            <w:r w:rsidRPr="007B24BB">
              <w:rPr>
                <w:color w:val="040033"/>
                <w:sz w:val="18"/>
                <w:lang w:val="pl-PL"/>
              </w:rPr>
              <w:t>Senior Manager Media Relations &amp; PR Poland &amp; Eastern Europe</w:t>
            </w:r>
          </w:p>
          <w:p w:rsidRPr="007B24BB" w:rsidR="000677E8" w:rsidP="000677E8" w:rsidRDefault="000677E8" w14:paraId="24DE60CB" w14:textId="77777777">
            <w:pPr>
              <w:pStyle w:val="Textedesaisie"/>
              <w:spacing w:line="276" w:lineRule="auto"/>
              <w:rPr>
                <w:iCs/>
                <w:sz w:val="19"/>
                <w:lang w:val="pl-PL"/>
              </w:rPr>
            </w:pPr>
            <w:hyperlink w:history="1" r:id="rId10">
              <w:r w:rsidRPr="007B24BB">
                <w:rPr>
                  <w:rStyle w:val="Hipercze"/>
                  <w:iCs/>
                  <w:sz w:val="19"/>
                  <w:lang w:val="pl-PL"/>
                </w:rPr>
                <w:t>Agnieszka.KALINOWSKA@accor.com</w:t>
              </w:r>
            </w:hyperlink>
          </w:p>
          <w:p w:rsidRPr="007B24BB" w:rsidR="000677E8" w:rsidP="000677E8" w:rsidRDefault="000677E8" w14:paraId="0233FFC0" w14:textId="77777777">
            <w:pPr>
              <w:pStyle w:val="TableParagraph"/>
              <w:spacing w:before="0" w:line="287" w:lineRule="exact"/>
              <w:ind w:left="50"/>
              <w:jc w:val="left"/>
              <w:rPr>
                <w:rFonts w:ascii="Times New Roman"/>
                <w:b/>
                <w:i/>
                <w:sz w:val="26"/>
                <w:lang w:val="pl-PL"/>
              </w:rPr>
            </w:pPr>
          </w:p>
        </w:tc>
        <w:tc>
          <w:tcPr>
            <w:tcW w:w="2644" w:type="dxa"/>
          </w:tcPr>
          <w:p w:rsidRPr="007B24BB" w:rsidR="000677E8" w:rsidP="000677E8" w:rsidRDefault="000677E8" w14:paraId="1FE71E7A" w14:textId="77777777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pl-PL"/>
              </w:rPr>
            </w:pPr>
          </w:p>
        </w:tc>
      </w:tr>
      <w:tr w:rsidR="000677E8" w:rsidTr="000677E8" w14:paraId="70FDC31B" w14:textId="77777777">
        <w:trPr>
          <w:trHeight w:val="977"/>
        </w:trPr>
        <w:tc>
          <w:tcPr>
            <w:tcW w:w="4447" w:type="dxa"/>
          </w:tcPr>
          <w:p w:rsidR="000677E8" w:rsidP="000677E8" w:rsidRDefault="000677E8" w14:paraId="1FA70823" w14:textId="77777777"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40033"/>
                <w:sz w:val="18"/>
              </w:rPr>
              <w:t>Charlotte</w:t>
            </w:r>
            <w:r>
              <w:rPr>
                <w:b/>
                <w:color w:val="040033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040033"/>
                <w:spacing w:val="-2"/>
                <w:sz w:val="18"/>
              </w:rPr>
              <w:t>Thouvard</w:t>
            </w:r>
            <w:proofErr w:type="spellEnd"/>
          </w:p>
          <w:p w:rsidR="000677E8" w:rsidP="000677E8" w:rsidRDefault="000677E8" w14:paraId="65EFF71D" w14:textId="77777777">
            <w:pPr>
              <w:pStyle w:val="TableParagraph"/>
              <w:spacing w:before="22"/>
              <w:ind w:left="50"/>
              <w:jc w:val="left"/>
              <w:rPr>
                <w:sz w:val="18"/>
              </w:rPr>
            </w:pPr>
            <w:r>
              <w:rPr>
                <w:color w:val="040033"/>
                <w:sz w:val="18"/>
              </w:rPr>
              <w:t>Senior</w:t>
            </w:r>
            <w:r>
              <w:rPr>
                <w:color w:val="040033"/>
                <w:spacing w:val="-11"/>
                <w:sz w:val="18"/>
              </w:rPr>
              <w:t xml:space="preserve"> </w:t>
            </w:r>
            <w:r>
              <w:rPr>
                <w:color w:val="040033"/>
                <w:sz w:val="18"/>
              </w:rPr>
              <w:t>Vice</w:t>
            </w:r>
            <w:r>
              <w:rPr>
                <w:color w:val="040033"/>
                <w:spacing w:val="-10"/>
                <w:sz w:val="18"/>
              </w:rPr>
              <w:t xml:space="preserve"> </w:t>
            </w:r>
            <w:r>
              <w:rPr>
                <w:color w:val="040033"/>
                <w:sz w:val="18"/>
              </w:rPr>
              <w:t>President</w:t>
            </w:r>
            <w:r>
              <w:rPr>
                <w:color w:val="040033"/>
                <w:spacing w:val="-10"/>
                <w:sz w:val="18"/>
              </w:rPr>
              <w:t xml:space="preserve"> </w:t>
            </w:r>
            <w:r>
              <w:rPr>
                <w:color w:val="040033"/>
                <w:sz w:val="18"/>
              </w:rPr>
              <w:t>Global</w:t>
            </w:r>
            <w:r>
              <w:rPr>
                <w:color w:val="040033"/>
                <w:spacing w:val="-11"/>
                <w:sz w:val="18"/>
              </w:rPr>
              <w:t xml:space="preserve"> </w:t>
            </w:r>
            <w:r>
              <w:rPr>
                <w:color w:val="040033"/>
                <w:sz w:val="18"/>
              </w:rPr>
              <w:t xml:space="preserve">Communications </w:t>
            </w:r>
            <w:hyperlink r:id="rId11">
              <w:r>
                <w:rPr>
                  <w:color w:val="040033"/>
                  <w:spacing w:val="-2"/>
                  <w:sz w:val="18"/>
                </w:rPr>
                <w:t>charlotte.thouvard@accor.com</w:t>
              </w:r>
            </w:hyperlink>
          </w:p>
        </w:tc>
        <w:tc>
          <w:tcPr>
            <w:tcW w:w="2644" w:type="dxa"/>
          </w:tcPr>
          <w:p w:rsidR="000677E8" w:rsidP="000677E8" w:rsidRDefault="000677E8" w14:paraId="41E7F50E" w14:textId="77777777">
            <w:pPr>
              <w:pStyle w:val="TableParagraph"/>
              <w:spacing w:before="74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color w:val="040033"/>
                <w:sz w:val="18"/>
              </w:rPr>
              <w:t>Line</w:t>
            </w:r>
            <w:r>
              <w:rPr>
                <w:b/>
                <w:color w:val="040033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40033"/>
                <w:spacing w:val="-2"/>
                <w:sz w:val="18"/>
              </w:rPr>
              <w:t>Crieloue</w:t>
            </w:r>
            <w:proofErr w:type="spellEnd"/>
          </w:p>
          <w:p w:rsidR="000677E8" w:rsidP="000677E8" w:rsidRDefault="000677E8" w14:paraId="7AB0F040" w14:textId="77777777">
            <w:pPr>
              <w:pStyle w:val="TableParagraph"/>
              <w:spacing w:before="10" w:line="218" w:lineRule="exact"/>
              <w:ind w:left="281" w:right="47"/>
              <w:jc w:val="left"/>
              <w:rPr>
                <w:sz w:val="18"/>
              </w:rPr>
            </w:pPr>
            <w:r>
              <w:rPr>
                <w:color w:val="040033"/>
                <w:sz w:val="18"/>
              </w:rPr>
              <w:t>VP Corporate Group External</w:t>
            </w:r>
            <w:r>
              <w:rPr>
                <w:color w:val="040033"/>
                <w:spacing w:val="-16"/>
                <w:sz w:val="18"/>
              </w:rPr>
              <w:t xml:space="preserve"> </w:t>
            </w:r>
            <w:r>
              <w:rPr>
                <w:color w:val="040033"/>
                <w:sz w:val="18"/>
              </w:rPr>
              <w:t xml:space="preserve">Communications </w:t>
            </w:r>
            <w:hyperlink r:id="rId12">
              <w:r>
                <w:rPr>
                  <w:color w:val="040033"/>
                  <w:spacing w:val="-2"/>
                  <w:sz w:val="18"/>
                </w:rPr>
                <w:t>line.crieloue@accor.com</w:t>
              </w:r>
            </w:hyperlink>
          </w:p>
        </w:tc>
      </w:tr>
      <w:tr w:rsidR="000677E8" w:rsidTr="000677E8" w14:paraId="528FDEDE" w14:textId="77777777">
        <w:trPr>
          <w:trHeight w:val="367"/>
        </w:trPr>
        <w:tc>
          <w:tcPr>
            <w:tcW w:w="4447" w:type="dxa"/>
          </w:tcPr>
          <w:p w:rsidRPr="00080B74" w:rsidR="000677E8" w:rsidP="000677E8" w:rsidRDefault="000677E8" w14:paraId="5232C663" w14:textId="77777777">
            <w:pPr>
              <w:pStyle w:val="TableParagraph"/>
              <w:spacing w:before="0" w:line="294" w:lineRule="exact"/>
              <w:ind w:left="50"/>
              <w:jc w:val="left"/>
              <w:rPr>
                <w:rFonts w:ascii="Times New Roman"/>
                <w:b/>
                <w:i/>
                <w:sz w:val="26"/>
                <w:u w:val="single"/>
              </w:rPr>
            </w:pPr>
            <w:proofErr w:type="spellStart"/>
            <w:r w:rsidRPr="00080B74">
              <w:rPr>
                <w:rFonts w:ascii="Times New Roman"/>
                <w:b/>
                <w:i/>
                <w:sz w:val="26"/>
                <w:u w:val="single"/>
              </w:rPr>
              <w:t>Relacje</w:t>
            </w:r>
            <w:proofErr w:type="spellEnd"/>
            <w:r w:rsidRPr="00080B74">
              <w:rPr>
                <w:rFonts w:ascii="Times New Roman"/>
                <w:b/>
                <w:i/>
                <w:sz w:val="26"/>
                <w:u w:val="single"/>
              </w:rPr>
              <w:t xml:space="preserve"> </w:t>
            </w:r>
            <w:proofErr w:type="spellStart"/>
            <w:r w:rsidRPr="00080B74">
              <w:rPr>
                <w:rFonts w:ascii="Times New Roman"/>
                <w:b/>
                <w:i/>
                <w:sz w:val="26"/>
                <w:u w:val="single"/>
              </w:rPr>
              <w:t>inwestorskie</w:t>
            </w:r>
            <w:proofErr w:type="spellEnd"/>
          </w:p>
        </w:tc>
        <w:tc>
          <w:tcPr>
            <w:tcW w:w="2644" w:type="dxa"/>
          </w:tcPr>
          <w:p w:rsidR="000677E8" w:rsidP="000677E8" w:rsidRDefault="000677E8" w14:paraId="00F1AD3E" w14:textId="777777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677E8" w:rsidTr="000677E8" w14:paraId="675454A8" w14:textId="77777777">
        <w:trPr>
          <w:trHeight w:val="969"/>
        </w:trPr>
        <w:tc>
          <w:tcPr>
            <w:tcW w:w="4447" w:type="dxa"/>
          </w:tcPr>
          <w:p w:rsidR="000677E8" w:rsidP="000677E8" w:rsidRDefault="000677E8" w14:paraId="7465BF17" w14:textId="77777777">
            <w:pPr>
              <w:pStyle w:val="TableParagraph"/>
              <w:spacing w:before="7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40033"/>
                <w:sz w:val="18"/>
              </w:rPr>
              <w:t>Pierre-Loup</w:t>
            </w:r>
            <w:r>
              <w:rPr>
                <w:b/>
                <w:color w:val="040033"/>
                <w:spacing w:val="-4"/>
                <w:sz w:val="18"/>
              </w:rPr>
              <w:t xml:space="preserve"> </w:t>
            </w:r>
            <w:r>
              <w:rPr>
                <w:b/>
                <w:color w:val="040033"/>
                <w:spacing w:val="-2"/>
                <w:sz w:val="18"/>
              </w:rPr>
              <w:t>Etienne</w:t>
            </w:r>
          </w:p>
          <w:p w:rsidR="000677E8" w:rsidP="000677E8" w:rsidRDefault="000677E8" w14:paraId="7E60D5DB" w14:textId="77777777">
            <w:pPr>
              <w:pStyle w:val="TableParagraph"/>
              <w:spacing w:before="3" w:line="218" w:lineRule="exact"/>
              <w:ind w:left="50" w:right="1560"/>
              <w:jc w:val="left"/>
              <w:rPr>
                <w:sz w:val="18"/>
              </w:rPr>
            </w:pPr>
            <w:r>
              <w:rPr>
                <w:color w:val="040033"/>
                <w:sz w:val="18"/>
              </w:rPr>
              <w:t xml:space="preserve">SVP Investor Relations and Financial Communications </w:t>
            </w:r>
            <w:hyperlink r:id="rId13">
              <w:r>
                <w:rPr>
                  <w:color w:val="040033"/>
                  <w:spacing w:val="-2"/>
                  <w:sz w:val="18"/>
                </w:rPr>
                <w:t>pierre-loup.etienne@accor.com</w:t>
              </w:r>
            </w:hyperlink>
          </w:p>
        </w:tc>
        <w:tc>
          <w:tcPr>
            <w:tcW w:w="2644" w:type="dxa"/>
          </w:tcPr>
          <w:p w:rsidR="000677E8" w:rsidP="000677E8" w:rsidRDefault="000677E8" w14:paraId="63F9202D" w14:textId="777777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Pr="00080B74" w:rsidR="007B20D3" w:rsidP="007B20D3" w:rsidRDefault="007B20D3" w14:paraId="4DE30814" w14:textId="77777777">
      <w:pPr>
        <w:pStyle w:val="Tekstpodstawowy"/>
        <w:spacing w:before="240"/>
        <w:rPr>
          <w:sz w:val="20"/>
          <w:lang w:val="pl-PL"/>
        </w:rPr>
      </w:pPr>
    </w:p>
    <w:p w:rsidR="0016286F" w:rsidRDefault="0016286F" w14:paraId="34E63EEF" w14:textId="77777777"/>
    <w:sectPr w:rsidR="0016286F" w:rsidSect="00A72B08">
      <w:headerReference w:type="default" r:id="rId14"/>
      <w:footerReference w:type="default" r:id="rId15"/>
      <w:pgSz w:w="11910" w:h="16840" w:orient="portrait"/>
      <w:pgMar w:top="1417" w:right="1417" w:bottom="1417" w:left="1417" w:header="10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6B2" w:rsidRDefault="00D366B2" w14:paraId="0A91835F" w14:textId="77777777">
      <w:r>
        <w:separator/>
      </w:r>
    </w:p>
  </w:endnote>
  <w:endnote w:type="continuationSeparator" w:id="0">
    <w:p w:rsidR="00D366B2" w:rsidRDefault="00D366B2" w14:paraId="6B6C3E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B30EC3" w:rsidRDefault="0016286F" w14:paraId="34E63F0C" w14:textId="77777777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64192" behindDoc="1" locked="0" layoutInCell="1" allowOverlap="1" wp14:anchorId="34E63F0F" wp14:editId="34E63F10">
              <wp:simplePos x="0" y="0"/>
              <wp:positionH relativeFrom="page">
                <wp:posOffset>6278117</wp:posOffset>
              </wp:positionH>
              <wp:positionV relativeFrom="page">
                <wp:posOffset>10195928</wp:posOffset>
              </wp:positionV>
              <wp:extent cx="215900" cy="1720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0EC3" w:rsidRDefault="0016286F" w14:paraId="34E63F11" w14:textId="77777777">
                          <w:pPr>
                            <w:pStyle w:val="Tekstpodstawowy"/>
                            <w:spacing w:before="1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607813D">
            <v:shapetype id="_x0000_t202" coordsize="21600,21600" o:spt="202" path="m,l,21600r21600,l21600,xe" w14:anchorId="34E63F0F">
              <v:stroke joinstyle="miter"/>
              <v:path gradientshapeok="t" o:connecttype="rect"/>
            </v:shapetype>
            <v:shape id="Textbox 6" style="position:absolute;margin-left:494.35pt;margin-top:802.85pt;width:17pt;height:13.55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">
              <v:textbox inset="0,0,0,0">
                <w:txbxContent>
                  <w:p w:rsidR="00B30EC3" w:rsidRDefault="0016286F" w14:paraId="4718821A" w14:textId="77777777">
                    <w:pPr>
                      <w:pStyle w:val="Tekstpodstawowy"/>
                      <w:spacing w:before="1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6B2" w:rsidRDefault="00D366B2" w14:paraId="7AC3053E" w14:textId="77777777">
      <w:r>
        <w:separator/>
      </w:r>
    </w:p>
  </w:footnote>
  <w:footnote w:type="continuationSeparator" w:id="0">
    <w:p w:rsidR="00D366B2" w:rsidRDefault="00D366B2" w14:paraId="5A3B7E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22284" w:rsidRDefault="00122284" w14:paraId="122D8D33" w14:textId="77777777">
    <w:pPr>
      <w:pStyle w:val="Tekstpodstawowy"/>
      <w:spacing w:line="14" w:lineRule="auto"/>
      <w:rPr>
        <w:sz w:val="20"/>
      </w:rPr>
    </w:pPr>
  </w:p>
  <w:p w:rsidR="00B30EC3" w:rsidRDefault="0016286F" w14:paraId="34E63F0B" w14:textId="4EAB06B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663680" behindDoc="1" locked="0" layoutInCell="1" allowOverlap="1" wp14:anchorId="34E63F0D" wp14:editId="2A7EEAE6">
          <wp:simplePos x="0" y="0"/>
          <wp:positionH relativeFrom="page">
            <wp:posOffset>3495675</wp:posOffset>
          </wp:positionH>
          <wp:positionV relativeFrom="page">
            <wp:posOffset>457200</wp:posOffset>
          </wp:positionV>
          <wp:extent cx="585166" cy="480743"/>
          <wp:effectExtent l="0" t="0" r="5715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166" cy="480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32D26"/>
    <w:multiLevelType w:val="hybridMultilevel"/>
    <w:tmpl w:val="933E4F80"/>
    <w:lvl w:ilvl="0" w:tplc="6926389C">
      <w:numFmt w:val="bullet"/>
      <w:lvlText w:val=""/>
      <w:lvlJc w:val="left"/>
      <w:pPr>
        <w:ind w:left="1911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74758B"/>
        <w:spacing w:val="0"/>
        <w:w w:val="99"/>
        <w:sz w:val="19"/>
        <w:szCs w:val="19"/>
        <w:lang w:val="en-US" w:eastAsia="en-US" w:bidi="ar-SA"/>
      </w:rPr>
    </w:lvl>
    <w:lvl w:ilvl="1" w:tplc="1092349A">
      <w:numFmt w:val="bullet"/>
      <w:lvlText w:val="o"/>
      <w:lvlJc w:val="left"/>
      <w:pPr>
        <w:ind w:left="225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74758B"/>
        <w:spacing w:val="0"/>
        <w:w w:val="99"/>
        <w:sz w:val="19"/>
        <w:szCs w:val="19"/>
        <w:lang w:val="en-US" w:eastAsia="en-US" w:bidi="ar-SA"/>
      </w:rPr>
    </w:lvl>
    <w:lvl w:ilvl="2" w:tplc="64DCE2C6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3" w:tplc="50AA01AE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C6EE113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5" w:tplc="F140D006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 w:tplc="1242DDC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 w:tplc="2FB6ADC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FF4EF962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186F76"/>
    <w:multiLevelType w:val="hybridMultilevel"/>
    <w:tmpl w:val="C1D2204C"/>
    <w:lvl w:ilvl="0" w:tplc="62442D90">
      <w:numFmt w:val="bullet"/>
      <w:lvlText w:val=""/>
      <w:lvlJc w:val="left"/>
      <w:pPr>
        <w:ind w:left="1911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74758B"/>
        <w:spacing w:val="0"/>
        <w:w w:val="99"/>
        <w:sz w:val="19"/>
        <w:szCs w:val="19"/>
        <w:lang w:val="en-US" w:eastAsia="en-US" w:bidi="ar-SA"/>
      </w:rPr>
    </w:lvl>
    <w:lvl w:ilvl="1" w:tplc="509E4954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2" w:tplc="740084AA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3" w:tplc="D7A2092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4" w:tplc="B4B8A896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5" w:tplc="358ED79C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ar-SA"/>
      </w:rPr>
    </w:lvl>
    <w:lvl w:ilvl="6" w:tplc="FF064B48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7" w:tplc="7E5287BE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FEF46E8C"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803687"/>
    <w:multiLevelType w:val="hybridMultilevel"/>
    <w:tmpl w:val="3A22A33A"/>
    <w:lvl w:ilvl="0" w:tplc="4FB8A578">
      <w:numFmt w:val="bullet"/>
      <w:lvlText w:val=""/>
      <w:lvlJc w:val="left"/>
      <w:pPr>
        <w:ind w:left="1911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74758B"/>
        <w:spacing w:val="0"/>
        <w:w w:val="99"/>
        <w:sz w:val="19"/>
        <w:szCs w:val="19"/>
        <w:lang w:val="en-US" w:eastAsia="en-US" w:bidi="ar-SA"/>
      </w:rPr>
    </w:lvl>
    <w:lvl w:ilvl="1" w:tplc="55D2C2FC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2" w:tplc="E9B2DCDA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3" w:tplc="4C9C4A7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4" w:tplc="4E08DA5E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5" w:tplc="FA2AAACA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ar-SA"/>
      </w:rPr>
    </w:lvl>
    <w:lvl w:ilvl="6" w:tplc="8AEAA33C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7" w:tplc="B4FA6A64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D7EAB5D2"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num w:numId="1" w16cid:durableId="684984717">
    <w:abstractNumId w:val="2"/>
  </w:num>
  <w:num w:numId="2" w16cid:durableId="1916013923">
    <w:abstractNumId w:val="1"/>
  </w:num>
  <w:num w:numId="3" w16cid:durableId="18141334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C3"/>
    <w:rsid w:val="00025CDE"/>
    <w:rsid w:val="00052170"/>
    <w:rsid w:val="0005646F"/>
    <w:rsid w:val="00062742"/>
    <w:rsid w:val="000677E8"/>
    <w:rsid w:val="00080B74"/>
    <w:rsid w:val="000847CB"/>
    <w:rsid w:val="000D10AB"/>
    <w:rsid w:val="000E71AE"/>
    <w:rsid w:val="001220CA"/>
    <w:rsid w:val="00122284"/>
    <w:rsid w:val="00141ADF"/>
    <w:rsid w:val="00142C68"/>
    <w:rsid w:val="0016286F"/>
    <w:rsid w:val="001A1003"/>
    <w:rsid w:val="001C050D"/>
    <w:rsid w:val="001C79A1"/>
    <w:rsid w:val="001D4A75"/>
    <w:rsid w:val="001F1101"/>
    <w:rsid w:val="00234425"/>
    <w:rsid w:val="002416F0"/>
    <w:rsid w:val="00264CDE"/>
    <w:rsid w:val="00280183"/>
    <w:rsid w:val="002B0FBD"/>
    <w:rsid w:val="002C40FA"/>
    <w:rsid w:val="002D2095"/>
    <w:rsid w:val="002D65AA"/>
    <w:rsid w:val="002D6F2D"/>
    <w:rsid w:val="00346CBA"/>
    <w:rsid w:val="00346D3E"/>
    <w:rsid w:val="00346E3D"/>
    <w:rsid w:val="0037352F"/>
    <w:rsid w:val="003849A7"/>
    <w:rsid w:val="003A6C41"/>
    <w:rsid w:val="003B29C1"/>
    <w:rsid w:val="003D1AA1"/>
    <w:rsid w:val="003E1530"/>
    <w:rsid w:val="00404623"/>
    <w:rsid w:val="00420732"/>
    <w:rsid w:val="00456BCD"/>
    <w:rsid w:val="00467B1D"/>
    <w:rsid w:val="004773FF"/>
    <w:rsid w:val="004950DD"/>
    <w:rsid w:val="004B40D5"/>
    <w:rsid w:val="004C2B23"/>
    <w:rsid w:val="00534408"/>
    <w:rsid w:val="00542F09"/>
    <w:rsid w:val="005A11DD"/>
    <w:rsid w:val="005E7E6A"/>
    <w:rsid w:val="005F1499"/>
    <w:rsid w:val="00633529"/>
    <w:rsid w:val="006535B3"/>
    <w:rsid w:val="00667F24"/>
    <w:rsid w:val="006747D3"/>
    <w:rsid w:val="006758DB"/>
    <w:rsid w:val="00684599"/>
    <w:rsid w:val="006A7BD5"/>
    <w:rsid w:val="006B4120"/>
    <w:rsid w:val="006C2CBF"/>
    <w:rsid w:val="00703679"/>
    <w:rsid w:val="00736690"/>
    <w:rsid w:val="007B20D3"/>
    <w:rsid w:val="007B24BB"/>
    <w:rsid w:val="007D3F1E"/>
    <w:rsid w:val="008005FC"/>
    <w:rsid w:val="00806ABB"/>
    <w:rsid w:val="00862207"/>
    <w:rsid w:val="008843B6"/>
    <w:rsid w:val="008A2E9B"/>
    <w:rsid w:val="008A4E12"/>
    <w:rsid w:val="008E3D61"/>
    <w:rsid w:val="00904A0B"/>
    <w:rsid w:val="00916C3F"/>
    <w:rsid w:val="009235E7"/>
    <w:rsid w:val="009608C6"/>
    <w:rsid w:val="00987AC8"/>
    <w:rsid w:val="009A2C2B"/>
    <w:rsid w:val="009A3371"/>
    <w:rsid w:val="009A3868"/>
    <w:rsid w:val="009C5698"/>
    <w:rsid w:val="00A15275"/>
    <w:rsid w:val="00A36054"/>
    <w:rsid w:val="00A603C8"/>
    <w:rsid w:val="00A72B08"/>
    <w:rsid w:val="00A758EE"/>
    <w:rsid w:val="00A854ED"/>
    <w:rsid w:val="00AB7AB0"/>
    <w:rsid w:val="00B214C6"/>
    <w:rsid w:val="00B30EC3"/>
    <w:rsid w:val="00B34B21"/>
    <w:rsid w:val="00B665E3"/>
    <w:rsid w:val="00B70107"/>
    <w:rsid w:val="00B94C91"/>
    <w:rsid w:val="00BC7DF2"/>
    <w:rsid w:val="00C81F05"/>
    <w:rsid w:val="00C9784E"/>
    <w:rsid w:val="00CB3804"/>
    <w:rsid w:val="00CE6A83"/>
    <w:rsid w:val="00D13EB3"/>
    <w:rsid w:val="00D366B2"/>
    <w:rsid w:val="00DB2F2A"/>
    <w:rsid w:val="00DB4493"/>
    <w:rsid w:val="00DB584F"/>
    <w:rsid w:val="00DB6F09"/>
    <w:rsid w:val="00DC6B3F"/>
    <w:rsid w:val="00DD0755"/>
    <w:rsid w:val="00DF1335"/>
    <w:rsid w:val="00DF1DAF"/>
    <w:rsid w:val="00E145F0"/>
    <w:rsid w:val="00E23FF3"/>
    <w:rsid w:val="00E31861"/>
    <w:rsid w:val="00E540A9"/>
    <w:rsid w:val="00E810BF"/>
    <w:rsid w:val="00EA1EA8"/>
    <w:rsid w:val="00EA7270"/>
    <w:rsid w:val="00EB47ED"/>
    <w:rsid w:val="00EF6928"/>
    <w:rsid w:val="00F22C08"/>
    <w:rsid w:val="00F364C8"/>
    <w:rsid w:val="00F50E4B"/>
    <w:rsid w:val="00F7727F"/>
    <w:rsid w:val="00FE52F6"/>
    <w:rsid w:val="1C58B304"/>
    <w:rsid w:val="4D7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3B69"/>
  <w15:docId w15:val="{FDD87256-5080-4ED7-82FC-3745B633C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950DD"/>
    <w:rPr>
      <w:rFonts w:ascii="Verdana" w:hAnsi="Verdana" w:eastAsia="Verdana" w:cs="Verdana"/>
    </w:rPr>
  </w:style>
  <w:style w:type="paragraph" w:styleId="Nagwek1">
    <w:name w:val="heading 1"/>
    <w:basedOn w:val="Normalny"/>
    <w:uiPriority w:val="9"/>
    <w:qFormat/>
    <w:pPr>
      <w:ind w:left="1191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91"/>
      <w:outlineLvl w:val="1"/>
    </w:pPr>
    <w:rPr>
      <w:b/>
      <w:bCs/>
      <w:sz w:val="19"/>
      <w:szCs w:val="19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1" w:right="1"/>
      <w:jc w:val="center"/>
    </w:pPr>
    <w:rPr>
      <w:rFonts w:ascii="Times New Roman" w:hAnsi="Times New Roman" w:eastAsia="Times New Roman" w:cs="Times New Roman"/>
      <w:b/>
      <w:bCs/>
      <w:i/>
      <w:iCs/>
      <w:sz w:val="54"/>
      <w:szCs w:val="54"/>
    </w:rPr>
  </w:style>
  <w:style w:type="paragraph" w:styleId="Akapitzlist">
    <w:name w:val="List Paragraph"/>
    <w:basedOn w:val="Normalny"/>
    <w:uiPriority w:val="1"/>
    <w:qFormat/>
    <w:pPr>
      <w:ind w:left="1911" w:hanging="360"/>
      <w:jc w:val="both"/>
    </w:pPr>
  </w:style>
  <w:style w:type="paragraph" w:styleId="TableParagraph" w:customStyle="1">
    <w:name w:val="Table Paragraph"/>
    <w:basedOn w:val="Normalny"/>
    <w:uiPriority w:val="1"/>
    <w:qFormat/>
    <w:pPr>
      <w:spacing w:before="66"/>
      <w:jc w:val="center"/>
    </w:pPr>
  </w:style>
  <w:style w:type="character" w:styleId="Hipercze">
    <w:name w:val="Hyperlink"/>
    <w:basedOn w:val="Domylnaczcionkaakapitu"/>
    <w:uiPriority w:val="99"/>
    <w:unhideWhenUsed/>
    <w:rsid w:val="007B20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0D3"/>
    <w:rPr>
      <w:color w:val="605E5C"/>
      <w:shd w:val="clear" w:color="auto" w:fill="E1DFDD"/>
    </w:rPr>
  </w:style>
  <w:style w:type="paragraph" w:styleId="Textedesaisie" w:customStyle="1">
    <w:name w:val="Texte de saisie"/>
    <w:basedOn w:val="Normalny"/>
    <w:qFormat/>
    <w:rsid w:val="0016286F"/>
    <w:pPr>
      <w:widowControl/>
      <w:autoSpaceDE/>
      <w:autoSpaceDN/>
      <w:spacing w:line="220" w:lineRule="atLeast"/>
      <w:jc w:val="both"/>
    </w:pPr>
    <w:rPr>
      <w:rFonts w:cs="Times New Roman"/>
      <w:color w:val="74758C"/>
      <w:sz w:val="18"/>
      <w:szCs w:val="19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28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22284"/>
    <w:rPr>
      <w:rFonts w:ascii="Verdana" w:hAnsi="Verdana" w:eastAsia="Verdana" w:cs="Verdana"/>
    </w:rPr>
  </w:style>
  <w:style w:type="paragraph" w:styleId="Stopka">
    <w:name w:val="footer"/>
    <w:basedOn w:val="Normalny"/>
    <w:link w:val="StopkaZnak"/>
    <w:uiPriority w:val="99"/>
    <w:unhideWhenUsed/>
    <w:rsid w:val="0012228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22284"/>
    <w:rPr>
      <w:rFonts w:ascii="Verdana" w:hAnsi="Verdana"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ess.accor.com/first-half-2025solid-activity-in-a-complexmacroeconomic-environment/?lang=eng" TargetMode="External" Id="rId8" /><Relationship Type="http://schemas.openxmlformats.org/officeDocument/2006/relationships/hyperlink" Target="mailto:pierre-loup.etienne@accor.com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yperlink" Target="mailto:line.crieloue@accor.com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charlotte.thouvard@accor.com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hyperlink" Target="mailto:Agnieszka.KALINOWSKA@accor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group.accor.com/fr-FR" TargetMode="Externa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ETIENNE Pierre-Loup</dc:creator>
  <lastModifiedBy>Król, Julia</lastModifiedBy>
  <revision>42</revision>
  <dcterms:created xsi:type="dcterms:W3CDTF">2025-07-31T08:58:00.0000000Z</dcterms:created>
  <dcterms:modified xsi:type="dcterms:W3CDTF">2025-08-04T06:54:35.1870932Z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02da99f7c58340df94e248814829d1394039f9a0d10b90a88946516690828137</vt:lpwstr>
  </property>
</Properties>
</file>