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A721" w14:textId="77777777" w:rsidR="003F71A5" w:rsidRDefault="003F71A5" w:rsidP="003F71A5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4134EF" wp14:editId="24986228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28FED" w14:textId="77777777" w:rsidR="003F71A5" w:rsidRDefault="003F71A5" w:rsidP="003F71A5">
      <w:pPr>
        <w:spacing w:before="120" w:after="120" w:line="276" w:lineRule="auto"/>
        <w:rPr>
          <w:rFonts w:ascii="Calibri" w:eastAsia="Calibri" w:hAnsi="Calibri" w:cs="Calibri"/>
        </w:rPr>
      </w:pPr>
    </w:p>
    <w:p w14:paraId="61C8695D" w14:textId="77777777" w:rsidR="003F71A5" w:rsidRPr="005517FE" w:rsidRDefault="003F71A5" w:rsidP="003F71A5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607EEEB3" w14:textId="77777777" w:rsidR="003F71A5" w:rsidRDefault="003F71A5" w:rsidP="003F71A5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009821AC" w14:textId="77777777" w:rsidR="003F71A5" w:rsidRPr="00103BC1" w:rsidRDefault="003F71A5" w:rsidP="003F71A5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67507263" w14:textId="54CFF3A2" w:rsidR="003F71A5" w:rsidRPr="00103BC1" w:rsidRDefault="003F71A5" w:rsidP="003F71A5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 w:rsidR="0093648F">
        <w:rPr>
          <w:rFonts w:ascii="Calibri" w:eastAsia="Calibri" w:hAnsi="Calibri" w:cs="Calibri"/>
          <w:sz w:val="24"/>
          <w:szCs w:val="24"/>
        </w:rPr>
        <w:t>31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7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93648F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45D94B6F" w14:textId="0DBBD8DB" w:rsidR="0093648F" w:rsidRPr="0093648F" w:rsidRDefault="0093648F" w:rsidP="0093648F">
      <w:pPr>
        <w:pStyle w:val="Nagwek1"/>
        <w:spacing w:before="120" w:beforeAutospacing="0" w:after="120" w:afterAutospacing="0" w:line="276" w:lineRule="auto"/>
      </w:pPr>
      <w:r w:rsidRPr="0093648F">
        <w:t>Cyrkularność to nie rewolucja</w:t>
      </w:r>
      <w:r>
        <w:t xml:space="preserve"> – </w:t>
      </w:r>
      <w:r w:rsidRPr="0093648F">
        <w:t>zacznij od tego</w:t>
      </w:r>
      <w:r>
        <w:t>,</w:t>
      </w:r>
      <w:r w:rsidRPr="0093648F">
        <w:t xml:space="preserve"> co już masz</w:t>
      </w:r>
    </w:p>
    <w:p w14:paraId="1D45D438" w14:textId="003C9C77" w:rsidR="00776003" w:rsidRDefault="00167581" w:rsidP="0093648F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167581">
        <w:rPr>
          <w:rFonts w:cstheme="minorHAnsi"/>
          <w:b/>
          <w:bCs/>
          <w:sz w:val="24"/>
          <w:szCs w:val="24"/>
        </w:rPr>
        <w:t>W obliczu rosnących kosztów i ograniczonych zasobów firmy nie powinny już pytać „czy warto zamknąć obiegi?”, lecz „gdzie w naszej działalności uchodzi wartość?”. Odpowiedź na to pytanie otwiera drogę do wykorzystania technologii i narzędzi, które wspierają codzienną cyrkularność. Transformacja w stronę gospodarki o obiegu zamkniętym nie oznacza rewolucji – to proces, który zaczyna się od uważnego spojrzenia na istniejące zasoby, odpady i procesy.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B15231">
        <w:rPr>
          <w:rFonts w:cstheme="minorHAnsi"/>
          <w:b/>
          <w:bCs/>
          <w:sz w:val="24"/>
          <w:szCs w:val="24"/>
        </w:rPr>
        <w:t>Publikacja jest finansowana z Funduszy Europejskich dla Polski Wschodniej (FEPW).</w:t>
      </w:r>
    </w:p>
    <w:p w14:paraId="7F7C8A6C" w14:textId="282A4B10" w:rsidR="002D02DB" w:rsidRPr="00776003" w:rsidRDefault="002D02DB" w:rsidP="0093648F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776003">
        <w:rPr>
          <w:rFonts w:cstheme="minorHAnsi"/>
          <w:sz w:val="24"/>
          <w:szCs w:val="24"/>
        </w:rPr>
        <w:t>Transformacja w stronę gospodarki o obiegu zamkniętym nie wymaga nagłej rewolucji, a</w:t>
      </w:r>
      <w:r>
        <w:rPr>
          <w:rFonts w:cstheme="minorHAnsi"/>
          <w:sz w:val="24"/>
          <w:szCs w:val="24"/>
        </w:rPr>
        <w:t>le</w:t>
      </w:r>
      <w:r w:rsidRPr="00776003">
        <w:rPr>
          <w:rFonts w:cstheme="minorHAnsi"/>
          <w:sz w:val="24"/>
          <w:szCs w:val="24"/>
        </w:rPr>
        <w:t xml:space="preserve"> przede wszystkim przemyślanego podejścia. Skutecznie wdrożona GOZ zaczyna się od prostych decyzji i uważnego spojrzenia na to, co już jest w firmie: procesy, materiały, odpady, zasoby.</w:t>
      </w:r>
    </w:p>
    <w:p w14:paraId="1B522AE2" w14:textId="165F9B6A" w:rsidR="002D02DB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 xml:space="preserve">Nowa publikacja </w:t>
      </w:r>
      <w:r w:rsidR="001807B3">
        <w:rPr>
          <w:rFonts w:cstheme="minorHAnsi"/>
          <w:sz w:val="24"/>
          <w:szCs w:val="24"/>
        </w:rPr>
        <w:t>„</w:t>
      </w:r>
      <w:r w:rsidRPr="00776003">
        <w:rPr>
          <w:rFonts w:cstheme="minorHAnsi"/>
          <w:sz w:val="24"/>
          <w:szCs w:val="24"/>
        </w:rPr>
        <w:t xml:space="preserve">Identyfikacja obszarów priorytetowych transformacji cyrkularnej przedsiębiorstw” pokazuje, jak uporządkować podejście do zmian w kierunku gospodarki o obiegu zamkniętym (GOZ) – i jak na nich realnie skorzystać. </w:t>
      </w:r>
      <w:r w:rsidR="00806925">
        <w:rPr>
          <w:rFonts w:cstheme="minorHAnsi"/>
          <w:sz w:val="24"/>
          <w:szCs w:val="24"/>
        </w:rPr>
        <w:t>Została opracowana przez Instytut Innowacji i Odpowiedzialnego Rozwoju INNOWO na zlecenie Polskiej Agencji Rozwoju Przedsiębiorczości (PARP).</w:t>
      </w:r>
    </w:p>
    <w:p w14:paraId="2F703779" w14:textId="4D3B4BEF" w:rsidR="00806925" w:rsidRDefault="00806925" w:rsidP="0093648F">
      <w:pPr>
        <w:pStyle w:val="Nagwek2"/>
        <w:spacing w:before="120" w:after="120" w:line="276" w:lineRule="auto"/>
        <w:rPr>
          <w:rFonts w:cstheme="minorHAnsi"/>
          <w:sz w:val="24"/>
          <w:szCs w:val="24"/>
        </w:rPr>
      </w:pPr>
      <w:r>
        <w:t>Z</w:t>
      </w:r>
      <w:r w:rsidRPr="00806925">
        <w:t xml:space="preserve">amiast wyrzucać – wykorzystaj. Nowe podejście do starych procesów </w:t>
      </w:r>
    </w:p>
    <w:p w14:paraId="0608E3F3" w14:textId="77777777" w:rsidR="0093648F" w:rsidRPr="0093648F" w:rsidRDefault="0093648F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93648F">
        <w:rPr>
          <w:rFonts w:cstheme="minorHAnsi"/>
          <w:sz w:val="24"/>
          <w:szCs w:val="24"/>
        </w:rPr>
        <w:t>Nie ma uniwersalnego przepisu na wdrażanie gospodarki o obiegu zamkniętym.</w:t>
      </w:r>
    </w:p>
    <w:p w14:paraId="2DCA5388" w14:textId="68DDBD0C" w:rsidR="00806925" w:rsidRDefault="00806925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>Każda firma to inn</w:t>
      </w:r>
      <w:r>
        <w:rPr>
          <w:rFonts w:cstheme="minorHAnsi"/>
          <w:sz w:val="24"/>
          <w:szCs w:val="24"/>
        </w:rPr>
        <w:t>y charakter działalności</w:t>
      </w:r>
      <w:r w:rsidRPr="00776003">
        <w:rPr>
          <w:rFonts w:cstheme="minorHAnsi"/>
          <w:sz w:val="24"/>
          <w:szCs w:val="24"/>
        </w:rPr>
        <w:t xml:space="preserve"> więc i podejście do cyrkularności powinno być skrojone na miarę. </w:t>
      </w:r>
      <w:r w:rsidR="004668A4" w:rsidRPr="004668A4">
        <w:rPr>
          <w:rFonts w:cstheme="minorHAnsi"/>
          <w:sz w:val="24"/>
          <w:szCs w:val="24"/>
        </w:rPr>
        <w:t>Proces rozpoczyna się od kompleksowej diagnozy przedsiębiorstwa oraz analizy przepływów zasobów i środków pieniężnych w jego ekosystemie, co pozwala na identyfikację działań o największym potencjale rozwojowym</w:t>
      </w:r>
      <w:r w:rsidR="004668A4">
        <w:rPr>
          <w:rFonts w:cstheme="minorHAnsi"/>
          <w:sz w:val="24"/>
          <w:szCs w:val="24"/>
        </w:rPr>
        <w:t xml:space="preserve">. </w:t>
      </w:r>
      <w:r w:rsidR="004668A4" w:rsidRPr="004668A4">
        <w:rPr>
          <w:rFonts w:cstheme="minorHAnsi"/>
          <w:sz w:val="24"/>
          <w:szCs w:val="24"/>
        </w:rPr>
        <w:t>Wprowadzanie rozwiązań cyrkularnych powinno przynosić wymierne korzyści – finansowe, ekologiczne i społeczne. Kluczowe jest jednak, aby działania te nie były wdrażane mechanicznie, w oderwaniu od profilu działalności firmy. Dopasowanie rozwiązań do specyfiki przedsiębiorstwa oraz warunków, w jakich funkcjonuje, wydaje się podstawowym warunkiem powodzenia transformacji w kierunku gospodarki obiegu zamkniętego.</w:t>
      </w:r>
      <w:r w:rsidR="004668A4">
        <w:rPr>
          <w:rFonts w:cstheme="minorHAnsi"/>
          <w:sz w:val="24"/>
          <w:szCs w:val="24"/>
        </w:rPr>
        <w:t xml:space="preserve"> </w:t>
      </w:r>
      <w:r w:rsidRPr="00776003">
        <w:rPr>
          <w:rFonts w:cstheme="minorHAnsi"/>
          <w:sz w:val="24"/>
          <w:szCs w:val="24"/>
        </w:rPr>
        <w:t xml:space="preserve">Najlepsze efekty przynosi taka </w:t>
      </w:r>
      <w:r w:rsidRPr="00776003">
        <w:rPr>
          <w:rFonts w:cstheme="minorHAnsi"/>
          <w:sz w:val="24"/>
          <w:szCs w:val="24"/>
        </w:rPr>
        <w:lastRenderedPageBreak/>
        <w:t xml:space="preserve">strategia, która nie tylko liczy się z indywidualną specyfiką biznesu, </w:t>
      </w:r>
      <w:r>
        <w:rPr>
          <w:rFonts w:cstheme="minorHAnsi"/>
          <w:sz w:val="24"/>
          <w:szCs w:val="24"/>
        </w:rPr>
        <w:t>lecz także</w:t>
      </w:r>
      <w:r w:rsidRPr="00776003">
        <w:rPr>
          <w:rFonts w:cstheme="minorHAnsi"/>
          <w:sz w:val="24"/>
          <w:szCs w:val="24"/>
        </w:rPr>
        <w:t xml:space="preserve"> potrafi mądrze wykorzystać potencjał całego sektora. </w:t>
      </w:r>
    </w:p>
    <w:p w14:paraId="45F34A91" w14:textId="56A2F69C" w:rsidR="00806925" w:rsidRPr="00776003" w:rsidRDefault="00806925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 xml:space="preserve">W świecie rosnących kosztów i kurczących się zasobów skuteczne firmy nie powinny pytać „czy”, tylko „gdzie” można zamknąć ich obiegi. A gdy wiemy już, gdzie uchodzi wartość, czas sięgnąć po narzędzia, technologie i rozwiązania, które wspierają codzienną cyrkularność – od odzysku materiałów po inteligentne systemy zarządzania zasobami. Dobrze wdrożone, nie tylko ograniczają negatywny wpływ na środowisko, </w:t>
      </w:r>
      <w:r>
        <w:rPr>
          <w:rFonts w:cstheme="minorHAnsi"/>
          <w:sz w:val="24"/>
          <w:szCs w:val="24"/>
        </w:rPr>
        <w:t>lecz także</w:t>
      </w:r>
      <w:r w:rsidRPr="00776003">
        <w:rPr>
          <w:rFonts w:cstheme="minorHAnsi"/>
          <w:sz w:val="24"/>
          <w:szCs w:val="24"/>
        </w:rPr>
        <w:t xml:space="preserve"> zwiększają odporność na rynkowe zawirowania. </w:t>
      </w:r>
    </w:p>
    <w:p w14:paraId="5A8B7DE3" w14:textId="2F5E87A2" w:rsidR="00806925" w:rsidRDefault="0093648F" w:rsidP="0093648F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93648F">
        <w:rPr>
          <w:rFonts w:cstheme="minorHAnsi"/>
          <w:b/>
          <w:bCs/>
          <w:sz w:val="24"/>
          <w:szCs w:val="24"/>
        </w:rPr>
        <w:t>W których sektorach można zamykać obiegi i jakie korzyści to przynosi?</w:t>
      </w:r>
      <w:r w:rsidRPr="0093648F" w:rsidDel="0093648F">
        <w:rPr>
          <w:rFonts w:cstheme="minorHAnsi"/>
          <w:b/>
          <w:bCs/>
          <w:sz w:val="24"/>
          <w:szCs w:val="24"/>
        </w:rPr>
        <w:t xml:space="preserve"> </w:t>
      </w:r>
      <w:r w:rsidR="00806925" w:rsidRPr="00776003">
        <w:rPr>
          <w:rFonts w:cstheme="minorHAnsi"/>
          <w:b/>
          <w:bCs/>
          <w:sz w:val="24"/>
          <w:szCs w:val="24"/>
        </w:rPr>
        <w:t xml:space="preserve">Rolnictwo </w:t>
      </w:r>
      <w:r w:rsidR="00806925" w:rsidRPr="00776003">
        <w:rPr>
          <w:rFonts w:cstheme="minorHAnsi"/>
          <w:sz w:val="24"/>
          <w:szCs w:val="24"/>
        </w:rPr>
        <w:t xml:space="preserve">– </w:t>
      </w:r>
      <w:r w:rsidR="00806925">
        <w:rPr>
          <w:rFonts w:cstheme="minorHAnsi"/>
          <w:sz w:val="24"/>
          <w:szCs w:val="24"/>
        </w:rPr>
        <w:t xml:space="preserve">potencjał tego sektora tkwi przede wszystkim w </w:t>
      </w:r>
      <w:r w:rsidR="00806925" w:rsidRPr="00776003">
        <w:rPr>
          <w:rFonts w:cstheme="minorHAnsi"/>
          <w:sz w:val="24"/>
          <w:szCs w:val="24"/>
        </w:rPr>
        <w:t>kompostowani</w:t>
      </w:r>
      <w:r w:rsidR="00806925">
        <w:rPr>
          <w:rFonts w:cstheme="minorHAnsi"/>
          <w:sz w:val="24"/>
          <w:szCs w:val="24"/>
        </w:rPr>
        <w:t>u</w:t>
      </w:r>
      <w:r w:rsidR="00806925" w:rsidRPr="00776003">
        <w:rPr>
          <w:rFonts w:cstheme="minorHAnsi"/>
          <w:sz w:val="24"/>
          <w:szCs w:val="24"/>
        </w:rPr>
        <w:t xml:space="preserve"> i</w:t>
      </w:r>
      <w:r w:rsidR="00806925">
        <w:rPr>
          <w:rFonts w:cstheme="minorHAnsi"/>
          <w:sz w:val="24"/>
          <w:szCs w:val="24"/>
        </w:rPr>
        <w:t xml:space="preserve"> wykorzystaniu resztek roślinnych jako nawozu organicznego,</w:t>
      </w:r>
      <w:r w:rsidR="00806925" w:rsidRPr="00776003">
        <w:rPr>
          <w:rFonts w:cstheme="minorHAnsi"/>
          <w:sz w:val="24"/>
          <w:szCs w:val="24"/>
        </w:rPr>
        <w:t xml:space="preserve"> zamykani</w:t>
      </w:r>
      <w:r w:rsidR="00806925">
        <w:rPr>
          <w:rFonts w:cstheme="minorHAnsi"/>
          <w:sz w:val="24"/>
          <w:szCs w:val="24"/>
        </w:rPr>
        <w:t>u</w:t>
      </w:r>
      <w:r w:rsidR="00806925" w:rsidRPr="00776003">
        <w:rPr>
          <w:rFonts w:cstheme="minorHAnsi"/>
          <w:sz w:val="24"/>
          <w:szCs w:val="24"/>
        </w:rPr>
        <w:t xml:space="preserve"> obiegu wody </w:t>
      </w:r>
      <w:r w:rsidR="00806925">
        <w:rPr>
          <w:rFonts w:cstheme="minorHAnsi"/>
          <w:sz w:val="24"/>
          <w:szCs w:val="24"/>
        </w:rPr>
        <w:t>w uprawach szklarniowych</w:t>
      </w:r>
      <w:r w:rsidR="00806925" w:rsidRPr="00776003">
        <w:rPr>
          <w:rFonts w:cstheme="minorHAnsi"/>
          <w:sz w:val="24"/>
          <w:szCs w:val="24"/>
        </w:rPr>
        <w:t>. Cyrkularność wypływa na większą żyzność gleby, oszczędność zasobów i uniezależnienie się od zewnętrznych dostawców nawozów</w:t>
      </w:r>
      <w:r w:rsidR="00806925">
        <w:rPr>
          <w:rFonts w:cstheme="minorHAnsi"/>
          <w:sz w:val="24"/>
          <w:szCs w:val="24"/>
        </w:rPr>
        <w:t>, surowców i energii</w:t>
      </w:r>
      <w:r w:rsidR="00806925" w:rsidRPr="00776003">
        <w:rPr>
          <w:rFonts w:cstheme="minorHAnsi"/>
          <w:sz w:val="24"/>
          <w:szCs w:val="24"/>
        </w:rPr>
        <w:t>.</w:t>
      </w:r>
    </w:p>
    <w:p w14:paraId="34695EC2" w14:textId="77777777" w:rsidR="00806925" w:rsidRDefault="00806925" w:rsidP="0093648F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b/>
          <w:bCs/>
          <w:sz w:val="24"/>
          <w:szCs w:val="24"/>
        </w:rPr>
        <w:t xml:space="preserve">Budownictwo </w:t>
      </w:r>
      <w:r w:rsidRPr="00776003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t</w:t>
      </w:r>
      <w:r w:rsidRPr="00776003">
        <w:rPr>
          <w:rFonts w:cstheme="minorHAnsi"/>
          <w:sz w:val="24"/>
          <w:szCs w:val="24"/>
        </w:rPr>
        <w:t xml:space="preserve">u potencjał tkwi w odzysku surowców, recyklingu materiałów i ponownym wykorzystaniu elementów konstrukcyjnych. Efektem może być </w:t>
      </w:r>
      <w:r>
        <w:rPr>
          <w:rFonts w:cstheme="minorHAnsi"/>
          <w:sz w:val="24"/>
          <w:szCs w:val="24"/>
        </w:rPr>
        <w:t>zmniejszenie zużycia energii, surowców i emisji gazów cieplarnianych a także zmniejszenie ilości odpadów</w:t>
      </w:r>
      <w:r w:rsidRPr="00776003">
        <w:rPr>
          <w:rFonts w:cstheme="minorHAnsi"/>
          <w:sz w:val="24"/>
          <w:szCs w:val="24"/>
        </w:rPr>
        <w:t>.</w:t>
      </w:r>
    </w:p>
    <w:p w14:paraId="49650487" w14:textId="77777777" w:rsidR="00806925" w:rsidRDefault="00806925" w:rsidP="0093648F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b/>
          <w:bCs/>
          <w:sz w:val="24"/>
          <w:szCs w:val="24"/>
        </w:rPr>
        <w:t>Przemysł</w:t>
      </w:r>
      <w:r w:rsidRPr="00776003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d</w:t>
      </w:r>
      <w:r w:rsidRPr="00776003">
        <w:rPr>
          <w:rFonts w:cstheme="minorHAnsi"/>
          <w:sz w:val="24"/>
          <w:szCs w:val="24"/>
        </w:rPr>
        <w:t>zięki zamykaniu cykli wody</w:t>
      </w:r>
      <w:r>
        <w:rPr>
          <w:rFonts w:cstheme="minorHAnsi"/>
          <w:sz w:val="24"/>
          <w:szCs w:val="24"/>
        </w:rPr>
        <w:t>, ponownemu przetapianiu</w:t>
      </w:r>
      <w:r w:rsidRPr="00776003">
        <w:rPr>
          <w:rFonts w:cstheme="minorHAnsi"/>
          <w:sz w:val="24"/>
          <w:szCs w:val="24"/>
        </w:rPr>
        <w:t xml:space="preserve"> metali oraz wykorzystaniu pyłów i popiołów przemysł może ograniczyć koszty produkcji i poprawić efektywność energetyczną. GOZ przekłada się też na większą odporność na wahania cen rynkowych i presję regulacyjną.</w:t>
      </w:r>
    </w:p>
    <w:p w14:paraId="436B96E5" w14:textId="099BCCD4" w:rsidR="00806925" w:rsidRPr="00776003" w:rsidRDefault="00806925" w:rsidP="0093648F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b/>
          <w:bCs/>
          <w:sz w:val="24"/>
          <w:szCs w:val="24"/>
        </w:rPr>
        <w:t>Opieka zdrowotna</w:t>
      </w:r>
      <w:r w:rsidRPr="00776003">
        <w:rPr>
          <w:rFonts w:cstheme="minorHAnsi"/>
          <w:sz w:val="24"/>
          <w:szCs w:val="24"/>
        </w:rPr>
        <w:t xml:space="preserve"> – w sektorze </w:t>
      </w:r>
      <w:r w:rsidR="002E3E42">
        <w:rPr>
          <w:rFonts w:cstheme="minorHAnsi"/>
          <w:sz w:val="24"/>
          <w:szCs w:val="24"/>
        </w:rPr>
        <w:t xml:space="preserve">tym </w:t>
      </w:r>
      <w:r w:rsidRPr="00776003">
        <w:rPr>
          <w:rFonts w:cstheme="minorHAnsi"/>
          <w:sz w:val="24"/>
          <w:szCs w:val="24"/>
        </w:rPr>
        <w:t>warto skupić się na naprawach sprzętu medycznego, recyklingu wyrobów jednorazowych i digitalizacji zarządzania</w:t>
      </w:r>
      <w:r>
        <w:rPr>
          <w:rFonts w:cstheme="minorHAnsi"/>
          <w:sz w:val="24"/>
          <w:szCs w:val="24"/>
        </w:rPr>
        <w:t xml:space="preserve"> odpadami</w:t>
      </w:r>
      <w:r w:rsidRPr="00776003">
        <w:rPr>
          <w:rFonts w:cstheme="minorHAnsi"/>
          <w:sz w:val="24"/>
          <w:szCs w:val="24"/>
        </w:rPr>
        <w:t xml:space="preserve">, co może zaowocować </w:t>
      </w:r>
      <w:r>
        <w:rPr>
          <w:rFonts w:cstheme="minorHAnsi"/>
          <w:sz w:val="24"/>
          <w:szCs w:val="24"/>
        </w:rPr>
        <w:t xml:space="preserve">zmniejszeniem ilości odpadów, </w:t>
      </w:r>
      <w:r w:rsidRPr="00776003">
        <w:rPr>
          <w:rFonts w:cstheme="minorHAnsi"/>
          <w:sz w:val="24"/>
          <w:szCs w:val="24"/>
        </w:rPr>
        <w:t>wzrostem bezpieczeństwa sanitarnego oraz niższymi kosztami operacyjnymi.</w:t>
      </w:r>
    </w:p>
    <w:p w14:paraId="4413256E" w14:textId="77777777" w:rsidR="00776003" w:rsidRPr="00776003" w:rsidRDefault="00776003" w:rsidP="0093648F">
      <w:pPr>
        <w:pStyle w:val="Nagwek2"/>
        <w:spacing w:before="120" w:after="120" w:line="276" w:lineRule="auto"/>
      </w:pPr>
      <w:r w:rsidRPr="00776003">
        <w:t>Zacznij od pytania: co naprawdę jest Ci potrzebne?</w:t>
      </w:r>
    </w:p>
    <w:p w14:paraId="01CFE0DF" w14:textId="5886197B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 xml:space="preserve">Większość dyskusji o odpowiedzialnym biznesie </w:t>
      </w:r>
      <w:r w:rsidR="00167581">
        <w:rPr>
          <w:rFonts w:cstheme="minorHAnsi"/>
          <w:sz w:val="24"/>
          <w:szCs w:val="24"/>
        </w:rPr>
        <w:t>odwołuje się do recyklingu</w:t>
      </w:r>
      <w:r w:rsidRPr="00776003">
        <w:rPr>
          <w:rFonts w:cstheme="minorHAnsi"/>
          <w:sz w:val="24"/>
          <w:szCs w:val="24"/>
        </w:rPr>
        <w:t xml:space="preserve">. Tymczasem </w:t>
      </w:r>
      <w:r w:rsidR="002E3E42">
        <w:rPr>
          <w:rFonts w:cstheme="minorHAnsi"/>
          <w:sz w:val="24"/>
          <w:szCs w:val="24"/>
        </w:rPr>
        <w:t>z</w:t>
      </w:r>
      <w:r w:rsidRPr="00776003">
        <w:rPr>
          <w:rFonts w:cstheme="minorHAnsi"/>
          <w:sz w:val="24"/>
          <w:szCs w:val="24"/>
        </w:rPr>
        <w:t xml:space="preserve">anim podejmie się jakąkolwiek decyzję, warto zadać sobie pytanie: czy ten produkt lub proces jest naprawdę potrzebny? Właśnie w tym tkwi sedno dziesięciostopniowej hierarchii postępowania z zasobami – narzędzia, które przewartościowuje tradycyjne strategie zarządzania. </w:t>
      </w:r>
    </w:p>
    <w:p w14:paraId="55EBAA1A" w14:textId="2B8C7666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>Mniej znaczy więcej, zwłaszcza gdy w grę wchodzi ograniczanie marnotrawstwa zasobów. Najprostszy krok? Krytyczny przegląd własnych potrzeb i pierwszy szczebel hierarchii, czyli odmawianie. Tam, gdzie inni dodają kolejne elementy, liderzy potrafią ścinać zbędne gałęzie, koncentrując się wyłącznie na tych, które dają owoce. Działania zgodne z tym zamysłem przynoszą wymierne efekty – mniej generowanych odpadów, niższe koszty operacyjne i większa efektywność na starcie.</w:t>
      </w:r>
    </w:p>
    <w:p w14:paraId="4CE99C7C" w14:textId="1017A418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lastRenderedPageBreak/>
        <w:t xml:space="preserve">W kolejnych </w:t>
      </w:r>
      <w:r w:rsidR="00167581">
        <w:rPr>
          <w:rFonts w:cstheme="minorHAnsi"/>
          <w:sz w:val="24"/>
          <w:szCs w:val="24"/>
        </w:rPr>
        <w:t xml:space="preserve">stopniach hierarchii </w:t>
      </w:r>
      <w:r w:rsidRPr="00776003">
        <w:rPr>
          <w:rFonts w:cstheme="minorHAnsi"/>
          <w:sz w:val="24"/>
          <w:szCs w:val="24"/>
        </w:rPr>
        <w:t xml:space="preserve">pojawiają się bardziej złożone </w:t>
      </w:r>
      <w:r w:rsidR="00167581">
        <w:rPr>
          <w:rFonts w:cstheme="minorHAnsi"/>
          <w:sz w:val="24"/>
          <w:szCs w:val="24"/>
        </w:rPr>
        <w:t>strategie działania</w:t>
      </w:r>
      <w:r w:rsidRPr="00776003">
        <w:rPr>
          <w:rFonts w:cstheme="minorHAnsi"/>
          <w:sz w:val="24"/>
          <w:szCs w:val="24"/>
        </w:rPr>
        <w:t xml:space="preserve">: zmiana modelu użytkowania (np. wypożyczanie zamiast sprzedaży), redukcja zużycia energii i surowców, ponowne wykorzystanie komponentów, a także recykling. Coraz więcej firm </w:t>
      </w:r>
      <w:r w:rsidR="00784080">
        <w:rPr>
          <w:rFonts w:cstheme="minorHAnsi"/>
          <w:sz w:val="24"/>
          <w:szCs w:val="24"/>
        </w:rPr>
        <w:t>wdraża</w:t>
      </w:r>
      <w:r w:rsidR="00784080" w:rsidRPr="00776003">
        <w:rPr>
          <w:rFonts w:cstheme="minorHAnsi"/>
          <w:sz w:val="24"/>
          <w:szCs w:val="24"/>
        </w:rPr>
        <w:t xml:space="preserve"> </w:t>
      </w:r>
      <w:r w:rsidRPr="00776003">
        <w:rPr>
          <w:rFonts w:cstheme="minorHAnsi"/>
          <w:sz w:val="24"/>
          <w:szCs w:val="24"/>
        </w:rPr>
        <w:t xml:space="preserve">takie podejścia w praktyce. Pozwala to nie tylko ograniczyć odpady, </w:t>
      </w:r>
      <w:r w:rsidR="00E77D88">
        <w:rPr>
          <w:rFonts w:cstheme="minorHAnsi"/>
          <w:sz w:val="24"/>
          <w:szCs w:val="24"/>
        </w:rPr>
        <w:t>lecz także</w:t>
      </w:r>
      <w:r w:rsidRPr="00776003">
        <w:rPr>
          <w:rFonts w:cstheme="minorHAnsi"/>
          <w:sz w:val="24"/>
          <w:szCs w:val="24"/>
        </w:rPr>
        <w:t xml:space="preserve"> znacząco poprawić rentowność operacyjną.</w:t>
      </w:r>
    </w:p>
    <w:p w14:paraId="3925103F" w14:textId="77777777" w:rsidR="00776003" w:rsidRPr="00776003" w:rsidRDefault="00776003" w:rsidP="0093648F">
      <w:pPr>
        <w:pStyle w:val="Nagwek2"/>
        <w:spacing w:before="120" w:after="120" w:line="276" w:lineRule="auto"/>
      </w:pPr>
      <w:r w:rsidRPr="00776003">
        <w:t>Zasoby, które już masz, mogą działać lepiej</w:t>
      </w:r>
    </w:p>
    <w:p w14:paraId="6C1E83A1" w14:textId="1EB1D1BF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>Wiele firm nieświadomie trzyma w swojej organizacji niewykorzystane „złoża” – odpady, sprzęt, procesy i umiejętności, które można przekształcić w nowe źródła przychodów. To, co dziś jest kosztem – jutro może być przychodem. Wystarczy zmienić perspektywę.</w:t>
      </w:r>
    </w:p>
    <w:p w14:paraId="1E1920A1" w14:textId="26C83D8B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>Przykład? Firma Siemens zamiast budować nowe fabryki, stworzyła sieć centrów serwisowych. Wymiernym efektem było ponad milion euro rocznego przychodu – nie z produkcji, lecz z napraw. W dodatku klienci wracają, bo wartościowy produkt nie kończy życia po zakupie.</w:t>
      </w:r>
    </w:p>
    <w:p w14:paraId="45057071" w14:textId="7372C903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>Przedsiębiorstwa, które umożliwiają naprawy, regenerację czy ponowne użycie komponentów, stają się zatem atrakcyjniejsze i dla konsumentów, i dla inwestorów. Dodatkowo budują swój wizerunek odpowiedzialnych graczy rynkowych, co w dobie coraz ostrzejszych regulacji ESG staje się koniecznością.</w:t>
      </w:r>
    </w:p>
    <w:p w14:paraId="7CB7827A" w14:textId="75FEEFA0" w:rsidR="00776003" w:rsidRPr="00776003" w:rsidRDefault="00776003" w:rsidP="0093648F">
      <w:pPr>
        <w:pStyle w:val="Nagwek2"/>
        <w:spacing w:before="120" w:after="120" w:line="276" w:lineRule="auto"/>
      </w:pPr>
      <w:r w:rsidRPr="00776003">
        <w:t>To</w:t>
      </w:r>
      <w:r w:rsidR="00E77D88">
        <w:t>,</w:t>
      </w:r>
      <w:r w:rsidRPr="00776003">
        <w:t xml:space="preserve"> co traktujemy jak </w:t>
      </w:r>
      <w:r w:rsidR="00CA4DFC">
        <w:t>odpady</w:t>
      </w:r>
      <w:r w:rsidRPr="00776003">
        <w:t>, jest cenne gdzie indziej</w:t>
      </w:r>
    </w:p>
    <w:p w14:paraId="7F73BDE4" w14:textId="10613CCA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 xml:space="preserve">W świecie gospodarki cyrkularnej </w:t>
      </w:r>
      <w:r w:rsidR="00E77D88">
        <w:rPr>
          <w:rFonts w:cstheme="minorHAnsi"/>
          <w:sz w:val="24"/>
          <w:szCs w:val="24"/>
        </w:rPr>
        <w:t>„</w:t>
      </w:r>
      <w:r w:rsidR="00CA4DFC">
        <w:rPr>
          <w:rFonts w:cstheme="minorHAnsi"/>
          <w:sz w:val="24"/>
          <w:szCs w:val="24"/>
        </w:rPr>
        <w:t>odpady</w:t>
      </w:r>
      <w:r w:rsidRPr="00776003">
        <w:rPr>
          <w:rFonts w:cstheme="minorHAnsi"/>
          <w:sz w:val="24"/>
          <w:szCs w:val="24"/>
        </w:rPr>
        <w:t xml:space="preserve">” to przestarzałe pojęcie. Coraz więcej firm udowadnia, że to, co do niedawna lądowało na wysypisku, dziś może być pełnoprawnym surowcem.  </w:t>
      </w:r>
      <w:r w:rsidR="002E3E42">
        <w:rPr>
          <w:rFonts w:cstheme="minorHAnsi"/>
          <w:sz w:val="24"/>
          <w:szCs w:val="24"/>
        </w:rPr>
        <w:t>D</w:t>
      </w:r>
      <w:r w:rsidRPr="00776003">
        <w:rPr>
          <w:rFonts w:cstheme="minorHAnsi"/>
          <w:sz w:val="24"/>
          <w:szCs w:val="24"/>
        </w:rPr>
        <w:t xml:space="preserve">obrze widać </w:t>
      </w:r>
      <w:r w:rsidR="002E3E42">
        <w:rPr>
          <w:rFonts w:cstheme="minorHAnsi"/>
          <w:sz w:val="24"/>
          <w:szCs w:val="24"/>
        </w:rPr>
        <w:t xml:space="preserve">to </w:t>
      </w:r>
      <w:r w:rsidRPr="00776003">
        <w:rPr>
          <w:rFonts w:cstheme="minorHAnsi"/>
          <w:sz w:val="24"/>
          <w:szCs w:val="24"/>
        </w:rPr>
        <w:t xml:space="preserve">na przykładzie branży kawowej </w:t>
      </w:r>
      <w:r w:rsidR="00E77D88" w:rsidRPr="00A27B68">
        <w:rPr>
          <w:rFonts w:cstheme="minorHAnsi"/>
          <w:sz w:val="24"/>
          <w:szCs w:val="24"/>
        </w:rPr>
        <w:t>–</w:t>
      </w:r>
      <w:r w:rsidRPr="00A27B68">
        <w:rPr>
          <w:rFonts w:cstheme="minorHAnsi"/>
          <w:sz w:val="24"/>
          <w:szCs w:val="24"/>
        </w:rPr>
        <w:t xml:space="preserve"> zaledwie 1% masy ziaren kawy trafia do filiżanek,</w:t>
      </w:r>
      <w:r w:rsidRPr="00776003">
        <w:rPr>
          <w:rFonts w:cstheme="minorHAnsi"/>
          <w:sz w:val="24"/>
          <w:szCs w:val="24"/>
        </w:rPr>
        <w:t xml:space="preserve"> reszta to tzw. </w:t>
      </w:r>
      <w:r w:rsidR="00CA4DFC">
        <w:rPr>
          <w:rFonts w:cstheme="minorHAnsi"/>
          <w:sz w:val="24"/>
          <w:szCs w:val="24"/>
        </w:rPr>
        <w:t>produkty uboczne</w:t>
      </w:r>
      <w:r w:rsidRPr="00776003">
        <w:rPr>
          <w:rFonts w:cstheme="minorHAnsi"/>
          <w:sz w:val="24"/>
          <w:szCs w:val="24"/>
        </w:rPr>
        <w:t xml:space="preserve">. Dla firmy </w:t>
      </w:r>
      <w:proofErr w:type="spellStart"/>
      <w:r w:rsidRPr="00776003">
        <w:rPr>
          <w:rFonts w:cstheme="minorHAnsi"/>
          <w:sz w:val="24"/>
          <w:szCs w:val="24"/>
        </w:rPr>
        <w:t>Kaffe</w:t>
      </w:r>
      <w:proofErr w:type="spellEnd"/>
      <w:r w:rsidRPr="00776003">
        <w:rPr>
          <w:rFonts w:cstheme="minorHAnsi"/>
          <w:sz w:val="24"/>
          <w:szCs w:val="24"/>
        </w:rPr>
        <w:t xml:space="preserve"> </w:t>
      </w:r>
      <w:proofErr w:type="spellStart"/>
      <w:r w:rsidRPr="00776003">
        <w:rPr>
          <w:rFonts w:cstheme="minorHAnsi"/>
          <w:sz w:val="24"/>
          <w:szCs w:val="24"/>
        </w:rPr>
        <w:t>Bueno</w:t>
      </w:r>
      <w:proofErr w:type="spellEnd"/>
      <w:r w:rsidRPr="00776003">
        <w:rPr>
          <w:rFonts w:cstheme="minorHAnsi"/>
          <w:sz w:val="24"/>
          <w:szCs w:val="24"/>
        </w:rPr>
        <w:t xml:space="preserve"> to jednak źródło dochodu: z fusów po kawie produkuje składniki do kosmetyków</w:t>
      </w:r>
      <w:r w:rsidR="00E375A7">
        <w:rPr>
          <w:rFonts w:cstheme="minorHAnsi"/>
          <w:sz w:val="24"/>
          <w:szCs w:val="24"/>
        </w:rPr>
        <w:t>,</w:t>
      </w:r>
      <w:r w:rsidRPr="00776003">
        <w:rPr>
          <w:rFonts w:cstheme="minorHAnsi"/>
          <w:sz w:val="24"/>
          <w:szCs w:val="24"/>
        </w:rPr>
        <w:t xml:space="preserve"> suplementów diety</w:t>
      </w:r>
      <w:r w:rsidR="00E375A7">
        <w:rPr>
          <w:rFonts w:cstheme="minorHAnsi"/>
          <w:sz w:val="24"/>
          <w:szCs w:val="24"/>
        </w:rPr>
        <w:t xml:space="preserve">, </w:t>
      </w:r>
      <w:r w:rsidR="00E375A7" w:rsidRPr="00E375A7">
        <w:rPr>
          <w:rFonts w:cstheme="minorHAnsi"/>
          <w:sz w:val="24"/>
          <w:szCs w:val="24"/>
        </w:rPr>
        <w:t>żywności i napojów funkcjonalnych</w:t>
      </w:r>
      <w:r w:rsidRPr="00776003">
        <w:rPr>
          <w:rFonts w:cstheme="minorHAnsi"/>
          <w:sz w:val="24"/>
          <w:szCs w:val="24"/>
        </w:rPr>
        <w:t>.</w:t>
      </w:r>
    </w:p>
    <w:p w14:paraId="02AD6C13" w14:textId="3E4FE304" w:rsidR="00776003" w:rsidRPr="00776003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t xml:space="preserve">Podobną strategię przyjęło też wiele podmiotów działających w Polsce. </w:t>
      </w:r>
      <w:r w:rsidR="004648F9" w:rsidRPr="004648F9">
        <w:rPr>
          <w:rFonts w:cstheme="minorHAnsi"/>
          <w:sz w:val="24"/>
          <w:szCs w:val="24"/>
        </w:rPr>
        <w:t xml:space="preserve">Polska Korporacja Recyklingu Sp. z o.o. </w:t>
      </w:r>
      <w:r w:rsidRPr="00776003">
        <w:rPr>
          <w:rFonts w:cstheme="minorHAnsi"/>
          <w:sz w:val="24"/>
          <w:szCs w:val="24"/>
        </w:rPr>
        <w:t xml:space="preserve">wykorzystuje odpady z pianki poliuretanowej (pochodzącej m.in. z AGD) do produkcji </w:t>
      </w:r>
      <w:r w:rsidR="004648F9" w:rsidRPr="00776003">
        <w:rPr>
          <w:rFonts w:cstheme="minorHAnsi"/>
          <w:sz w:val="24"/>
          <w:szCs w:val="24"/>
        </w:rPr>
        <w:t xml:space="preserve">RE-ABSORBENT OIL </w:t>
      </w:r>
      <w:r w:rsidR="00E77D88" w:rsidRPr="00776003">
        <w:rPr>
          <w:rFonts w:cstheme="minorHAnsi"/>
          <w:sz w:val="24"/>
          <w:szCs w:val="24"/>
        </w:rPr>
        <w:t>–</w:t>
      </w:r>
      <w:r w:rsidR="004648F9">
        <w:rPr>
          <w:rFonts w:cstheme="minorHAnsi"/>
          <w:sz w:val="24"/>
          <w:szCs w:val="24"/>
        </w:rPr>
        <w:t xml:space="preserve"> </w:t>
      </w:r>
      <w:r w:rsidRPr="00776003">
        <w:rPr>
          <w:rFonts w:cstheme="minorHAnsi"/>
          <w:sz w:val="24"/>
          <w:szCs w:val="24"/>
        </w:rPr>
        <w:t>sorbentu zbierającego zanieczyszczenia olejowe z powierzchni wody. Firma przerabia nawet 140 ton pianki miesięcznie i z pozoru bezwartościowy odpad przetw</w:t>
      </w:r>
      <w:r w:rsidR="00E375A7">
        <w:rPr>
          <w:rFonts w:cstheme="minorHAnsi"/>
          <w:sz w:val="24"/>
          <w:szCs w:val="24"/>
        </w:rPr>
        <w:t>arza</w:t>
      </w:r>
      <w:r w:rsidRPr="00776003">
        <w:rPr>
          <w:rFonts w:cstheme="minorHAnsi"/>
          <w:sz w:val="24"/>
          <w:szCs w:val="24"/>
        </w:rPr>
        <w:t xml:space="preserve"> w atrakcyjny materiał gotowy do </w:t>
      </w:r>
      <w:r w:rsidR="00167581">
        <w:rPr>
          <w:rFonts w:cstheme="minorHAnsi"/>
          <w:sz w:val="24"/>
          <w:szCs w:val="24"/>
        </w:rPr>
        <w:t>wykorzystania</w:t>
      </w:r>
      <w:r w:rsidRPr="00776003">
        <w:rPr>
          <w:rFonts w:cstheme="minorHAnsi"/>
          <w:sz w:val="24"/>
          <w:szCs w:val="24"/>
        </w:rPr>
        <w:t>.</w:t>
      </w:r>
    </w:p>
    <w:p w14:paraId="74CB2A48" w14:textId="23A18C57" w:rsidR="00776003" w:rsidRPr="00776003" w:rsidRDefault="00E77D88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776003" w:rsidRPr="00776003">
        <w:rPr>
          <w:rFonts w:cstheme="minorHAnsi"/>
          <w:sz w:val="24"/>
          <w:szCs w:val="24"/>
        </w:rPr>
        <w:t>atem</w:t>
      </w:r>
      <w:r>
        <w:rPr>
          <w:rFonts w:cstheme="minorHAnsi"/>
          <w:sz w:val="24"/>
          <w:szCs w:val="24"/>
        </w:rPr>
        <w:t xml:space="preserve"> </w:t>
      </w:r>
      <w:r w:rsidR="00776003" w:rsidRPr="00776003">
        <w:rPr>
          <w:rFonts w:cstheme="minorHAnsi"/>
          <w:sz w:val="24"/>
          <w:szCs w:val="24"/>
        </w:rPr>
        <w:t xml:space="preserve">najcenniejszym surowcem </w:t>
      </w:r>
      <w:r>
        <w:rPr>
          <w:rFonts w:cstheme="minorHAnsi"/>
          <w:sz w:val="24"/>
          <w:szCs w:val="24"/>
        </w:rPr>
        <w:t xml:space="preserve">czasem </w:t>
      </w:r>
      <w:r w:rsidR="00776003" w:rsidRPr="00776003">
        <w:rPr>
          <w:rFonts w:cstheme="minorHAnsi"/>
          <w:sz w:val="24"/>
          <w:szCs w:val="24"/>
        </w:rPr>
        <w:t xml:space="preserve">okazują się właśnie niechciane resztki, których prawdziwa wartość </w:t>
      </w:r>
      <w:r>
        <w:rPr>
          <w:rFonts w:cstheme="minorHAnsi"/>
          <w:sz w:val="24"/>
          <w:szCs w:val="24"/>
        </w:rPr>
        <w:t>ujawnia</w:t>
      </w:r>
      <w:r w:rsidRPr="00776003">
        <w:rPr>
          <w:rFonts w:cstheme="minorHAnsi"/>
          <w:sz w:val="24"/>
          <w:szCs w:val="24"/>
        </w:rPr>
        <w:t xml:space="preserve"> </w:t>
      </w:r>
      <w:r w:rsidR="00776003" w:rsidRPr="00776003">
        <w:rPr>
          <w:rFonts w:cstheme="minorHAnsi"/>
          <w:sz w:val="24"/>
          <w:szCs w:val="24"/>
        </w:rPr>
        <w:t xml:space="preserve">się wtedy, </w:t>
      </w:r>
      <w:r w:rsidR="00167581" w:rsidRPr="00167581">
        <w:rPr>
          <w:rFonts w:cstheme="minorHAnsi"/>
          <w:sz w:val="24"/>
          <w:szCs w:val="24"/>
        </w:rPr>
        <w:t>gdy znajdziemy nowy sposób ich wykorzystania</w:t>
      </w:r>
      <w:r w:rsidR="00776003" w:rsidRPr="00776003">
        <w:rPr>
          <w:rFonts w:cstheme="minorHAnsi"/>
          <w:sz w:val="24"/>
          <w:szCs w:val="24"/>
        </w:rPr>
        <w:t>.</w:t>
      </w:r>
    </w:p>
    <w:p w14:paraId="585ED14A" w14:textId="23FD9100" w:rsidR="00776003" w:rsidRPr="00776003" w:rsidRDefault="00776003" w:rsidP="0093648F">
      <w:pPr>
        <w:pStyle w:val="Nagwek2"/>
        <w:spacing w:before="120" w:after="120" w:line="276" w:lineRule="auto"/>
      </w:pPr>
      <w:r w:rsidRPr="00776003">
        <w:t>Złap obieg</w:t>
      </w:r>
      <w:r w:rsidR="00E77D88">
        <w:t>,</w:t>
      </w:r>
      <w:r w:rsidRPr="00776003">
        <w:t xml:space="preserve"> zanim wymknie </w:t>
      </w:r>
      <w:r w:rsidR="00E77D88">
        <w:t>C</w:t>
      </w:r>
      <w:r w:rsidRPr="00776003">
        <w:t>i się z rąk</w:t>
      </w:r>
    </w:p>
    <w:p w14:paraId="705E84DB" w14:textId="5B2B3B1C" w:rsidR="00776003" w:rsidRPr="00776003" w:rsidRDefault="00B15231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Poradnik</w:t>
      </w:r>
      <w:r w:rsidR="00776003" w:rsidRPr="00776003">
        <w:rPr>
          <w:rFonts w:cstheme="minorHAnsi"/>
          <w:sz w:val="24"/>
          <w:szCs w:val="24"/>
        </w:rPr>
        <w:t xml:space="preserve"> PARP dostarcza firmom praktycznych narzędzi oraz inspirujących przykładów, które pokazują, że model cyrkularny to nie tylko chwilowa moda  </w:t>
      </w:r>
      <w:r w:rsidR="00E77D88" w:rsidRPr="00776003">
        <w:rPr>
          <w:rFonts w:cstheme="minorHAnsi"/>
          <w:sz w:val="24"/>
          <w:szCs w:val="24"/>
        </w:rPr>
        <w:t>–</w:t>
      </w:r>
      <w:r w:rsidR="00776003" w:rsidRPr="00776003">
        <w:rPr>
          <w:rFonts w:cstheme="minorHAnsi"/>
          <w:sz w:val="24"/>
          <w:szCs w:val="24"/>
        </w:rPr>
        <w:t xml:space="preserve"> to </w:t>
      </w:r>
      <w:r w:rsidR="00D04BB5">
        <w:rPr>
          <w:rFonts w:cstheme="minorHAnsi"/>
          <w:sz w:val="24"/>
          <w:szCs w:val="24"/>
        </w:rPr>
        <w:t xml:space="preserve">realne </w:t>
      </w:r>
      <w:r w:rsidR="00776003" w:rsidRPr="00776003">
        <w:rPr>
          <w:rFonts w:cstheme="minorHAnsi"/>
          <w:sz w:val="24"/>
          <w:szCs w:val="24"/>
        </w:rPr>
        <w:t>korzyści dla środowiska i wymierne zyski finansowe. To także proces, który można budować etapami, zwiększając efektywność i konkurencyjność na rynku.</w:t>
      </w:r>
    </w:p>
    <w:p w14:paraId="087EB925" w14:textId="32AA4003" w:rsidR="006501D5" w:rsidRPr="003F71A5" w:rsidRDefault="00776003" w:rsidP="0093648F">
      <w:pPr>
        <w:spacing w:before="120" w:after="120" w:line="276" w:lineRule="auto"/>
        <w:rPr>
          <w:rFonts w:cstheme="minorHAnsi"/>
          <w:sz w:val="24"/>
          <w:szCs w:val="24"/>
        </w:rPr>
      </w:pPr>
      <w:r w:rsidRPr="00776003">
        <w:rPr>
          <w:rFonts w:cstheme="minorHAnsi"/>
          <w:sz w:val="24"/>
          <w:szCs w:val="24"/>
        </w:rPr>
        <w:lastRenderedPageBreak/>
        <w:t xml:space="preserve">Czas zacząć metodyczne działania bez zwłoki! W świecie gospodarki o obiegu zamkniętym </w:t>
      </w:r>
      <w:r w:rsidR="00A27B68">
        <w:rPr>
          <w:rFonts w:cstheme="minorHAnsi"/>
          <w:sz w:val="24"/>
          <w:szCs w:val="24"/>
        </w:rPr>
        <w:t>odpady</w:t>
      </w:r>
      <w:r w:rsidR="00A27B68" w:rsidRPr="00776003">
        <w:rPr>
          <w:rFonts w:cstheme="minorHAnsi"/>
          <w:sz w:val="24"/>
          <w:szCs w:val="24"/>
        </w:rPr>
        <w:t xml:space="preserve"> </w:t>
      </w:r>
      <w:r w:rsidRPr="00776003">
        <w:rPr>
          <w:rFonts w:cstheme="minorHAnsi"/>
          <w:sz w:val="24"/>
          <w:szCs w:val="24"/>
        </w:rPr>
        <w:t xml:space="preserve">mogą stać się </w:t>
      </w:r>
      <w:r w:rsidR="00E77D88">
        <w:rPr>
          <w:rFonts w:cstheme="minorHAnsi"/>
          <w:sz w:val="24"/>
          <w:szCs w:val="24"/>
        </w:rPr>
        <w:t>wartościowym surowcem, który przynosi zysk.</w:t>
      </w:r>
    </w:p>
    <w:p w14:paraId="5A15A843" w14:textId="33933B72" w:rsidR="00E77D88" w:rsidRDefault="00E77D88" w:rsidP="0093648F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color w:val="000000" w:themeColor="text1"/>
          <w:sz w:val="24"/>
          <w:szCs w:val="24"/>
        </w:rPr>
        <w:t xml:space="preserve">Pełna treść </w:t>
      </w:r>
      <w:hyperlink r:id="rId10" w:history="1">
        <w:r w:rsidRPr="003F71A5">
          <w:rPr>
            <w:rStyle w:val="Hipercze"/>
            <w:rFonts w:ascii="Calibri" w:eastAsiaTheme="majorEastAsia" w:hAnsi="Calibri" w:cstheme="minorHAnsi"/>
            <w:sz w:val="24"/>
            <w:szCs w:val="24"/>
          </w:rPr>
          <w:t>dostępna jest na stronie PARP</w:t>
        </w:r>
      </w:hyperlink>
      <w:r>
        <w:rPr>
          <w:rFonts w:ascii="Calibri" w:eastAsiaTheme="majorEastAsia" w:hAnsi="Calibri" w:cstheme="minorHAnsi"/>
          <w:color w:val="000000" w:themeColor="text1"/>
          <w:sz w:val="24"/>
          <w:szCs w:val="24"/>
        </w:rPr>
        <w:t xml:space="preserve">. </w:t>
      </w:r>
    </w:p>
    <w:p w14:paraId="499FA5DC" w14:textId="0D8B89B0" w:rsidR="003F71A5" w:rsidRPr="00BE6F78" w:rsidRDefault="003F71A5" w:rsidP="00E72859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2DE35A" wp14:editId="6774A35F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5760720" cy="431165"/>
            <wp:effectExtent l="0" t="0" r="0" b="6985"/>
            <wp:wrapNone/>
            <wp:docPr id="12950719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71967" name="Obraz 12950719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1A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1D4E" w14:textId="77777777" w:rsidR="009C2242" w:rsidRDefault="009C2242" w:rsidP="001305C5">
      <w:pPr>
        <w:spacing w:after="0" w:line="240" w:lineRule="auto"/>
      </w:pPr>
      <w:r>
        <w:separator/>
      </w:r>
    </w:p>
  </w:endnote>
  <w:endnote w:type="continuationSeparator" w:id="0">
    <w:p w14:paraId="5D305B07" w14:textId="77777777" w:rsidR="009C2242" w:rsidRDefault="009C2242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9616" w14:textId="77777777" w:rsidR="009C2242" w:rsidRDefault="009C2242" w:rsidP="001305C5">
      <w:pPr>
        <w:spacing w:after="0" w:line="240" w:lineRule="auto"/>
      </w:pPr>
      <w:r>
        <w:separator/>
      </w:r>
    </w:p>
  </w:footnote>
  <w:footnote w:type="continuationSeparator" w:id="0">
    <w:p w14:paraId="3DB13143" w14:textId="77777777" w:rsidR="009C2242" w:rsidRDefault="009C2242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05D85"/>
    <w:multiLevelType w:val="hybridMultilevel"/>
    <w:tmpl w:val="0F9C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4"/>
  </w:num>
  <w:num w:numId="3" w16cid:durableId="607390910">
    <w:abstractNumId w:val="1"/>
  </w:num>
  <w:num w:numId="4" w16cid:durableId="509375921">
    <w:abstractNumId w:val="11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9"/>
  </w:num>
  <w:num w:numId="8" w16cid:durableId="56824066">
    <w:abstractNumId w:val="10"/>
  </w:num>
  <w:num w:numId="9" w16cid:durableId="1969512268">
    <w:abstractNumId w:val="6"/>
  </w:num>
  <w:num w:numId="10" w16cid:durableId="193272289">
    <w:abstractNumId w:val="13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2"/>
  </w:num>
  <w:num w:numId="14" w16cid:durableId="1750155627">
    <w:abstractNumId w:val="7"/>
  </w:num>
  <w:num w:numId="15" w16cid:durableId="75963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098C"/>
    <w:rsid w:val="000210B0"/>
    <w:rsid w:val="000322AA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3DD1"/>
    <w:rsid w:val="00164C92"/>
    <w:rsid w:val="00167581"/>
    <w:rsid w:val="0017444D"/>
    <w:rsid w:val="001807B3"/>
    <w:rsid w:val="00185EAB"/>
    <w:rsid w:val="00193244"/>
    <w:rsid w:val="001C02F0"/>
    <w:rsid w:val="001C40A8"/>
    <w:rsid w:val="001D5A9F"/>
    <w:rsid w:val="001E31E5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D02DB"/>
    <w:rsid w:val="002E3E42"/>
    <w:rsid w:val="002E64DB"/>
    <w:rsid w:val="0030747E"/>
    <w:rsid w:val="003117EE"/>
    <w:rsid w:val="003263B0"/>
    <w:rsid w:val="00361A64"/>
    <w:rsid w:val="003713BF"/>
    <w:rsid w:val="003779A6"/>
    <w:rsid w:val="003948D1"/>
    <w:rsid w:val="003960E9"/>
    <w:rsid w:val="003B2E21"/>
    <w:rsid w:val="003B4862"/>
    <w:rsid w:val="003C3DD8"/>
    <w:rsid w:val="003D43B4"/>
    <w:rsid w:val="003D6A9B"/>
    <w:rsid w:val="003F71A5"/>
    <w:rsid w:val="004024D6"/>
    <w:rsid w:val="00412B2B"/>
    <w:rsid w:val="00420385"/>
    <w:rsid w:val="00427841"/>
    <w:rsid w:val="004301E6"/>
    <w:rsid w:val="00435B12"/>
    <w:rsid w:val="0044142F"/>
    <w:rsid w:val="00443A3A"/>
    <w:rsid w:val="00446BCC"/>
    <w:rsid w:val="004648F9"/>
    <w:rsid w:val="004668A4"/>
    <w:rsid w:val="004700BC"/>
    <w:rsid w:val="004A456C"/>
    <w:rsid w:val="004B0DA6"/>
    <w:rsid w:val="004C07E8"/>
    <w:rsid w:val="004C2435"/>
    <w:rsid w:val="004C701E"/>
    <w:rsid w:val="004F6705"/>
    <w:rsid w:val="00504E7F"/>
    <w:rsid w:val="005062C5"/>
    <w:rsid w:val="00516E9C"/>
    <w:rsid w:val="005539D3"/>
    <w:rsid w:val="00557FFB"/>
    <w:rsid w:val="00560CE5"/>
    <w:rsid w:val="0056206E"/>
    <w:rsid w:val="00565EE2"/>
    <w:rsid w:val="00567E18"/>
    <w:rsid w:val="005711B4"/>
    <w:rsid w:val="00582E88"/>
    <w:rsid w:val="00586BE2"/>
    <w:rsid w:val="00591EFB"/>
    <w:rsid w:val="005972DC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76003"/>
    <w:rsid w:val="00780DC3"/>
    <w:rsid w:val="00784080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06925"/>
    <w:rsid w:val="00814BD5"/>
    <w:rsid w:val="00814C5D"/>
    <w:rsid w:val="008362B3"/>
    <w:rsid w:val="00837FF6"/>
    <w:rsid w:val="00840D54"/>
    <w:rsid w:val="008529C6"/>
    <w:rsid w:val="00852FE7"/>
    <w:rsid w:val="0088151A"/>
    <w:rsid w:val="00882DE2"/>
    <w:rsid w:val="008858B6"/>
    <w:rsid w:val="00886C62"/>
    <w:rsid w:val="008A4555"/>
    <w:rsid w:val="008A60E6"/>
    <w:rsid w:val="008B01DF"/>
    <w:rsid w:val="008C1879"/>
    <w:rsid w:val="008F73FA"/>
    <w:rsid w:val="009075D3"/>
    <w:rsid w:val="00914ED1"/>
    <w:rsid w:val="009215A0"/>
    <w:rsid w:val="00924CEB"/>
    <w:rsid w:val="00926F4A"/>
    <w:rsid w:val="0093350E"/>
    <w:rsid w:val="009360F8"/>
    <w:rsid w:val="0093648F"/>
    <w:rsid w:val="00941FAC"/>
    <w:rsid w:val="009517CC"/>
    <w:rsid w:val="00952B12"/>
    <w:rsid w:val="00957CDE"/>
    <w:rsid w:val="00961D91"/>
    <w:rsid w:val="00961DE6"/>
    <w:rsid w:val="00965B1D"/>
    <w:rsid w:val="00975D27"/>
    <w:rsid w:val="009A227B"/>
    <w:rsid w:val="009A2875"/>
    <w:rsid w:val="009A5779"/>
    <w:rsid w:val="009A6307"/>
    <w:rsid w:val="009A6DD8"/>
    <w:rsid w:val="009B49FB"/>
    <w:rsid w:val="009B544E"/>
    <w:rsid w:val="009B574A"/>
    <w:rsid w:val="009B5A1F"/>
    <w:rsid w:val="009C2242"/>
    <w:rsid w:val="009C73AA"/>
    <w:rsid w:val="009D6779"/>
    <w:rsid w:val="009D7966"/>
    <w:rsid w:val="00A06B6A"/>
    <w:rsid w:val="00A13788"/>
    <w:rsid w:val="00A151DD"/>
    <w:rsid w:val="00A1607E"/>
    <w:rsid w:val="00A252EA"/>
    <w:rsid w:val="00A27B68"/>
    <w:rsid w:val="00A51504"/>
    <w:rsid w:val="00A53625"/>
    <w:rsid w:val="00A6032E"/>
    <w:rsid w:val="00A63E09"/>
    <w:rsid w:val="00A666A5"/>
    <w:rsid w:val="00A67D69"/>
    <w:rsid w:val="00A85246"/>
    <w:rsid w:val="00A8734A"/>
    <w:rsid w:val="00A972F9"/>
    <w:rsid w:val="00AA500B"/>
    <w:rsid w:val="00AB222E"/>
    <w:rsid w:val="00AB2D1C"/>
    <w:rsid w:val="00AB7D3A"/>
    <w:rsid w:val="00AB7FD0"/>
    <w:rsid w:val="00AC761E"/>
    <w:rsid w:val="00AE039C"/>
    <w:rsid w:val="00AE785D"/>
    <w:rsid w:val="00AF4A21"/>
    <w:rsid w:val="00B15231"/>
    <w:rsid w:val="00B25FE6"/>
    <w:rsid w:val="00B362AE"/>
    <w:rsid w:val="00B40AFC"/>
    <w:rsid w:val="00B50B6E"/>
    <w:rsid w:val="00B628E3"/>
    <w:rsid w:val="00B6663A"/>
    <w:rsid w:val="00B8239A"/>
    <w:rsid w:val="00B82807"/>
    <w:rsid w:val="00BA4F40"/>
    <w:rsid w:val="00BB224A"/>
    <w:rsid w:val="00BB5BAC"/>
    <w:rsid w:val="00BB5F05"/>
    <w:rsid w:val="00BC0DF1"/>
    <w:rsid w:val="00BC2B31"/>
    <w:rsid w:val="00BC6E1D"/>
    <w:rsid w:val="00BD5968"/>
    <w:rsid w:val="00BD755D"/>
    <w:rsid w:val="00BE6B6A"/>
    <w:rsid w:val="00BE6F78"/>
    <w:rsid w:val="00BF2007"/>
    <w:rsid w:val="00C010C6"/>
    <w:rsid w:val="00C206F0"/>
    <w:rsid w:val="00C24268"/>
    <w:rsid w:val="00C26FF9"/>
    <w:rsid w:val="00C33C59"/>
    <w:rsid w:val="00C35FB6"/>
    <w:rsid w:val="00C40617"/>
    <w:rsid w:val="00C5332E"/>
    <w:rsid w:val="00C55973"/>
    <w:rsid w:val="00C710AB"/>
    <w:rsid w:val="00C774B3"/>
    <w:rsid w:val="00C84235"/>
    <w:rsid w:val="00C97F91"/>
    <w:rsid w:val="00CA4DFC"/>
    <w:rsid w:val="00CB1A06"/>
    <w:rsid w:val="00CC1FD8"/>
    <w:rsid w:val="00CF5FD4"/>
    <w:rsid w:val="00CF7C95"/>
    <w:rsid w:val="00D04BB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2303"/>
    <w:rsid w:val="00DA73CC"/>
    <w:rsid w:val="00DC55F1"/>
    <w:rsid w:val="00DC6327"/>
    <w:rsid w:val="00DF6BE0"/>
    <w:rsid w:val="00E03AF6"/>
    <w:rsid w:val="00E07DA5"/>
    <w:rsid w:val="00E12A5A"/>
    <w:rsid w:val="00E13149"/>
    <w:rsid w:val="00E143F2"/>
    <w:rsid w:val="00E1605E"/>
    <w:rsid w:val="00E23972"/>
    <w:rsid w:val="00E375A7"/>
    <w:rsid w:val="00E5410D"/>
    <w:rsid w:val="00E56EEB"/>
    <w:rsid w:val="00E572CB"/>
    <w:rsid w:val="00E62D0D"/>
    <w:rsid w:val="00E63CFD"/>
    <w:rsid w:val="00E72859"/>
    <w:rsid w:val="00E7556E"/>
    <w:rsid w:val="00E77D88"/>
    <w:rsid w:val="00E8193A"/>
    <w:rsid w:val="00E8655D"/>
    <w:rsid w:val="00EC6482"/>
    <w:rsid w:val="00ED5F5F"/>
    <w:rsid w:val="00ED63AB"/>
    <w:rsid w:val="00ED63D6"/>
    <w:rsid w:val="00EF79C7"/>
    <w:rsid w:val="00F0101D"/>
    <w:rsid w:val="00F01AF8"/>
    <w:rsid w:val="00F020AD"/>
    <w:rsid w:val="00F12AF7"/>
    <w:rsid w:val="00F278F3"/>
    <w:rsid w:val="00F31559"/>
    <w:rsid w:val="00F44B4A"/>
    <w:rsid w:val="00F477E4"/>
    <w:rsid w:val="00F5194C"/>
    <w:rsid w:val="00F51BB8"/>
    <w:rsid w:val="00F54457"/>
    <w:rsid w:val="00F55195"/>
    <w:rsid w:val="00F55639"/>
    <w:rsid w:val="00F5575F"/>
    <w:rsid w:val="00F70202"/>
    <w:rsid w:val="00F900A0"/>
    <w:rsid w:val="00F901EA"/>
    <w:rsid w:val="00F9172B"/>
    <w:rsid w:val="00FA1D64"/>
    <w:rsid w:val="00FA3316"/>
    <w:rsid w:val="00FA60D6"/>
    <w:rsid w:val="00FA63D4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parp.gov.pl/component/publications/publication/identyfikacja-obszarow-priorytetowych-transformacji-cyrkularnej-przedsiebiors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2025-07-31T09:49:00Z</dcterms:created>
  <dcterms:modified xsi:type="dcterms:W3CDTF">2025-07-31T09:49:00Z</dcterms:modified>
</cp:coreProperties>
</file>