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1648B59B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3907D8">
        <w:rPr>
          <w:color w:val="000000"/>
        </w:rPr>
        <w:t>31</w:t>
      </w:r>
      <w:r w:rsidRPr="00164DBA">
        <w:rPr>
          <w:color w:val="000000"/>
        </w:rPr>
        <w:t>.</w:t>
      </w:r>
      <w:r w:rsidR="002603A9">
        <w:rPr>
          <w:color w:val="000000"/>
        </w:rPr>
        <w:t>07.</w:t>
      </w:r>
      <w:r w:rsidRPr="00164DBA">
        <w:rPr>
          <w:color w:val="000000"/>
        </w:rPr>
        <w:t>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0" w:name="_Hlk152687382"/>
      <w:r>
        <w:rPr>
          <w:sz w:val="24"/>
          <w:szCs w:val="24"/>
        </w:rPr>
        <w:t>INFORMACJA PRASOWA</w:t>
      </w:r>
    </w:p>
    <w:p w14:paraId="02ED08DB" w14:textId="4A01EC0A" w:rsidR="00A452B1" w:rsidRPr="00337416" w:rsidRDefault="002603A9" w:rsidP="00337416">
      <w:pPr>
        <w:spacing w:before="480" w:after="480" w:line="259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2603A9">
        <w:rPr>
          <w:rFonts w:eastAsia="Times New Roman"/>
          <w:b/>
          <w:bCs/>
          <w:color w:val="auto"/>
          <w:sz w:val="28"/>
          <w:szCs w:val="28"/>
        </w:rPr>
        <w:t xml:space="preserve">BIG </w:t>
      </w:r>
      <w:proofErr w:type="spellStart"/>
      <w:r w:rsidRPr="002603A9">
        <w:rPr>
          <w:rFonts w:eastAsia="Times New Roman"/>
          <w:b/>
          <w:bCs/>
          <w:color w:val="auto"/>
          <w:sz w:val="28"/>
          <w:szCs w:val="28"/>
        </w:rPr>
        <w:t>InfoMonitor</w:t>
      </w:r>
      <w:proofErr w:type="spellEnd"/>
      <w:r w:rsidRPr="002603A9">
        <w:rPr>
          <w:rFonts w:eastAsia="Times New Roman"/>
          <w:b/>
          <w:bCs/>
          <w:color w:val="auto"/>
          <w:sz w:val="28"/>
          <w:szCs w:val="28"/>
        </w:rPr>
        <w:t xml:space="preserve">: </w:t>
      </w:r>
      <w:r w:rsidR="00A452B1">
        <w:rPr>
          <w:rFonts w:eastAsia="Times New Roman"/>
          <w:b/>
          <w:bCs/>
          <w:color w:val="auto"/>
          <w:sz w:val="28"/>
          <w:szCs w:val="28"/>
        </w:rPr>
        <w:t>M</w:t>
      </w:r>
      <w:r w:rsidR="00A452B1" w:rsidRPr="00A452B1">
        <w:rPr>
          <w:rFonts w:eastAsia="Times New Roman"/>
          <w:b/>
          <w:bCs/>
          <w:color w:val="auto"/>
          <w:sz w:val="28"/>
          <w:szCs w:val="28"/>
        </w:rPr>
        <w:t>agazyny przeładowane problemami finansowymi</w:t>
      </w:r>
    </w:p>
    <w:p w14:paraId="18915CBB" w14:textId="75CD755C" w:rsidR="002603A9" w:rsidRDefault="002603A9" w:rsidP="00074575">
      <w:pPr>
        <w:spacing w:line="240" w:lineRule="auto"/>
        <w:jc w:val="both"/>
        <w:rPr>
          <w:b/>
          <w:bCs/>
          <w:sz w:val="24"/>
          <w:szCs w:val="24"/>
        </w:rPr>
      </w:pPr>
      <w:r w:rsidRPr="002603A9">
        <w:rPr>
          <w:b/>
          <w:bCs/>
          <w:sz w:val="24"/>
          <w:szCs w:val="24"/>
        </w:rPr>
        <w:t xml:space="preserve">Zaległe zadłużenie firm działających w sektorze magazynowania i przechowywania towarów wyniosło na koniec maja 2025 roku </w:t>
      </w:r>
      <w:r w:rsidR="00EE4055">
        <w:rPr>
          <w:b/>
          <w:bCs/>
          <w:sz w:val="24"/>
          <w:szCs w:val="24"/>
        </w:rPr>
        <w:t>około</w:t>
      </w:r>
      <w:r w:rsidRPr="002603A9">
        <w:rPr>
          <w:b/>
          <w:bCs/>
          <w:sz w:val="24"/>
          <w:szCs w:val="24"/>
        </w:rPr>
        <w:t xml:space="preserve"> </w:t>
      </w:r>
      <w:r w:rsidR="00EE4055">
        <w:rPr>
          <w:b/>
          <w:bCs/>
          <w:sz w:val="24"/>
          <w:szCs w:val="24"/>
        </w:rPr>
        <w:t xml:space="preserve">389 </w:t>
      </w:r>
      <w:r w:rsidR="00C62791">
        <w:rPr>
          <w:b/>
          <w:bCs/>
          <w:sz w:val="24"/>
          <w:szCs w:val="24"/>
        </w:rPr>
        <w:t>mln zł</w:t>
      </w:r>
      <w:r w:rsidR="00C80C8F">
        <w:rPr>
          <w:b/>
          <w:bCs/>
          <w:sz w:val="24"/>
          <w:szCs w:val="24"/>
        </w:rPr>
        <w:t xml:space="preserve"> - </w:t>
      </w:r>
      <w:r w:rsidRPr="002603A9">
        <w:rPr>
          <w:b/>
          <w:bCs/>
          <w:sz w:val="24"/>
          <w:szCs w:val="24"/>
        </w:rPr>
        <w:t xml:space="preserve">wynika z danych Rejestru Dłużników BIG </w:t>
      </w:r>
      <w:proofErr w:type="spellStart"/>
      <w:r w:rsidRPr="002603A9">
        <w:rPr>
          <w:b/>
          <w:bCs/>
          <w:sz w:val="24"/>
          <w:szCs w:val="24"/>
        </w:rPr>
        <w:t>InfoMonitor</w:t>
      </w:r>
      <w:proofErr w:type="spellEnd"/>
      <w:r w:rsidRPr="002603A9">
        <w:rPr>
          <w:b/>
          <w:bCs/>
          <w:sz w:val="24"/>
          <w:szCs w:val="24"/>
        </w:rPr>
        <w:t xml:space="preserve"> oraz</w:t>
      </w:r>
      <w:r w:rsidR="00C80C8F">
        <w:rPr>
          <w:b/>
          <w:bCs/>
          <w:sz w:val="24"/>
          <w:szCs w:val="24"/>
        </w:rPr>
        <w:t xml:space="preserve"> bazy</w:t>
      </w:r>
      <w:r w:rsidRPr="002603A9">
        <w:rPr>
          <w:b/>
          <w:bCs/>
          <w:sz w:val="24"/>
          <w:szCs w:val="24"/>
        </w:rPr>
        <w:t xml:space="preserve"> BIK. To wzrost o </w:t>
      </w:r>
      <w:r w:rsidR="00EE4055">
        <w:rPr>
          <w:b/>
          <w:bCs/>
          <w:sz w:val="24"/>
          <w:szCs w:val="24"/>
        </w:rPr>
        <w:t>10,2</w:t>
      </w:r>
      <w:r w:rsidRPr="002603A9">
        <w:rPr>
          <w:b/>
          <w:bCs/>
          <w:sz w:val="24"/>
          <w:szCs w:val="24"/>
        </w:rPr>
        <w:t xml:space="preserve"> proc. rok do roku. Choć sytuacja w branży </w:t>
      </w:r>
      <w:r w:rsidR="00EE4055">
        <w:rPr>
          <w:b/>
          <w:bCs/>
          <w:sz w:val="24"/>
          <w:szCs w:val="24"/>
        </w:rPr>
        <w:t xml:space="preserve">zajmującej się magazynowaniem </w:t>
      </w:r>
      <w:r w:rsidRPr="002603A9">
        <w:rPr>
          <w:b/>
          <w:bCs/>
          <w:sz w:val="24"/>
          <w:szCs w:val="24"/>
        </w:rPr>
        <w:t xml:space="preserve">nie nosi jeszcze </w:t>
      </w:r>
      <w:r w:rsidR="00BE34E3">
        <w:rPr>
          <w:b/>
          <w:bCs/>
          <w:sz w:val="24"/>
          <w:szCs w:val="24"/>
        </w:rPr>
        <w:t>oznak</w:t>
      </w:r>
      <w:r w:rsidR="00BE34E3" w:rsidRPr="002603A9">
        <w:rPr>
          <w:b/>
          <w:bCs/>
          <w:sz w:val="24"/>
          <w:szCs w:val="24"/>
        </w:rPr>
        <w:t xml:space="preserve"> </w:t>
      </w:r>
      <w:r w:rsidRPr="002603A9">
        <w:rPr>
          <w:b/>
          <w:bCs/>
          <w:sz w:val="24"/>
          <w:szCs w:val="24"/>
        </w:rPr>
        <w:t xml:space="preserve">kryzysu, przedsiębiorcy coraz silniej odczuwają skutki </w:t>
      </w:r>
      <w:r w:rsidR="00EE4055">
        <w:rPr>
          <w:b/>
          <w:bCs/>
          <w:sz w:val="24"/>
          <w:szCs w:val="24"/>
        </w:rPr>
        <w:t xml:space="preserve">dotychczasowego </w:t>
      </w:r>
      <w:r w:rsidRPr="002603A9">
        <w:rPr>
          <w:b/>
          <w:bCs/>
          <w:sz w:val="24"/>
          <w:szCs w:val="24"/>
        </w:rPr>
        <w:t>spowolnienia gospodarczego oraz narastającej presji kosztowej</w:t>
      </w:r>
      <w:r w:rsidR="00C62791">
        <w:rPr>
          <w:b/>
          <w:bCs/>
          <w:sz w:val="24"/>
          <w:szCs w:val="24"/>
        </w:rPr>
        <w:t xml:space="preserve">. </w:t>
      </w:r>
      <w:r w:rsidR="00D820D1">
        <w:rPr>
          <w:b/>
          <w:bCs/>
          <w:sz w:val="24"/>
          <w:szCs w:val="24"/>
        </w:rPr>
        <w:t>S</w:t>
      </w:r>
      <w:r w:rsidR="00074575" w:rsidRPr="00074575">
        <w:rPr>
          <w:b/>
          <w:bCs/>
          <w:sz w:val="24"/>
          <w:szCs w:val="24"/>
        </w:rPr>
        <w:t>zansą na poprawę sytuacji</w:t>
      </w:r>
      <w:r w:rsidR="00074575">
        <w:rPr>
          <w:b/>
          <w:bCs/>
          <w:sz w:val="24"/>
          <w:szCs w:val="24"/>
        </w:rPr>
        <w:t xml:space="preserve"> sektora</w:t>
      </w:r>
      <w:r w:rsidR="00074575" w:rsidRPr="00074575">
        <w:rPr>
          <w:b/>
          <w:bCs/>
          <w:sz w:val="24"/>
          <w:szCs w:val="24"/>
        </w:rPr>
        <w:t xml:space="preserve"> są </w:t>
      </w:r>
      <w:r w:rsidR="00855266">
        <w:rPr>
          <w:b/>
          <w:bCs/>
          <w:sz w:val="24"/>
          <w:szCs w:val="24"/>
        </w:rPr>
        <w:t xml:space="preserve">zwiększające się </w:t>
      </w:r>
      <w:r w:rsidR="00074575" w:rsidRPr="00074575">
        <w:rPr>
          <w:b/>
          <w:bCs/>
          <w:sz w:val="24"/>
          <w:szCs w:val="24"/>
        </w:rPr>
        <w:t xml:space="preserve">inwestycje, które jak </w:t>
      </w:r>
      <w:r w:rsidR="00074575">
        <w:rPr>
          <w:b/>
          <w:bCs/>
          <w:sz w:val="24"/>
          <w:szCs w:val="24"/>
        </w:rPr>
        <w:t>wskazuje</w:t>
      </w:r>
      <w:r w:rsidR="00074575" w:rsidRPr="00074575">
        <w:rPr>
          <w:b/>
          <w:bCs/>
          <w:sz w:val="24"/>
          <w:szCs w:val="24"/>
        </w:rPr>
        <w:t xml:space="preserve"> BIG </w:t>
      </w:r>
      <w:proofErr w:type="spellStart"/>
      <w:r w:rsidR="00074575" w:rsidRPr="00074575">
        <w:rPr>
          <w:b/>
          <w:bCs/>
          <w:sz w:val="24"/>
          <w:szCs w:val="24"/>
        </w:rPr>
        <w:t>InfoMonitor</w:t>
      </w:r>
      <w:proofErr w:type="spellEnd"/>
      <w:r w:rsidR="00074575" w:rsidRPr="00074575">
        <w:rPr>
          <w:b/>
          <w:bCs/>
          <w:sz w:val="24"/>
          <w:szCs w:val="24"/>
        </w:rPr>
        <w:t xml:space="preserve"> </w:t>
      </w:r>
      <w:r w:rsidR="00855266">
        <w:rPr>
          <w:b/>
          <w:bCs/>
          <w:sz w:val="24"/>
          <w:szCs w:val="24"/>
        </w:rPr>
        <w:t xml:space="preserve">w jednym z najnowszych badań, </w:t>
      </w:r>
      <w:r w:rsidR="00074575">
        <w:rPr>
          <w:b/>
          <w:bCs/>
          <w:sz w:val="24"/>
          <w:szCs w:val="24"/>
        </w:rPr>
        <w:t>r</w:t>
      </w:r>
      <w:r w:rsidR="00074575" w:rsidRPr="00074575">
        <w:rPr>
          <w:b/>
          <w:bCs/>
          <w:sz w:val="24"/>
          <w:szCs w:val="24"/>
        </w:rPr>
        <w:t>ozważa</w:t>
      </w:r>
      <w:r w:rsidR="00074575">
        <w:rPr>
          <w:b/>
          <w:bCs/>
          <w:sz w:val="24"/>
          <w:szCs w:val="24"/>
        </w:rPr>
        <w:t xml:space="preserve"> coraz więcej firm, </w:t>
      </w:r>
      <w:r w:rsidR="00BE34E3">
        <w:rPr>
          <w:b/>
          <w:bCs/>
          <w:sz w:val="24"/>
          <w:szCs w:val="24"/>
        </w:rPr>
        <w:t xml:space="preserve">ale </w:t>
      </w:r>
      <w:r w:rsidR="00074575">
        <w:rPr>
          <w:b/>
          <w:bCs/>
          <w:sz w:val="24"/>
          <w:szCs w:val="24"/>
        </w:rPr>
        <w:t>aż</w:t>
      </w:r>
      <w:r w:rsidR="00855266">
        <w:rPr>
          <w:b/>
          <w:bCs/>
          <w:sz w:val="24"/>
          <w:szCs w:val="24"/>
        </w:rPr>
        <w:t xml:space="preserve"> 45 proc</w:t>
      </w:r>
      <w:r w:rsidR="006A3F36">
        <w:rPr>
          <w:b/>
          <w:bCs/>
          <w:sz w:val="24"/>
          <w:szCs w:val="24"/>
        </w:rPr>
        <w:t>.</w:t>
      </w:r>
      <w:r w:rsidR="00336A11">
        <w:rPr>
          <w:b/>
          <w:bCs/>
          <w:sz w:val="24"/>
          <w:szCs w:val="24"/>
        </w:rPr>
        <w:t xml:space="preserve"> z nich</w:t>
      </w:r>
      <w:r w:rsidR="006A3F36">
        <w:rPr>
          <w:b/>
          <w:bCs/>
          <w:sz w:val="24"/>
          <w:szCs w:val="24"/>
        </w:rPr>
        <w:t xml:space="preserve"> planuje </w:t>
      </w:r>
      <w:r w:rsidR="00D820D1">
        <w:rPr>
          <w:b/>
          <w:bCs/>
          <w:sz w:val="24"/>
          <w:szCs w:val="24"/>
        </w:rPr>
        <w:t xml:space="preserve">przeznaczyć środki własne </w:t>
      </w:r>
      <w:r w:rsidR="00BE34E3">
        <w:rPr>
          <w:b/>
          <w:bCs/>
          <w:sz w:val="24"/>
          <w:szCs w:val="24"/>
        </w:rPr>
        <w:t xml:space="preserve">a nie finansowanie zewnętrzne </w:t>
      </w:r>
      <w:r w:rsidR="00D820D1">
        <w:rPr>
          <w:b/>
          <w:bCs/>
          <w:sz w:val="24"/>
          <w:szCs w:val="24"/>
        </w:rPr>
        <w:t xml:space="preserve">na </w:t>
      </w:r>
      <w:r w:rsidR="006A3F36">
        <w:rPr>
          <w:b/>
          <w:bCs/>
          <w:sz w:val="24"/>
          <w:szCs w:val="24"/>
        </w:rPr>
        <w:t>rozwój w nadchodzących miesiącach.</w:t>
      </w:r>
    </w:p>
    <w:p w14:paraId="517AF1C8" w14:textId="77777777" w:rsidR="00074575" w:rsidRDefault="00074575" w:rsidP="00074575">
      <w:pPr>
        <w:spacing w:line="240" w:lineRule="auto"/>
        <w:jc w:val="both"/>
        <w:rPr>
          <w:b/>
          <w:bCs/>
          <w:sz w:val="24"/>
          <w:szCs w:val="24"/>
        </w:rPr>
      </w:pPr>
    </w:p>
    <w:p w14:paraId="6F21D0DD" w14:textId="65AC1EFE" w:rsidR="002603A9" w:rsidRPr="00607CC6" w:rsidRDefault="002603A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Po latach dynamicznej ekspansji, napędzanej m.in. przez wzrost e-commerce i napływ inwestycji zagranicznych, rynek magazynowy w Polsce wszedł w fazę wyhamowania. Z raportu </w:t>
      </w:r>
      <w:r w:rsidR="00F73F28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firmy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AXI IMMO wynika, że w 2024 roku całkowita aktywność deweloperów magazynowych spadła o 30 proc. w porównaniu z rokiem poprzednim i wyniosła 2,6 mln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mkw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, a wolumen nowej podaży był zbliżony do średniej sprzed pandemii</w:t>
      </w:r>
      <w:r w:rsidR="00CE4E11">
        <w:rPr>
          <w:rStyle w:val="Odwoanieprzypisudolnego"/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footnoteReference w:id="1"/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. Z kolei według danych </w:t>
      </w:r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z najnowszego raportu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R</w:t>
      </w:r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eal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E</w:t>
      </w:r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state</w:t>
      </w:r>
      <w:proofErr w:type="spellEnd"/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D</w:t>
      </w:r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igital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D</w:t>
      </w:r>
      <w:r w:rsidR="00CE4E11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ata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, w pierwszych trzech miesiącach 2025 r. oddano do użytku zaledwie 0,57 mln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mkw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nowej powierzchni, co jest najniższym wynikiem od kilku kwartałów</w:t>
      </w:r>
      <w:r w:rsidR="00BC4E99">
        <w:rPr>
          <w:rStyle w:val="Odwoanieprzypisudolnego"/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footnoteReference w:id="2"/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. Należy przypuszczać, że powrót do bardziej zrównoważonego rozwoju sektora znajdzie odzwierciedlenie w większej ostrożności decyzyjnej zarówno po stronie inwestorów, jak i najemców.</w:t>
      </w:r>
    </w:p>
    <w:p w14:paraId="7F56971B" w14:textId="77777777" w:rsidR="002603A9" w:rsidRPr="00607CC6" w:rsidRDefault="002603A9" w:rsidP="002603A9">
      <w:pPr>
        <w:spacing w:line="240" w:lineRule="auto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37EFEB82" w14:textId="0AA34BAB" w:rsidR="002603A9" w:rsidRPr="00607CC6" w:rsidRDefault="002603A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Zmiana dynamiki rynku nie pozostaje bez wpływu na sytuację finansową przedsiębiorstw działających w tym obszarze. Dane Rejestru Dłużników BIG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InfoMonitor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i</w:t>
      </w:r>
      <w:r w:rsidR="00607CC6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bazy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BIK wskazują, że liczba niesolidnych dłużników w sektorze magazynowania (PKD 52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)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wzrosła z 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2 884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w maju 2024 r. do 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2 890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w maju 2025 r. Chociaż udział takich firm pozostał na tym samym poziomie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łączna kwota zaległego zadłużenia zwiększyła się z 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353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mln zł do </w:t>
      </w:r>
      <w:r w:rsidR="00EE4055"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około 389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 mln zł. To wyraźny sygnał, że pomimo stabilnej liczby podmiotów z problemami płatniczymi, ich </w:t>
      </w:r>
      <w:r w:rsidR="00BE34E3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opóźnione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zobowiązania finansowe stają się coraz poważniejsze. Szczegółowa analiza </w:t>
      </w:r>
      <w:r w:rsidR="00BE34E3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 xml:space="preserve">zaległego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  <w:shd w:val="clear" w:color="auto" w:fill="FFFFFF"/>
        </w:rPr>
        <w:t>zadłużenia pokazuje, że zaległości zwiększyły się nieznacznie wśród firm zajmujących się magazynowaniem paliw gazowych (PKD 52.10.A) – z 2,51 mln zł do 2,52 mln zł (0,4 proc. r/r). Większy wzrost – z 90,1 mln zł do 105,2 mln zł (16,8 proc. r/r) – odnotowano wśród podmiotów przechowujących pozostałe towary (PKD 52.10.B).</w:t>
      </w:r>
    </w:p>
    <w:p w14:paraId="0A2AA815" w14:textId="77777777" w:rsidR="002603A9" w:rsidRPr="00607CC6" w:rsidRDefault="002603A9" w:rsidP="002603A9">
      <w:pPr>
        <w:spacing w:line="240" w:lineRule="auto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217ED68B" w14:textId="7ABB9FE2" w:rsidR="002603A9" w:rsidRPr="00607CC6" w:rsidRDefault="002603A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–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Sektor logistyczny i magazynowy stoi dziś przed wieloma wyzwaniami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zarówno związanymi z czynnikami globalnymi jak i makroekonomicznymi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. Oprócz presji kosztowej związanej z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lastRenderedPageBreak/>
        <w:t xml:space="preserve">wynagrodzeniami, 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kosztami </w:t>
      </w:r>
      <w:r w:rsidR="0090714A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energii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czy 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kosztami </w:t>
      </w:r>
      <w:r w:rsidR="00BE34E3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utrzymani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a</w:t>
      </w:r>
      <w:r w:rsidR="00BE34E3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obiektów, przedsiębiorcy muszą inwestować w transformację technologiczną i środowiskową. Wymogi ESG są nie tylko elementem strategii wizerunkowej, ale realnym warunkiem współpracy z dużymi kontrahentami, dostępności finansowania czy możliwości pozyskania zleceń od zagranicznych partnerów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– podkreśla </w:t>
      </w:r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dr hab. Waldemar Rogowski, główny analityk BIG </w:t>
      </w:r>
      <w:proofErr w:type="spellStart"/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InfoMonitor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. –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To wszystko oznacza konieczność podejmowania kosztownych inwestycji w modernizację infrastruktury, automatyzację, zarządzanie energią czy odnawialne źródła energii. Przedsiębiorstwa, które chcą sprostać nowym standardom, często sięgają po leasing lub kredyt inwestycyjny, co przekłada się na wyższy poziom obciążeń finansowych i ryzyko pogorszenia płynności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– dodaje.</w:t>
      </w:r>
    </w:p>
    <w:p w14:paraId="19F94CB8" w14:textId="1FF5CC58" w:rsidR="002603A9" w:rsidRPr="00607CC6" w:rsidRDefault="002603A9" w:rsidP="002603A9">
      <w:pPr>
        <w:spacing w:before="160" w:after="80" w:line="240" w:lineRule="auto"/>
        <w:jc w:val="both"/>
        <w:outlineLvl w:val="2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W warunkach rosnącej niepewności geopolitycznej, zmienności kursów walut i coraz bardziej wymagającego otoczenia regulacyjnego, firmy logistyczne stają również w obliczu coraz bardziej palących problemów kadrowych</w:t>
      </w:r>
      <w:r w:rsidRPr="00607CC6">
        <w:rPr>
          <w:rStyle w:val="Odwoanieprzypisudolnego"/>
          <w:rFonts w:asciiTheme="minorHAnsi" w:eastAsia="Times New Roman" w:hAnsiTheme="minorHAnsi" w:cs="Times New Roman"/>
          <w:color w:val="000000"/>
          <w:sz w:val="22"/>
          <w:szCs w:val="22"/>
        </w:rPr>
        <w:footnoteReference w:id="3"/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. –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Kluczowym problemem pozostaje długotrwały niedobór wykwalifikowanej siły roboczej, który bezpośrednio przekłada się na wzrost kosztów pracy, rotację zespołu oraz utrudnienia w zapewnieniu ciągłości operacyjnej w okresach zwiększonego popytu. Presja płacowa i rywalizacja o pracownika stają się dziś równie istotnym czynnikiem ryzyka jak 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polityka celna,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zmienność </w:t>
      </w:r>
      <w:r w:rsidR="00BE34E3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kurs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ó</w:t>
      </w:r>
      <w:r w:rsidR="00BE34E3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w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walut</w:t>
      </w:r>
      <w:r w:rsidR="00BE34E3"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czy otoczenie regulacyjne. W efekcie długofalowe planowanie inwestycji staje się coraz trudniejsze, a skuteczne zarządzanie ryzykiem – nieodzowne dla utrzymania stabilności operacyjnej i zachowania konkurencyjności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  <w:r w:rsidR="00BE34E3" w:rsidRPr="00722E21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coraz bardziej wymagające</w:t>
      </w:r>
      <w:r w:rsidR="00DC365F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– mówi </w:t>
      </w:r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dr hab. Waldemar Rogowski, główny analityk BIG </w:t>
      </w:r>
      <w:proofErr w:type="spellStart"/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InfoMonitor</w:t>
      </w:r>
      <w:proofErr w:type="spellEnd"/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.</w:t>
      </w:r>
    </w:p>
    <w:p w14:paraId="0C00E77E" w14:textId="6B6948C6" w:rsidR="002603A9" w:rsidRPr="00607CC6" w:rsidRDefault="002603A9" w:rsidP="002603A9">
      <w:pPr>
        <w:spacing w:before="160" w:after="80" w:line="240" w:lineRule="auto"/>
        <w:jc w:val="both"/>
        <w:outlineLvl w:val="2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Stabilizacja możliwa pod warunkiem lepszego zarządzania ryzykiem</w:t>
      </w:r>
    </w:p>
    <w:p w14:paraId="19BD8C8A" w14:textId="77777777" w:rsidR="002603A9" w:rsidRPr="00607CC6" w:rsidRDefault="002603A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W dłuższym horyzoncie czasowym perspektywy sektora magazynowego pozostają pozytywne. Rosnące znaczenie Polski jako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hubu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logistycznego dla Europy Środkowo-Wschodniej, dalszy rozwój handlu internetowego oraz trend skracania łańcuchów dostaw będą wspierać popyt na powierzchnie magazynowe. Na znaczeniu zyskuje także geograficzna i infrastrukturalna przewaga Polski, szczególnie w kontekście relokacji procesów produkcyjnych bliżej rynków docelowych, wspieranej przez rosnącą popularność strategii </w:t>
      </w:r>
      <w:proofErr w:type="spellStart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nearshoringu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.</w:t>
      </w:r>
    </w:p>
    <w:p w14:paraId="17C553B7" w14:textId="77777777" w:rsidR="002603A9" w:rsidRPr="00607CC6" w:rsidRDefault="002603A9" w:rsidP="002603A9">
      <w:pPr>
        <w:spacing w:line="240" w:lineRule="auto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08295532" w14:textId="5882D64F" w:rsidR="002603A9" w:rsidRDefault="002603A9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–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Sektor magazynowy ma 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w Polsce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>ogromny potencjał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 rozwojowy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, ale </w:t>
      </w:r>
      <w:r w:rsidR="00BE34E3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obecnie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wymaga większej ostrożności i szybszego reagowania na sygnały ostrzegawcze. Dziś bardziej niż kiedykolwiek znaczenia nabierają dane o wiarygodności płatniczej i kondycji finansowej kontrahentów. Pozwalają one podejmować trafne decyzje biznesowe i unikać współpracy z firmami o podwyższonym ryzyku niewypłacalności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– ocenia </w:t>
      </w:r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Paweł Szarkowski, prezes BIG </w:t>
      </w:r>
      <w:proofErr w:type="spellStart"/>
      <w:r w:rsidRPr="00607CC6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InfoMonitor</w:t>
      </w:r>
      <w:proofErr w:type="spellEnd"/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. – </w:t>
      </w:r>
      <w:r w:rsidRPr="00607CC6">
        <w:rPr>
          <w:rFonts w:asciiTheme="minorHAnsi" w:eastAsia="Times New Roman" w:hAnsiTheme="minorHAnsi" w:cs="Times New Roman"/>
          <w:i/>
          <w:iCs/>
          <w:color w:val="000000"/>
          <w:sz w:val="22"/>
          <w:szCs w:val="22"/>
        </w:rPr>
        <w:t xml:space="preserve">W obliczu transformacji energetycznej i cyfrowej, umiejętne łączenie inwestycji z kontrolą zobowiązań staje się jednym z najważniejszych elementów strategii przetrwania i wzrostu </w:t>
      </w:r>
      <w:r w:rsidRPr="00607CC6">
        <w:rPr>
          <w:rFonts w:asciiTheme="minorHAnsi" w:eastAsia="Times New Roman" w:hAnsiTheme="minorHAnsi" w:cs="Times New Roman"/>
          <w:color w:val="000000"/>
          <w:sz w:val="22"/>
          <w:szCs w:val="22"/>
        </w:rPr>
        <w:t>– dodaje.</w:t>
      </w:r>
    </w:p>
    <w:p w14:paraId="027BCE03" w14:textId="77777777" w:rsidR="00607CC6" w:rsidRPr="00607CC6" w:rsidRDefault="00607CC6" w:rsidP="002603A9">
      <w:pPr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14:paraId="401C8BFD" w14:textId="3EBB8635" w:rsidR="00AF0982" w:rsidRPr="00205A27" w:rsidRDefault="00AF0982" w:rsidP="00337416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 xml:space="preserve">BIG </w:t>
      </w:r>
      <w:proofErr w:type="spellStart"/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InfoMonitor</w:t>
      </w:r>
      <w:proofErr w:type="spellEnd"/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lastRenderedPageBreak/>
        <w:t xml:space="preserve">Informacje o dłużnikach przekazują do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0A6532E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3301AE">
        <w:rPr>
          <w:bCs/>
          <w:sz w:val="18"/>
          <w:szCs w:val="18"/>
        </w:rPr>
        <w:t>InfoMonitor</w:t>
      </w:r>
      <w:proofErr w:type="spellEnd"/>
      <w:r w:rsidRPr="003301AE">
        <w:rPr>
          <w:bCs/>
          <w:sz w:val="18"/>
          <w:szCs w:val="18"/>
        </w:rPr>
        <w:t xml:space="preserve"> jest Biuro Informacji Kredytowej. Więcej na  </w:t>
      </w:r>
      <w:hyperlink r:id="rId8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</w:p>
    <w:bookmarkEnd w:id="0"/>
    <w:p w14:paraId="43B5EEE6" w14:textId="77777777" w:rsidR="00AF0982" w:rsidRDefault="00AF0982" w:rsidP="00354293">
      <w:pPr>
        <w:spacing w:line="240" w:lineRule="auto"/>
        <w:jc w:val="both"/>
        <w:rPr>
          <w:b/>
        </w:rPr>
      </w:pPr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04F2010E" w14:textId="77777777" w:rsidR="006450DE" w:rsidRDefault="006450DE" w:rsidP="006450DE">
      <w:pPr>
        <w:jc w:val="both"/>
        <w:rPr>
          <w:color w:val="000000"/>
        </w:rPr>
      </w:pPr>
    </w:p>
    <w:p w14:paraId="531F29C9" w14:textId="77777777" w:rsidR="006450DE" w:rsidRDefault="006450DE" w:rsidP="006450DE">
      <w:pPr>
        <w:jc w:val="both"/>
      </w:pPr>
    </w:p>
    <w:p w14:paraId="6D92EA98" w14:textId="77777777" w:rsidR="006450DE" w:rsidRDefault="006450DE" w:rsidP="006450DE">
      <w:pPr>
        <w:jc w:val="both"/>
      </w:pPr>
    </w:p>
    <w:p w14:paraId="383EBC9C" w14:textId="77777777" w:rsidR="006450DE" w:rsidRDefault="006450DE" w:rsidP="006450DE">
      <w:pPr>
        <w:jc w:val="both"/>
      </w:pPr>
    </w:p>
    <w:p w14:paraId="1F85B970" w14:textId="77777777" w:rsidR="005E5173" w:rsidRPr="006450DE" w:rsidRDefault="005E5173" w:rsidP="006450DE"/>
    <w:sectPr w:rsidR="005E5173" w:rsidRPr="00645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D2F97" w14:textId="77777777" w:rsidR="00B1048E" w:rsidRDefault="00B1048E" w:rsidP="006450DE">
      <w:pPr>
        <w:spacing w:line="240" w:lineRule="auto"/>
      </w:pPr>
      <w:r>
        <w:separator/>
      </w:r>
    </w:p>
  </w:endnote>
  <w:endnote w:type="continuationSeparator" w:id="0">
    <w:p w14:paraId="0DFD9006" w14:textId="77777777" w:rsidR="00B1048E" w:rsidRDefault="00B1048E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7132550F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BC4E99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BC4E99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37E9127F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BC4E99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BC4E99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DAAF" w14:textId="77777777" w:rsidR="00B1048E" w:rsidRDefault="00B1048E" w:rsidP="006450DE">
      <w:pPr>
        <w:spacing w:line="240" w:lineRule="auto"/>
      </w:pPr>
      <w:r>
        <w:separator/>
      </w:r>
    </w:p>
  </w:footnote>
  <w:footnote w:type="continuationSeparator" w:id="0">
    <w:p w14:paraId="173A3F7E" w14:textId="77777777" w:rsidR="00B1048E" w:rsidRDefault="00B1048E" w:rsidP="006450DE">
      <w:pPr>
        <w:spacing w:line="240" w:lineRule="auto"/>
      </w:pPr>
      <w:r>
        <w:continuationSeparator/>
      </w:r>
    </w:p>
  </w:footnote>
  <w:footnote w:id="1">
    <w:p w14:paraId="2D36B01A" w14:textId="475D65F9" w:rsidR="00CE4E11" w:rsidRDefault="00CE4E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4E11">
        <w:t>Raport</w:t>
      </w:r>
      <w:r>
        <w:t xml:space="preserve"> AXI IMMO</w:t>
      </w:r>
      <w:r w:rsidRPr="00CE4E11">
        <w:t>: Rynek magazynowy w Polsce w 2024 r. i prognozy na 2025</w:t>
      </w:r>
      <w:r>
        <w:t>,</w:t>
      </w:r>
      <w:r w:rsidRPr="00CE4E11">
        <w:t xml:space="preserve"> </w:t>
      </w:r>
      <w:hyperlink r:id="rId1" w:history="1">
        <w:r w:rsidRPr="00A938D9">
          <w:rPr>
            <w:rStyle w:val="Hipercze"/>
          </w:rPr>
          <w:t>https://www.axiimmo.com/raporty-i-publikacje/raport-rynek-magazynowy-w-polsce-w-2024-r-i-prognozy-na-2025-prezentuje-axi-immo/</w:t>
        </w:r>
      </w:hyperlink>
      <w:r>
        <w:t xml:space="preserve"> </w:t>
      </w:r>
    </w:p>
  </w:footnote>
  <w:footnote w:id="2">
    <w:p w14:paraId="172DD4FC" w14:textId="716029BC" w:rsidR="00BC4E99" w:rsidRDefault="00BC4E99">
      <w:pPr>
        <w:pStyle w:val="Tekstprzypisudolnego"/>
      </w:pPr>
      <w:r>
        <w:rPr>
          <w:rStyle w:val="Odwoanieprzypisudolnego"/>
        </w:rPr>
        <w:footnoteRef/>
      </w:r>
      <w:r>
        <w:t xml:space="preserve"> Raport REDD: Rynek magazynowy Q1 2025, </w:t>
      </w:r>
      <w:hyperlink r:id="rId2" w:history="1">
        <w:r w:rsidRPr="00372502">
          <w:rPr>
            <w:rStyle w:val="Hipercze"/>
          </w:rPr>
          <w:t>https://www2.reddplatform.com/raporty/nowy-raport-magazynowy-redd-q1-2025-juz-dostepny/</w:t>
        </w:r>
      </w:hyperlink>
      <w:r>
        <w:t xml:space="preserve"> </w:t>
      </w:r>
    </w:p>
  </w:footnote>
  <w:footnote w:id="3">
    <w:p w14:paraId="61A6942F" w14:textId="4B1111C3" w:rsidR="002603A9" w:rsidRPr="002603A9" w:rsidRDefault="002603A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2603A9">
        <w:rPr>
          <w:i/>
        </w:rPr>
        <w:t>Rynek-pracownikow-szeregowych.-Perspektywa-dla-retailu-produkcji-i-logistyki-.pdf</w:t>
      </w:r>
      <w:r>
        <w:rPr>
          <w:i/>
        </w:rPr>
        <w:t xml:space="preserve">, </w:t>
      </w:r>
      <w:hyperlink r:id="rId3" w:tgtFrame="_blank" w:history="1">
        <w:r>
          <w:rPr>
            <w:rStyle w:val="Hipercze"/>
          </w:rPr>
          <w:t>https://tikrow.com/wp-content/uploads/2024/03/Raport-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550131">
    <w:abstractNumId w:val="1"/>
  </w:num>
  <w:num w:numId="2" w16cid:durableId="975185380">
    <w:abstractNumId w:val="2"/>
  </w:num>
  <w:num w:numId="3" w16cid:durableId="1349065457">
    <w:abstractNumId w:val="3"/>
  </w:num>
  <w:num w:numId="4" w16cid:durableId="131139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0BAA"/>
    <w:rsid w:val="00001AE5"/>
    <w:rsid w:val="0000243D"/>
    <w:rsid w:val="00004806"/>
    <w:rsid w:val="0000538E"/>
    <w:rsid w:val="00012174"/>
    <w:rsid w:val="00012379"/>
    <w:rsid w:val="00012383"/>
    <w:rsid w:val="00012390"/>
    <w:rsid w:val="00012640"/>
    <w:rsid w:val="000141FE"/>
    <w:rsid w:val="000146AA"/>
    <w:rsid w:val="00021322"/>
    <w:rsid w:val="00022382"/>
    <w:rsid w:val="000232F8"/>
    <w:rsid w:val="0002491D"/>
    <w:rsid w:val="00024F16"/>
    <w:rsid w:val="0002647D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5480C"/>
    <w:rsid w:val="00057C8D"/>
    <w:rsid w:val="00074575"/>
    <w:rsid w:val="00075B45"/>
    <w:rsid w:val="000760FC"/>
    <w:rsid w:val="000810E1"/>
    <w:rsid w:val="00081C21"/>
    <w:rsid w:val="00083FD4"/>
    <w:rsid w:val="00085AB2"/>
    <w:rsid w:val="000861D3"/>
    <w:rsid w:val="00086D5B"/>
    <w:rsid w:val="000926B6"/>
    <w:rsid w:val="00096F05"/>
    <w:rsid w:val="0009733C"/>
    <w:rsid w:val="00097820"/>
    <w:rsid w:val="000A12C4"/>
    <w:rsid w:val="000A23D9"/>
    <w:rsid w:val="000A3215"/>
    <w:rsid w:val="000A41ED"/>
    <w:rsid w:val="000A5755"/>
    <w:rsid w:val="000A6B66"/>
    <w:rsid w:val="000A73FF"/>
    <w:rsid w:val="000A7C45"/>
    <w:rsid w:val="000B1B3B"/>
    <w:rsid w:val="000B2347"/>
    <w:rsid w:val="000B3355"/>
    <w:rsid w:val="000B37E2"/>
    <w:rsid w:val="000B4828"/>
    <w:rsid w:val="000B6FA9"/>
    <w:rsid w:val="000B71E0"/>
    <w:rsid w:val="000C105E"/>
    <w:rsid w:val="000C1585"/>
    <w:rsid w:val="000C5797"/>
    <w:rsid w:val="000C5C51"/>
    <w:rsid w:val="000C7F5D"/>
    <w:rsid w:val="000D29CE"/>
    <w:rsid w:val="000D784F"/>
    <w:rsid w:val="000E5685"/>
    <w:rsid w:val="000E64E9"/>
    <w:rsid w:val="000E6D1E"/>
    <w:rsid w:val="000E7A3D"/>
    <w:rsid w:val="000F4006"/>
    <w:rsid w:val="000F794A"/>
    <w:rsid w:val="001043B4"/>
    <w:rsid w:val="00105503"/>
    <w:rsid w:val="00105EB9"/>
    <w:rsid w:val="001072DD"/>
    <w:rsid w:val="00107317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3DBF"/>
    <w:rsid w:val="00142C6B"/>
    <w:rsid w:val="00144ADB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ACA"/>
    <w:rsid w:val="00163D43"/>
    <w:rsid w:val="00164DBA"/>
    <w:rsid w:val="00170DCC"/>
    <w:rsid w:val="001742E4"/>
    <w:rsid w:val="001746C9"/>
    <w:rsid w:val="001802A7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E13F1"/>
    <w:rsid w:val="001E1FB1"/>
    <w:rsid w:val="001E2B71"/>
    <w:rsid w:val="001F3503"/>
    <w:rsid w:val="001F39F2"/>
    <w:rsid w:val="001F4856"/>
    <w:rsid w:val="001F4ED5"/>
    <w:rsid w:val="001F5A50"/>
    <w:rsid w:val="00202E27"/>
    <w:rsid w:val="002041AB"/>
    <w:rsid w:val="0020467F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333CC"/>
    <w:rsid w:val="0023391F"/>
    <w:rsid w:val="002339C6"/>
    <w:rsid w:val="0023419F"/>
    <w:rsid w:val="00234368"/>
    <w:rsid w:val="00240A17"/>
    <w:rsid w:val="00242288"/>
    <w:rsid w:val="0024258B"/>
    <w:rsid w:val="00243F4B"/>
    <w:rsid w:val="00244C5B"/>
    <w:rsid w:val="00245827"/>
    <w:rsid w:val="00246BD2"/>
    <w:rsid w:val="00250B23"/>
    <w:rsid w:val="00250D31"/>
    <w:rsid w:val="00253341"/>
    <w:rsid w:val="00254F6B"/>
    <w:rsid w:val="00257A4E"/>
    <w:rsid w:val="002603A9"/>
    <w:rsid w:val="00260694"/>
    <w:rsid w:val="0026249A"/>
    <w:rsid w:val="00264613"/>
    <w:rsid w:val="002726E8"/>
    <w:rsid w:val="00273C34"/>
    <w:rsid w:val="002764C8"/>
    <w:rsid w:val="002774FE"/>
    <w:rsid w:val="0028132F"/>
    <w:rsid w:val="002843E6"/>
    <w:rsid w:val="002869EB"/>
    <w:rsid w:val="00291955"/>
    <w:rsid w:val="00292F08"/>
    <w:rsid w:val="00293B98"/>
    <w:rsid w:val="0029429C"/>
    <w:rsid w:val="00295B3D"/>
    <w:rsid w:val="00296E30"/>
    <w:rsid w:val="00296F5B"/>
    <w:rsid w:val="002A0550"/>
    <w:rsid w:val="002A079D"/>
    <w:rsid w:val="002A1256"/>
    <w:rsid w:val="002A39B5"/>
    <w:rsid w:val="002B3CC5"/>
    <w:rsid w:val="002B5777"/>
    <w:rsid w:val="002B72C5"/>
    <w:rsid w:val="002C05C9"/>
    <w:rsid w:val="002C0BE5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E1E05"/>
    <w:rsid w:val="002E3929"/>
    <w:rsid w:val="002E4793"/>
    <w:rsid w:val="002E4D41"/>
    <w:rsid w:val="002F208D"/>
    <w:rsid w:val="002F2A9B"/>
    <w:rsid w:val="00310D49"/>
    <w:rsid w:val="003121F7"/>
    <w:rsid w:val="00313A16"/>
    <w:rsid w:val="00314134"/>
    <w:rsid w:val="00314806"/>
    <w:rsid w:val="00315BBF"/>
    <w:rsid w:val="00320D9E"/>
    <w:rsid w:val="00320EEB"/>
    <w:rsid w:val="00322989"/>
    <w:rsid w:val="00325142"/>
    <w:rsid w:val="00325BBB"/>
    <w:rsid w:val="003301AE"/>
    <w:rsid w:val="00330433"/>
    <w:rsid w:val="00336A11"/>
    <w:rsid w:val="00337416"/>
    <w:rsid w:val="00337F75"/>
    <w:rsid w:val="00342868"/>
    <w:rsid w:val="003452A3"/>
    <w:rsid w:val="00345491"/>
    <w:rsid w:val="00345CA5"/>
    <w:rsid w:val="00346A3D"/>
    <w:rsid w:val="00350873"/>
    <w:rsid w:val="00352421"/>
    <w:rsid w:val="0035333D"/>
    <w:rsid w:val="00354293"/>
    <w:rsid w:val="003556B7"/>
    <w:rsid w:val="00362DE0"/>
    <w:rsid w:val="00364F6E"/>
    <w:rsid w:val="00365CCF"/>
    <w:rsid w:val="00366836"/>
    <w:rsid w:val="00366A00"/>
    <w:rsid w:val="00370D64"/>
    <w:rsid w:val="00373BBA"/>
    <w:rsid w:val="003774CC"/>
    <w:rsid w:val="00381BA3"/>
    <w:rsid w:val="00382EDF"/>
    <w:rsid w:val="00384616"/>
    <w:rsid w:val="0038572E"/>
    <w:rsid w:val="003857A9"/>
    <w:rsid w:val="00386B5D"/>
    <w:rsid w:val="003907D8"/>
    <w:rsid w:val="0039080D"/>
    <w:rsid w:val="0039634F"/>
    <w:rsid w:val="00396A1A"/>
    <w:rsid w:val="003A52E4"/>
    <w:rsid w:val="003B3AA2"/>
    <w:rsid w:val="003B688E"/>
    <w:rsid w:val="003C040B"/>
    <w:rsid w:val="003C08E8"/>
    <w:rsid w:val="003C09FB"/>
    <w:rsid w:val="003C1087"/>
    <w:rsid w:val="003C1D58"/>
    <w:rsid w:val="003C26BB"/>
    <w:rsid w:val="003D0360"/>
    <w:rsid w:val="003D0440"/>
    <w:rsid w:val="003D0774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3F7616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37929"/>
    <w:rsid w:val="004428AE"/>
    <w:rsid w:val="00443D1A"/>
    <w:rsid w:val="00446FC9"/>
    <w:rsid w:val="00451188"/>
    <w:rsid w:val="00453FBB"/>
    <w:rsid w:val="00455652"/>
    <w:rsid w:val="0046057E"/>
    <w:rsid w:val="00463564"/>
    <w:rsid w:val="0046435C"/>
    <w:rsid w:val="004661A1"/>
    <w:rsid w:val="00473BB0"/>
    <w:rsid w:val="0047656E"/>
    <w:rsid w:val="0048427F"/>
    <w:rsid w:val="0048748C"/>
    <w:rsid w:val="0049043F"/>
    <w:rsid w:val="00490A38"/>
    <w:rsid w:val="00493AD2"/>
    <w:rsid w:val="004978FF"/>
    <w:rsid w:val="004A0E38"/>
    <w:rsid w:val="004A1C4E"/>
    <w:rsid w:val="004A34A2"/>
    <w:rsid w:val="004A43F6"/>
    <w:rsid w:val="004B07F9"/>
    <w:rsid w:val="004B5D29"/>
    <w:rsid w:val="004C4CDE"/>
    <w:rsid w:val="004C7466"/>
    <w:rsid w:val="004C79DA"/>
    <w:rsid w:val="004D7EAE"/>
    <w:rsid w:val="004E02C5"/>
    <w:rsid w:val="004E6AFF"/>
    <w:rsid w:val="004F1214"/>
    <w:rsid w:val="004F3068"/>
    <w:rsid w:val="004F527C"/>
    <w:rsid w:val="004F6A89"/>
    <w:rsid w:val="00505255"/>
    <w:rsid w:val="0050605E"/>
    <w:rsid w:val="005077A8"/>
    <w:rsid w:val="005079F6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5567"/>
    <w:rsid w:val="00550ED0"/>
    <w:rsid w:val="00552CEB"/>
    <w:rsid w:val="00555F44"/>
    <w:rsid w:val="00556503"/>
    <w:rsid w:val="005669F5"/>
    <w:rsid w:val="00566C5F"/>
    <w:rsid w:val="00566D83"/>
    <w:rsid w:val="00567EF3"/>
    <w:rsid w:val="00570060"/>
    <w:rsid w:val="00572764"/>
    <w:rsid w:val="00574805"/>
    <w:rsid w:val="00575A0D"/>
    <w:rsid w:val="00576432"/>
    <w:rsid w:val="00576FCF"/>
    <w:rsid w:val="00577E9B"/>
    <w:rsid w:val="00581252"/>
    <w:rsid w:val="00582705"/>
    <w:rsid w:val="00583D97"/>
    <w:rsid w:val="005842F9"/>
    <w:rsid w:val="00587D97"/>
    <w:rsid w:val="005903A9"/>
    <w:rsid w:val="005930ED"/>
    <w:rsid w:val="00593AEF"/>
    <w:rsid w:val="0059527E"/>
    <w:rsid w:val="00595DCA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1042"/>
    <w:rsid w:val="005C262F"/>
    <w:rsid w:val="005C483A"/>
    <w:rsid w:val="005C5079"/>
    <w:rsid w:val="005C6BDC"/>
    <w:rsid w:val="005C777A"/>
    <w:rsid w:val="005D361B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4463"/>
    <w:rsid w:val="00604859"/>
    <w:rsid w:val="00606578"/>
    <w:rsid w:val="00606FCF"/>
    <w:rsid w:val="00607928"/>
    <w:rsid w:val="00607CC6"/>
    <w:rsid w:val="00612ADC"/>
    <w:rsid w:val="006132FF"/>
    <w:rsid w:val="0061376A"/>
    <w:rsid w:val="00614C55"/>
    <w:rsid w:val="00617D90"/>
    <w:rsid w:val="00620D91"/>
    <w:rsid w:val="0062230D"/>
    <w:rsid w:val="0063070D"/>
    <w:rsid w:val="00631716"/>
    <w:rsid w:val="0063270F"/>
    <w:rsid w:val="0063737E"/>
    <w:rsid w:val="006404CE"/>
    <w:rsid w:val="00643EE0"/>
    <w:rsid w:val="006450DE"/>
    <w:rsid w:val="006519C3"/>
    <w:rsid w:val="0065453E"/>
    <w:rsid w:val="00663103"/>
    <w:rsid w:val="0066484F"/>
    <w:rsid w:val="00664D3A"/>
    <w:rsid w:val="00670CFD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A0130"/>
    <w:rsid w:val="006A0FA7"/>
    <w:rsid w:val="006A27B2"/>
    <w:rsid w:val="006A3F36"/>
    <w:rsid w:val="006A66D8"/>
    <w:rsid w:val="006A6D79"/>
    <w:rsid w:val="006C7091"/>
    <w:rsid w:val="006D137B"/>
    <w:rsid w:val="006D2124"/>
    <w:rsid w:val="006D3D81"/>
    <w:rsid w:val="006D6965"/>
    <w:rsid w:val="006E0CF9"/>
    <w:rsid w:val="006E1378"/>
    <w:rsid w:val="006E4635"/>
    <w:rsid w:val="006E4771"/>
    <w:rsid w:val="006E4E42"/>
    <w:rsid w:val="006E781D"/>
    <w:rsid w:val="006E7FFC"/>
    <w:rsid w:val="006F30BB"/>
    <w:rsid w:val="006F4303"/>
    <w:rsid w:val="006F562F"/>
    <w:rsid w:val="006F5DA9"/>
    <w:rsid w:val="006F7789"/>
    <w:rsid w:val="00704FE6"/>
    <w:rsid w:val="0071142C"/>
    <w:rsid w:val="00713A1E"/>
    <w:rsid w:val="00714DA0"/>
    <w:rsid w:val="00722E21"/>
    <w:rsid w:val="00723FE5"/>
    <w:rsid w:val="00725BB4"/>
    <w:rsid w:val="007268D1"/>
    <w:rsid w:val="0072717F"/>
    <w:rsid w:val="00733CD1"/>
    <w:rsid w:val="00733E97"/>
    <w:rsid w:val="0073426F"/>
    <w:rsid w:val="00734307"/>
    <w:rsid w:val="0073476E"/>
    <w:rsid w:val="00736D45"/>
    <w:rsid w:val="00743313"/>
    <w:rsid w:val="007447F3"/>
    <w:rsid w:val="0074539A"/>
    <w:rsid w:val="00746362"/>
    <w:rsid w:val="00746BDC"/>
    <w:rsid w:val="00751A22"/>
    <w:rsid w:val="00754520"/>
    <w:rsid w:val="00755866"/>
    <w:rsid w:val="00761918"/>
    <w:rsid w:val="00761FC0"/>
    <w:rsid w:val="00765660"/>
    <w:rsid w:val="007667B5"/>
    <w:rsid w:val="00767D9B"/>
    <w:rsid w:val="00772575"/>
    <w:rsid w:val="00772E56"/>
    <w:rsid w:val="00774EF7"/>
    <w:rsid w:val="00780C81"/>
    <w:rsid w:val="00781058"/>
    <w:rsid w:val="0078273F"/>
    <w:rsid w:val="007867F3"/>
    <w:rsid w:val="007874DA"/>
    <w:rsid w:val="00787C34"/>
    <w:rsid w:val="00787E97"/>
    <w:rsid w:val="007916A7"/>
    <w:rsid w:val="00791CA9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C98"/>
    <w:rsid w:val="007C16F3"/>
    <w:rsid w:val="007C260E"/>
    <w:rsid w:val="007C2BBE"/>
    <w:rsid w:val="007D01C2"/>
    <w:rsid w:val="007D1D79"/>
    <w:rsid w:val="007D4265"/>
    <w:rsid w:val="007D460A"/>
    <w:rsid w:val="007D6417"/>
    <w:rsid w:val="007D75FE"/>
    <w:rsid w:val="007E000D"/>
    <w:rsid w:val="007E370A"/>
    <w:rsid w:val="007E4449"/>
    <w:rsid w:val="007E4EED"/>
    <w:rsid w:val="007E60F4"/>
    <w:rsid w:val="007F0106"/>
    <w:rsid w:val="007F21BD"/>
    <w:rsid w:val="00811D1F"/>
    <w:rsid w:val="00814299"/>
    <w:rsid w:val="00814566"/>
    <w:rsid w:val="00816BBD"/>
    <w:rsid w:val="008202AE"/>
    <w:rsid w:val="00821EBB"/>
    <w:rsid w:val="0082313B"/>
    <w:rsid w:val="008232EA"/>
    <w:rsid w:val="00825476"/>
    <w:rsid w:val="00826456"/>
    <w:rsid w:val="00826FEE"/>
    <w:rsid w:val="00827148"/>
    <w:rsid w:val="00827953"/>
    <w:rsid w:val="008315AA"/>
    <w:rsid w:val="00832960"/>
    <w:rsid w:val="00840B12"/>
    <w:rsid w:val="00841131"/>
    <w:rsid w:val="008411E4"/>
    <w:rsid w:val="00850FDA"/>
    <w:rsid w:val="008513F2"/>
    <w:rsid w:val="008519FD"/>
    <w:rsid w:val="00854C84"/>
    <w:rsid w:val="00855266"/>
    <w:rsid w:val="00860963"/>
    <w:rsid w:val="0086341C"/>
    <w:rsid w:val="00866E66"/>
    <w:rsid w:val="00867EA9"/>
    <w:rsid w:val="00871392"/>
    <w:rsid w:val="00872A14"/>
    <w:rsid w:val="00873293"/>
    <w:rsid w:val="00875F86"/>
    <w:rsid w:val="00881ED0"/>
    <w:rsid w:val="00882B4A"/>
    <w:rsid w:val="0088453A"/>
    <w:rsid w:val="00884550"/>
    <w:rsid w:val="008866C4"/>
    <w:rsid w:val="00894536"/>
    <w:rsid w:val="0089669F"/>
    <w:rsid w:val="008A19A8"/>
    <w:rsid w:val="008A298D"/>
    <w:rsid w:val="008A4960"/>
    <w:rsid w:val="008A5E82"/>
    <w:rsid w:val="008A7870"/>
    <w:rsid w:val="008B17BA"/>
    <w:rsid w:val="008B632F"/>
    <w:rsid w:val="008C1EB2"/>
    <w:rsid w:val="008C2D82"/>
    <w:rsid w:val="008E10A7"/>
    <w:rsid w:val="008E13DF"/>
    <w:rsid w:val="008E3BE7"/>
    <w:rsid w:val="008E639D"/>
    <w:rsid w:val="008F5D00"/>
    <w:rsid w:val="008F6EB2"/>
    <w:rsid w:val="00901C6C"/>
    <w:rsid w:val="00902ECF"/>
    <w:rsid w:val="0090714A"/>
    <w:rsid w:val="00912F78"/>
    <w:rsid w:val="009134FE"/>
    <w:rsid w:val="0092527D"/>
    <w:rsid w:val="00932056"/>
    <w:rsid w:val="009379C0"/>
    <w:rsid w:val="00951E39"/>
    <w:rsid w:val="009548B5"/>
    <w:rsid w:val="00954CCA"/>
    <w:rsid w:val="00955079"/>
    <w:rsid w:val="00957CC5"/>
    <w:rsid w:val="009655E2"/>
    <w:rsid w:val="00970C78"/>
    <w:rsid w:val="009770A2"/>
    <w:rsid w:val="009816C3"/>
    <w:rsid w:val="00985A8D"/>
    <w:rsid w:val="0099716A"/>
    <w:rsid w:val="009971FE"/>
    <w:rsid w:val="009B0D44"/>
    <w:rsid w:val="009B7308"/>
    <w:rsid w:val="009C169E"/>
    <w:rsid w:val="009C185E"/>
    <w:rsid w:val="009C69D0"/>
    <w:rsid w:val="009C7D7D"/>
    <w:rsid w:val="009D416F"/>
    <w:rsid w:val="009D4BAC"/>
    <w:rsid w:val="009D4FFD"/>
    <w:rsid w:val="009D5787"/>
    <w:rsid w:val="009D7740"/>
    <w:rsid w:val="009D7806"/>
    <w:rsid w:val="009D7C39"/>
    <w:rsid w:val="009E0672"/>
    <w:rsid w:val="009E4BBC"/>
    <w:rsid w:val="009F06E8"/>
    <w:rsid w:val="009F1A14"/>
    <w:rsid w:val="009F1A25"/>
    <w:rsid w:val="009F68AD"/>
    <w:rsid w:val="00A014A4"/>
    <w:rsid w:val="00A01EB0"/>
    <w:rsid w:val="00A045E5"/>
    <w:rsid w:val="00A0748D"/>
    <w:rsid w:val="00A13207"/>
    <w:rsid w:val="00A16B3D"/>
    <w:rsid w:val="00A226A8"/>
    <w:rsid w:val="00A2361D"/>
    <w:rsid w:val="00A251A9"/>
    <w:rsid w:val="00A252F1"/>
    <w:rsid w:val="00A2704B"/>
    <w:rsid w:val="00A366F9"/>
    <w:rsid w:val="00A36B87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452B1"/>
    <w:rsid w:val="00A50868"/>
    <w:rsid w:val="00A52036"/>
    <w:rsid w:val="00A52B95"/>
    <w:rsid w:val="00A543E8"/>
    <w:rsid w:val="00A5599C"/>
    <w:rsid w:val="00A567D8"/>
    <w:rsid w:val="00A60890"/>
    <w:rsid w:val="00A60E64"/>
    <w:rsid w:val="00A642F7"/>
    <w:rsid w:val="00A644F1"/>
    <w:rsid w:val="00A716BA"/>
    <w:rsid w:val="00A7277B"/>
    <w:rsid w:val="00A74E89"/>
    <w:rsid w:val="00A7578F"/>
    <w:rsid w:val="00A81E1C"/>
    <w:rsid w:val="00A82DE8"/>
    <w:rsid w:val="00A868CB"/>
    <w:rsid w:val="00A91182"/>
    <w:rsid w:val="00A914D7"/>
    <w:rsid w:val="00AA218D"/>
    <w:rsid w:val="00AA4A3E"/>
    <w:rsid w:val="00AA4FB0"/>
    <w:rsid w:val="00AA7539"/>
    <w:rsid w:val="00AB0FE6"/>
    <w:rsid w:val="00AB161D"/>
    <w:rsid w:val="00AB3FA9"/>
    <w:rsid w:val="00AB4214"/>
    <w:rsid w:val="00AB6734"/>
    <w:rsid w:val="00AC01EC"/>
    <w:rsid w:val="00AC2966"/>
    <w:rsid w:val="00AC4209"/>
    <w:rsid w:val="00AC734B"/>
    <w:rsid w:val="00AC7562"/>
    <w:rsid w:val="00AC794D"/>
    <w:rsid w:val="00AD048A"/>
    <w:rsid w:val="00AD404E"/>
    <w:rsid w:val="00AD5452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B00B94"/>
    <w:rsid w:val="00B02273"/>
    <w:rsid w:val="00B04FCF"/>
    <w:rsid w:val="00B0575C"/>
    <w:rsid w:val="00B06607"/>
    <w:rsid w:val="00B1048E"/>
    <w:rsid w:val="00B16F0A"/>
    <w:rsid w:val="00B171D8"/>
    <w:rsid w:val="00B200FF"/>
    <w:rsid w:val="00B20824"/>
    <w:rsid w:val="00B226C0"/>
    <w:rsid w:val="00B25A86"/>
    <w:rsid w:val="00B3696D"/>
    <w:rsid w:val="00B438F1"/>
    <w:rsid w:val="00B45B5A"/>
    <w:rsid w:val="00B47436"/>
    <w:rsid w:val="00B478F7"/>
    <w:rsid w:val="00B50768"/>
    <w:rsid w:val="00B520A5"/>
    <w:rsid w:val="00B55517"/>
    <w:rsid w:val="00B61EDD"/>
    <w:rsid w:val="00B625DA"/>
    <w:rsid w:val="00B637B2"/>
    <w:rsid w:val="00B70B3C"/>
    <w:rsid w:val="00B752E5"/>
    <w:rsid w:val="00B763DB"/>
    <w:rsid w:val="00B770B7"/>
    <w:rsid w:val="00B80592"/>
    <w:rsid w:val="00B82A86"/>
    <w:rsid w:val="00B862A9"/>
    <w:rsid w:val="00B93944"/>
    <w:rsid w:val="00B95457"/>
    <w:rsid w:val="00B9615E"/>
    <w:rsid w:val="00B962B8"/>
    <w:rsid w:val="00BA2439"/>
    <w:rsid w:val="00BA28C0"/>
    <w:rsid w:val="00BA55E4"/>
    <w:rsid w:val="00BB1377"/>
    <w:rsid w:val="00BB2CB6"/>
    <w:rsid w:val="00BB4F91"/>
    <w:rsid w:val="00BB54D9"/>
    <w:rsid w:val="00BC22B9"/>
    <w:rsid w:val="00BC4366"/>
    <w:rsid w:val="00BC4E99"/>
    <w:rsid w:val="00BC57F9"/>
    <w:rsid w:val="00BD2C7B"/>
    <w:rsid w:val="00BD4685"/>
    <w:rsid w:val="00BD651D"/>
    <w:rsid w:val="00BE0934"/>
    <w:rsid w:val="00BE1D0F"/>
    <w:rsid w:val="00BE321D"/>
    <w:rsid w:val="00BE34E3"/>
    <w:rsid w:val="00BE5B92"/>
    <w:rsid w:val="00BF1EF7"/>
    <w:rsid w:val="00C00EC7"/>
    <w:rsid w:val="00C03AE1"/>
    <w:rsid w:val="00C04BDD"/>
    <w:rsid w:val="00C05B96"/>
    <w:rsid w:val="00C061E6"/>
    <w:rsid w:val="00C07066"/>
    <w:rsid w:val="00C106F9"/>
    <w:rsid w:val="00C12D82"/>
    <w:rsid w:val="00C13C94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4FE3"/>
    <w:rsid w:val="00C4500F"/>
    <w:rsid w:val="00C46483"/>
    <w:rsid w:val="00C473FB"/>
    <w:rsid w:val="00C52150"/>
    <w:rsid w:val="00C52205"/>
    <w:rsid w:val="00C6089A"/>
    <w:rsid w:val="00C61CC7"/>
    <w:rsid w:val="00C62791"/>
    <w:rsid w:val="00C63E83"/>
    <w:rsid w:val="00C6620E"/>
    <w:rsid w:val="00C71287"/>
    <w:rsid w:val="00C72CB7"/>
    <w:rsid w:val="00C738E2"/>
    <w:rsid w:val="00C76143"/>
    <w:rsid w:val="00C76B8D"/>
    <w:rsid w:val="00C80C8F"/>
    <w:rsid w:val="00C80D1F"/>
    <w:rsid w:val="00C84DDC"/>
    <w:rsid w:val="00C86BC3"/>
    <w:rsid w:val="00C911C6"/>
    <w:rsid w:val="00C93312"/>
    <w:rsid w:val="00CA030F"/>
    <w:rsid w:val="00CA3603"/>
    <w:rsid w:val="00CA41EC"/>
    <w:rsid w:val="00CA4EF5"/>
    <w:rsid w:val="00CA571E"/>
    <w:rsid w:val="00CA6DE8"/>
    <w:rsid w:val="00CB5CA9"/>
    <w:rsid w:val="00CC0887"/>
    <w:rsid w:val="00CC6D2F"/>
    <w:rsid w:val="00CC7FAE"/>
    <w:rsid w:val="00CD2C7A"/>
    <w:rsid w:val="00CD3295"/>
    <w:rsid w:val="00CE0428"/>
    <w:rsid w:val="00CE2F2F"/>
    <w:rsid w:val="00CE4611"/>
    <w:rsid w:val="00CE4E11"/>
    <w:rsid w:val="00CE5513"/>
    <w:rsid w:val="00CE565F"/>
    <w:rsid w:val="00CE6AB6"/>
    <w:rsid w:val="00CF0FF7"/>
    <w:rsid w:val="00CF3BF0"/>
    <w:rsid w:val="00CF4BED"/>
    <w:rsid w:val="00CF53AA"/>
    <w:rsid w:val="00CF5DE5"/>
    <w:rsid w:val="00D006C9"/>
    <w:rsid w:val="00D0260A"/>
    <w:rsid w:val="00D02F72"/>
    <w:rsid w:val="00D05A24"/>
    <w:rsid w:val="00D0675F"/>
    <w:rsid w:val="00D16E18"/>
    <w:rsid w:val="00D173A4"/>
    <w:rsid w:val="00D25414"/>
    <w:rsid w:val="00D300C1"/>
    <w:rsid w:val="00D30B78"/>
    <w:rsid w:val="00D343D0"/>
    <w:rsid w:val="00D364A9"/>
    <w:rsid w:val="00D4412A"/>
    <w:rsid w:val="00D45BA5"/>
    <w:rsid w:val="00D470A4"/>
    <w:rsid w:val="00D500AD"/>
    <w:rsid w:val="00D53541"/>
    <w:rsid w:val="00D53FA9"/>
    <w:rsid w:val="00D56FDF"/>
    <w:rsid w:val="00D62B2F"/>
    <w:rsid w:val="00D63D13"/>
    <w:rsid w:val="00D67597"/>
    <w:rsid w:val="00D71BA4"/>
    <w:rsid w:val="00D72580"/>
    <w:rsid w:val="00D725D9"/>
    <w:rsid w:val="00D7584B"/>
    <w:rsid w:val="00D81B26"/>
    <w:rsid w:val="00D820D1"/>
    <w:rsid w:val="00D821D6"/>
    <w:rsid w:val="00D82C7A"/>
    <w:rsid w:val="00D84BCC"/>
    <w:rsid w:val="00D8727E"/>
    <w:rsid w:val="00D90120"/>
    <w:rsid w:val="00D965D8"/>
    <w:rsid w:val="00D966CA"/>
    <w:rsid w:val="00D97D34"/>
    <w:rsid w:val="00DA2ACD"/>
    <w:rsid w:val="00DA2D61"/>
    <w:rsid w:val="00DA44BE"/>
    <w:rsid w:val="00DA4896"/>
    <w:rsid w:val="00DA6425"/>
    <w:rsid w:val="00DB09C4"/>
    <w:rsid w:val="00DB12AA"/>
    <w:rsid w:val="00DB1B14"/>
    <w:rsid w:val="00DB2D6A"/>
    <w:rsid w:val="00DB4F74"/>
    <w:rsid w:val="00DB56F9"/>
    <w:rsid w:val="00DC2E62"/>
    <w:rsid w:val="00DC333C"/>
    <w:rsid w:val="00DC365F"/>
    <w:rsid w:val="00DC3F91"/>
    <w:rsid w:val="00DD0560"/>
    <w:rsid w:val="00DD6514"/>
    <w:rsid w:val="00DE157A"/>
    <w:rsid w:val="00DE2663"/>
    <w:rsid w:val="00DE3820"/>
    <w:rsid w:val="00DF0474"/>
    <w:rsid w:val="00DF6119"/>
    <w:rsid w:val="00E017E5"/>
    <w:rsid w:val="00E0526C"/>
    <w:rsid w:val="00E056FE"/>
    <w:rsid w:val="00E06AE3"/>
    <w:rsid w:val="00E06EC0"/>
    <w:rsid w:val="00E10CC0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348A"/>
    <w:rsid w:val="00E46A38"/>
    <w:rsid w:val="00E46E10"/>
    <w:rsid w:val="00E4755A"/>
    <w:rsid w:val="00E532AD"/>
    <w:rsid w:val="00E53585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4BCC"/>
    <w:rsid w:val="00E7562F"/>
    <w:rsid w:val="00E801E5"/>
    <w:rsid w:val="00E81B70"/>
    <w:rsid w:val="00E93171"/>
    <w:rsid w:val="00E954F4"/>
    <w:rsid w:val="00E97754"/>
    <w:rsid w:val="00EA0D6E"/>
    <w:rsid w:val="00EA2431"/>
    <w:rsid w:val="00EA54EB"/>
    <w:rsid w:val="00EB018A"/>
    <w:rsid w:val="00EB27B8"/>
    <w:rsid w:val="00EC3FA2"/>
    <w:rsid w:val="00ED06E1"/>
    <w:rsid w:val="00ED3757"/>
    <w:rsid w:val="00ED4059"/>
    <w:rsid w:val="00ED419D"/>
    <w:rsid w:val="00ED6A71"/>
    <w:rsid w:val="00EE3A2A"/>
    <w:rsid w:val="00EE4055"/>
    <w:rsid w:val="00EE5E48"/>
    <w:rsid w:val="00EE7F08"/>
    <w:rsid w:val="00EF01C4"/>
    <w:rsid w:val="00EF0FF2"/>
    <w:rsid w:val="00EF44C7"/>
    <w:rsid w:val="00EF4DC0"/>
    <w:rsid w:val="00EF5736"/>
    <w:rsid w:val="00F042D6"/>
    <w:rsid w:val="00F06D84"/>
    <w:rsid w:val="00F1155B"/>
    <w:rsid w:val="00F11E14"/>
    <w:rsid w:val="00F1217C"/>
    <w:rsid w:val="00F15482"/>
    <w:rsid w:val="00F1793A"/>
    <w:rsid w:val="00F17F99"/>
    <w:rsid w:val="00F24DBB"/>
    <w:rsid w:val="00F27C7A"/>
    <w:rsid w:val="00F31F09"/>
    <w:rsid w:val="00F32510"/>
    <w:rsid w:val="00F32A14"/>
    <w:rsid w:val="00F347CB"/>
    <w:rsid w:val="00F368DE"/>
    <w:rsid w:val="00F368FA"/>
    <w:rsid w:val="00F41AC5"/>
    <w:rsid w:val="00F523A0"/>
    <w:rsid w:val="00F52617"/>
    <w:rsid w:val="00F53050"/>
    <w:rsid w:val="00F539B2"/>
    <w:rsid w:val="00F57C22"/>
    <w:rsid w:val="00F57F18"/>
    <w:rsid w:val="00F626E0"/>
    <w:rsid w:val="00F65073"/>
    <w:rsid w:val="00F6566C"/>
    <w:rsid w:val="00F66DDC"/>
    <w:rsid w:val="00F67441"/>
    <w:rsid w:val="00F7096A"/>
    <w:rsid w:val="00F7101B"/>
    <w:rsid w:val="00F71713"/>
    <w:rsid w:val="00F736A3"/>
    <w:rsid w:val="00F73F28"/>
    <w:rsid w:val="00F77A40"/>
    <w:rsid w:val="00F77AD9"/>
    <w:rsid w:val="00F80D8C"/>
    <w:rsid w:val="00F841F7"/>
    <w:rsid w:val="00F858AA"/>
    <w:rsid w:val="00F86D53"/>
    <w:rsid w:val="00F86DEA"/>
    <w:rsid w:val="00F92D7F"/>
    <w:rsid w:val="00F9402F"/>
    <w:rsid w:val="00F9411B"/>
    <w:rsid w:val="00F96E60"/>
    <w:rsid w:val="00FA0161"/>
    <w:rsid w:val="00FA124C"/>
    <w:rsid w:val="00FA5D49"/>
    <w:rsid w:val="00FA7708"/>
    <w:rsid w:val="00FB72AB"/>
    <w:rsid w:val="00FC0C0D"/>
    <w:rsid w:val="00FC4202"/>
    <w:rsid w:val="00FC4817"/>
    <w:rsid w:val="00FC7CF2"/>
    <w:rsid w:val="00FD1D3C"/>
    <w:rsid w:val="00FD64B9"/>
    <w:rsid w:val="00FE4BF9"/>
    <w:rsid w:val="00FF017B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4E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ikrow.com/wp-content/uploads/2024/03/Raport-" TargetMode="External"/><Relationship Id="rId2" Type="http://schemas.openxmlformats.org/officeDocument/2006/relationships/hyperlink" Target="https://www2.reddplatform.com/raporty/nowy-raport-magazynowy-redd-q1-2025-juz-dostepny/" TargetMode="External"/><Relationship Id="rId1" Type="http://schemas.openxmlformats.org/officeDocument/2006/relationships/hyperlink" Target="https://www.axiimmo.com/raporty-i-publikacje/raport-rynek-magazynowy-w-polsce-w-2024-r-i-prognozy-na-2025-prezentuje-axi-imm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9F95-9F68-494B-9721-40A2F726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13</cp:revision>
  <dcterms:created xsi:type="dcterms:W3CDTF">2025-07-22T12:23:00Z</dcterms:created>
  <dcterms:modified xsi:type="dcterms:W3CDTF">2025-07-30T11:00:00Z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