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B516" w14:textId="47954F75" w:rsidR="00185EAB" w:rsidRDefault="00727D04" w:rsidP="007C6F7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B05A22" wp14:editId="53603EBC">
            <wp:simplePos x="0" y="0"/>
            <wp:positionH relativeFrom="column">
              <wp:posOffset>2649855</wp:posOffset>
            </wp:positionH>
            <wp:positionV relativeFrom="paragraph">
              <wp:posOffset>-617855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7DDF0" w14:textId="77777777" w:rsidR="00727D04" w:rsidRDefault="00727D04" w:rsidP="00727D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BA1E5F" w14:textId="20AA7D4A" w:rsidR="00727D04" w:rsidRDefault="00727D04" w:rsidP="00727D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34617F" w14:textId="77777777" w:rsidR="00727D04" w:rsidRPr="0058546A" w:rsidRDefault="00727D04" w:rsidP="00727D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6A8D2AD0" w14:textId="77777777" w:rsidR="00727D04" w:rsidRPr="0058546A" w:rsidRDefault="00727D04" w:rsidP="00727D04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07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7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10124CDE" w14:textId="77777777" w:rsidR="00FE2B63" w:rsidRPr="000A3E78" w:rsidRDefault="00FE2B63" w:rsidP="00727D04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010DD2C" w14:textId="488146D4" w:rsidR="789B1331" w:rsidRDefault="789B1331" w:rsidP="00727D04">
      <w:pPr>
        <w:pStyle w:val="Nagwek1"/>
        <w:spacing w:before="120" w:beforeAutospacing="0" w:after="120" w:afterAutospacing="0" w:line="276" w:lineRule="auto"/>
        <w:rPr>
          <w:lang w:val="en-US"/>
        </w:rPr>
      </w:pPr>
      <w:proofErr w:type="spellStart"/>
      <w:r w:rsidRPr="59AC27A9">
        <w:rPr>
          <w:lang w:val="en-US"/>
        </w:rPr>
        <w:t>Potencjał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zamiast</w:t>
      </w:r>
      <w:proofErr w:type="spellEnd"/>
      <w:r w:rsidRPr="59AC27A9">
        <w:rPr>
          <w:lang w:val="en-US"/>
        </w:rPr>
        <w:t xml:space="preserve"> CV. Nowa </w:t>
      </w:r>
      <w:proofErr w:type="spellStart"/>
      <w:r w:rsidRPr="59AC27A9">
        <w:rPr>
          <w:lang w:val="en-US"/>
        </w:rPr>
        <w:t>rzeczywistość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polskiego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rynku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pracy</w:t>
      </w:r>
      <w:proofErr w:type="spellEnd"/>
    </w:p>
    <w:p w14:paraId="394A840A" w14:textId="709AFFE7" w:rsidR="789B1331" w:rsidRDefault="789B1331" w:rsidP="00727D04">
      <w:pPr>
        <w:spacing w:before="120" w:after="120" w:line="276" w:lineRule="auto"/>
        <w:rPr>
          <w:b/>
          <w:bCs/>
          <w:sz w:val="24"/>
          <w:szCs w:val="24"/>
          <w:lang w:val="en-US"/>
        </w:rPr>
      </w:pPr>
      <w:r w:rsidRPr="59AC27A9">
        <w:rPr>
          <w:b/>
          <w:bCs/>
          <w:sz w:val="24"/>
          <w:szCs w:val="24"/>
          <w:lang w:val="en-US"/>
        </w:rPr>
        <w:t xml:space="preserve">Polski </w:t>
      </w:r>
      <w:proofErr w:type="spellStart"/>
      <w:r w:rsidRPr="59AC27A9">
        <w:rPr>
          <w:b/>
          <w:bCs/>
          <w:sz w:val="24"/>
          <w:szCs w:val="24"/>
          <w:lang w:val="en-US"/>
        </w:rPr>
        <w:t>rynek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pracy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nie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stoi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w </w:t>
      </w:r>
      <w:proofErr w:type="spellStart"/>
      <w:r w:rsidRPr="59AC27A9">
        <w:rPr>
          <w:b/>
          <w:bCs/>
          <w:sz w:val="24"/>
          <w:szCs w:val="24"/>
          <w:lang w:val="en-US"/>
        </w:rPr>
        <w:t>miejscu</w:t>
      </w:r>
      <w:proofErr w:type="spellEnd"/>
      <w:r w:rsidR="00EF5925">
        <w:rPr>
          <w:b/>
          <w:bCs/>
          <w:sz w:val="24"/>
          <w:szCs w:val="24"/>
          <w:lang w:val="en-US"/>
        </w:rPr>
        <w:t>, a</w:t>
      </w:r>
      <w:r w:rsidRPr="59AC27A9">
        <w:rPr>
          <w:b/>
          <w:bCs/>
          <w:sz w:val="24"/>
          <w:szCs w:val="24"/>
          <w:lang w:val="en-US"/>
        </w:rPr>
        <w:t xml:space="preserve"> jest </w:t>
      </w:r>
      <w:proofErr w:type="spellStart"/>
      <w:r w:rsidRPr="59AC27A9">
        <w:rPr>
          <w:b/>
          <w:bCs/>
          <w:sz w:val="24"/>
          <w:szCs w:val="24"/>
          <w:lang w:val="en-US"/>
        </w:rPr>
        <w:t>właśnie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w </w:t>
      </w:r>
      <w:proofErr w:type="spellStart"/>
      <w:r w:rsidRPr="59AC27A9">
        <w:rPr>
          <w:b/>
          <w:bCs/>
          <w:sz w:val="24"/>
          <w:szCs w:val="24"/>
          <w:lang w:val="en-US"/>
        </w:rPr>
        <w:t>fazie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głębokiej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przebudowy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59AC27A9">
        <w:rPr>
          <w:b/>
          <w:bCs/>
          <w:sz w:val="24"/>
          <w:szCs w:val="24"/>
          <w:lang w:val="en-US"/>
        </w:rPr>
        <w:t>Najnowszy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raport </w:t>
      </w:r>
      <w:proofErr w:type="spellStart"/>
      <w:r w:rsidRPr="59AC27A9">
        <w:rPr>
          <w:b/>
          <w:bCs/>
          <w:sz w:val="24"/>
          <w:szCs w:val="24"/>
          <w:lang w:val="en-US"/>
        </w:rPr>
        <w:t>Polskiej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Agencji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Rozwoju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Przedsiębiorczości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(PARP) „</w:t>
      </w:r>
      <w:proofErr w:type="spellStart"/>
      <w:r w:rsidRPr="59AC27A9">
        <w:rPr>
          <w:b/>
          <w:bCs/>
          <w:sz w:val="24"/>
          <w:szCs w:val="24"/>
          <w:lang w:val="en-US"/>
        </w:rPr>
        <w:t>Rynek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pracy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59AC27A9">
        <w:rPr>
          <w:b/>
          <w:bCs/>
          <w:sz w:val="24"/>
          <w:szCs w:val="24"/>
          <w:lang w:val="en-US"/>
        </w:rPr>
        <w:t>edukacja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59AC27A9">
        <w:rPr>
          <w:b/>
          <w:bCs/>
          <w:sz w:val="24"/>
          <w:szCs w:val="24"/>
          <w:lang w:val="en-US"/>
        </w:rPr>
        <w:t>kompetencje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. Czerwiec 2025” </w:t>
      </w:r>
      <w:proofErr w:type="spellStart"/>
      <w:r w:rsidRPr="59AC27A9">
        <w:rPr>
          <w:b/>
          <w:bCs/>
          <w:sz w:val="24"/>
          <w:szCs w:val="24"/>
          <w:lang w:val="en-US"/>
        </w:rPr>
        <w:t>rysuje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obraz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rynku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59AC27A9">
        <w:rPr>
          <w:b/>
          <w:bCs/>
          <w:sz w:val="24"/>
          <w:szCs w:val="24"/>
          <w:lang w:val="en-US"/>
        </w:rPr>
        <w:t>który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porzuca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stare </w:t>
      </w:r>
      <w:proofErr w:type="spellStart"/>
      <w:r w:rsidRPr="59AC27A9">
        <w:rPr>
          <w:b/>
          <w:bCs/>
          <w:sz w:val="24"/>
          <w:szCs w:val="24"/>
          <w:lang w:val="en-US"/>
        </w:rPr>
        <w:t>szablony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coraz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śmielej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eksperymentuje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– </w:t>
      </w:r>
      <w:proofErr w:type="spellStart"/>
      <w:r w:rsidRPr="59AC27A9">
        <w:rPr>
          <w:b/>
          <w:bCs/>
          <w:sz w:val="24"/>
          <w:szCs w:val="24"/>
          <w:lang w:val="en-US"/>
        </w:rPr>
        <w:t>zarówno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w </w:t>
      </w:r>
      <w:proofErr w:type="spellStart"/>
      <w:r w:rsidRPr="59AC27A9">
        <w:rPr>
          <w:b/>
          <w:bCs/>
          <w:sz w:val="24"/>
          <w:szCs w:val="24"/>
          <w:lang w:val="en-US"/>
        </w:rPr>
        <w:t>rekrutacji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59AC27A9">
        <w:rPr>
          <w:b/>
          <w:bCs/>
          <w:sz w:val="24"/>
          <w:szCs w:val="24"/>
          <w:lang w:val="en-US"/>
        </w:rPr>
        <w:t>organizacji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pracy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, jak </w:t>
      </w:r>
      <w:proofErr w:type="spellStart"/>
      <w:r w:rsidRPr="59AC27A9">
        <w:rPr>
          <w:b/>
          <w:bCs/>
          <w:sz w:val="24"/>
          <w:szCs w:val="24"/>
          <w:lang w:val="en-US"/>
        </w:rPr>
        <w:t>i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59AC27A9">
        <w:rPr>
          <w:b/>
          <w:bCs/>
          <w:sz w:val="24"/>
          <w:szCs w:val="24"/>
          <w:lang w:val="en-US"/>
        </w:rPr>
        <w:t>podejściu</w:t>
      </w:r>
      <w:proofErr w:type="spellEnd"/>
      <w:r w:rsidRPr="59AC27A9">
        <w:rPr>
          <w:b/>
          <w:bCs/>
          <w:sz w:val="24"/>
          <w:szCs w:val="24"/>
          <w:lang w:val="en-US"/>
        </w:rPr>
        <w:t xml:space="preserve"> do </w:t>
      </w:r>
      <w:proofErr w:type="spellStart"/>
      <w:r w:rsidRPr="59AC27A9">
        <w:rPr>
          <w:b/>
          <w:bCs/>
          <w:sz w:val="24"/>
          <w:szCs w:val="24"/>
          <w:lang w:val="en-US"/>
        </w:rPr>
        <w:t>talentów</w:t>
      </w:r>
      <w:proofErr w:type="spellEnd"/>
      <w:r w:rsidRPr="59AC27A9">
        <w:rPr>
          <w:b/>
          <w:bCs/>
          <w:sz w:val="24"/>
          <w:szCs w:val="24"/>
          <w:lang w:val="en-US"/>
        </w:rPr>
        <w:t>.</w:t>
      </w:r>
    </w:p>
    <w:p w14:paraId="55BE7979" w14:textId="7DBF468A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Polski rynek pracy nigdy nie był tak pełen kontrastów jak dziś. Z jednej strony sytuacja </w:t>
      </w:r>
      <w:r w:rsidR="00EF5925">
        <w:rPr>
          <w:sz w:val="24"/>
          <w:szCs w:val="24"/>
        </w:rPr>
        <w:t xml:space="preserve">jest stabilna </w:t>
      </w:r>
      <w:r w:rsidRPr="59AC27A9">
        <w:rPr>
          <w:sz w:val="24"/>
          <w:szCs w:val="24"/>
        </w:rPr>
        <w:t xml:space="preserve">– stopa bezrobocia rejestrowanego </w:t>
      </w:r>
      <w:r w:rsidR="00EF5925">
        <w:rPr>
          <w:sz w:val="24"/>
          <w:szCs w:val="24"/>
        </w:rPr>
        <w:t xml:space="preserve">wciąż </w:t>
      </w:r>
      <w:r w:rsidRPr="59AC27A9">
        <w:rPr>
          <w:sz w:val="24"/>
          <w:szCs w:val="24"/>
        </w:rPr>
        <w:t>utrzymuje się na</w:t>
      </w:r>
      <w:r w:rsidR="00EF5925">
        <w:rPr>
          <w:sz w:val="24"/>
          <w:szCs w:val="24"/>
        </w:rPr>
        <w:t xml:space="preserve"> bardzo niskim</w:t>
      </w:r>
      <w:r w:rsidRPr="59AC27A9">
        <w:rPr>
          <w:sz w:val="24"/>
          <w:szCs w:val="24"/>
        </w:rPr>
        <w:t xml:space="preserve"> poziomie, a sporo branż </w:t>
      </w:r>
      <w:r w:rsidR="00EF5925">
        <w:rPr>
          <w:sz w:val="24"/>
          <w:szCs w:val="24"/>
        </w:rPr>
        <w:t>nadal</w:t>
      </w:r>
      <w:r w:rsidR="00EF5925" w:rsidRPr="59AC27A9">
        <w:rPr>
          <w:sz w:val="24"/>
          <w:szCs w:val="24"/>
        </w:rPr>
        <w:t xml:space="preserve"> </w:t>
      </w:r>
      <w:r w:rsidRPr="59AC27A9">
        <w:rPr>
          <w:sz w:val="24"/>
          <w:szCs w:val="24"/>
        </w:rPr>
        <w:t xml:space="preserve">aktywnie poszukuje pracowników. </w:t>
      </w:r>
      <w:r w:rsidR="00EF5925">
        <w:rPr>
          <w:sz w:val="24"/>
          <w:szCs w:val="24"/>
        </w:rPr>
        <w:t>Je</w:t>
      </w:r>
      <w:r w:rsidRPr="59AC27A9">
        <w:rPr>
          <w:sz w:val="24"/>
          <w:szCs w:val="24"/>
        </w:rPr>
        <w:t xml:space="preserve">dnak wyzwania mnożą się i nabierają realnej wagi: problem długotrwałego bezrobocia wciąż nie znajduje skutecznego rozwiązania, z roku na rok rośnie liczba stanowisk wymagających wysokich kwalifikacji, a polscy pracownicy coraz śmielej domagają się większej </w:t>
      </w:r>
      <w:r w:rsidR="00EF5925">
        <w:rPr>
          <w:sz w:val="24"/>
          <w:szCs w:val="24"/>
        </w:rPr>
        <w:t xml:space="preserve">niezależności </w:t>
      </w:r>
      <w:r w:rsidRPr="59AC27A9">
        <w:rPr>
          <w:sz w:val="24"/>
          <w:szCs w:val="24"/>
        </w:rPr>
        <w:t>i równowagi między życiem prywatnym a zawodowym.</w:t>
      </w:r>
    </w:p>
    <w:p w14:paraId="65B8B859" w14:textId="3EEB8DA0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>W najnowszym raporcie PARP wyraźnie widać moment przełomu – to czas ostrożnej stabilizacji,</w:t>
      </w:r>
      <w:r w:rsidR="00EF5925">
        <w:rPr>
          <w:sz w:val="24"/>
          <w:szCs w:val="24"/>
        </w:rPr>
        <w:t xml:space="preserve"> a także</w:t>
      </w:r>
      <w:r w:rsidRPr="59AC27A9">
        <w:rPr>
          <w:sz w:val="24"/>
          <w:szCs w:val="24"/>
        </w:rPr>
        <w:t xml:space="preserve"> zapowiedź wyzwań, które mogą na nowo zdefiniować, dla kogo, jak i na jakich zasadach tworzy się w Polsce miejsca pracy. To już nie jest ten sam rynek co dekadę temu</w:t>
      </w:r>
      <w:r w:rsidR="00EF5925">
        <w:rPr>
          <w:sz w:val="24"/>
          <w:szCs w:val="24"/>
        </w:rPr>
        <w:t>,</w:t>
      </w:r>
      <w:r w:rsidRPr="59AC27A9">
        <w:rPr>
          <w:sz w:val="24"/>
          <w:szCs w:val="24"/>
        </w:rPr>
        <w:t xml:space="preserve"> a jego przyszły kształt zależy od dzisiejszych wyborów przedsiębiorców i pracowników.</w:t>
      </w:r>
    </w:p>
    <w:p w14:paraId="6DC912FB" w14:textId="08BCB3EC" w:rsidR="5E23FDF0" w:rsidRPr="00727D04" w:rsidRDefault="5E23FDF0" w:rsidP="00727D04">
      <w:pPr>
        <w:pStyle w:val="Nagwek2"/>
        <w:spacing w:before="120" w:after="120" w:line="276" w:lineRule="auto"/>
      </w:pPr>
      <w:r w:rsidRPr="00727D04">
        <w:t>Długotrwałe bezrobocie. Problem, którego nie widać w mainstreamie</w:t>
      </w:r>
    </w:p>
    <w:p w14:paraId="708BB7D7" w14:textId="6DA501B9" w:rsidR="5E23FDF0" w:rsidRDefault="5E23FDF0" w:rsidP="00727D04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 w:rsidRPr="59AC27A9">
        <w:rPr>
          <w:sz w:val="24"/>
          <w:szCs w:val="24"/>
          <w:lang w:val="en-US"/>
        </w:rPr>
        <w:t>Oficjalna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stopa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bezrobocia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rejestrowanego</w:t>
      </w:r>
      <w:proofErr w:type="spellEnd"/>
      <w:r w:rsidRPr="59AC27A9">
        <w:rPr>
          <w:sz w:val="24"/>
          <w:szCs w:val="24"/>
          <w:lang w:val="en-US"/>
        </w:rPr>
        <w:t xml:space="preserve"> w </w:t>
      </w:r>
      <w:proofErr w:type="spellStart"/>
      <w:r w:rsidRPr="59AC27A9">
        <w:rPr>
          <w:sz w:val="24"/>
          <w:szCs w:val="24"/>
          <w:lang w:val="en-US"/>
        </w:rPr>
        <w:t>maju</w:t>
      </w:r>
      <w:proofErr w:type="spellEnd"/>
      <w:r w:rsidRPr="59AC27A9">
        <w:rPr>
          <w:sz w:val="24"/>
          <w:szCs w:val="24"/>
          <w:lang w:val="en-US"/>
        </w:rPr>
        <w:t xml:space="preserve"> 2025 </w:t>
      </w:r>
      <w:proofErr w:type="spellStart"/>
      <w:r w:rsidRPr="59AC27A9">
        <w:rPr>
          <w:sz w:val="24"/>
          <w:szCs w:val="24"/>
          <w:lang w:val="en-US"/>
        </w:rPr>
        <w:t>roku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wy</w:t>
      </w:r>
      <w:r w:rsidR="00EF5925">
        <w:rPr>
          <w:sz w:val="24"/>
          <w:szCs w:val="24"/>
          <w:lang w:val="en-US"/>
        </w:rPr>
        <w:t>niosła</w:t>
      </w:r>
      <w:proofErr w:type="spellEnd"/>
      <w:r w:rsidRPr="59AC27A9">
        <w:rPr>
          <w:sz w:val="24"/>
          <w:szCs w:val="24"/>
          <w:lang w:val="en-US"/>
        </w:rPr>
        <w:t xml:space="preserve"> 5%. Ale pod </w:t>
      </w:r>
      <w:proofErr w:type="spellStart"/>
      <w:r w:rsidRPr="59AC27A9">
        <w:rPr>
          <w:sz w:val="24"/>
          <w:szCs w:val="24"/>
          <w:lang w:val="en-US"/>
        </w:rPr>
        <w:t>tą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stabilną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liczbą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kryje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się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głębszy</w:t>
      </w:r>
      <w:proofErr w:type="spellEnd"/>
      <w:r w:rsidRPr="59AC27A9">
        <w:rPr>
          <w:sz w:val="24"/>
          <w:szCs w:val="24"/>
          <w:lang w:val="en-US"/>
        </w:rPr>
        <w:t xml:space="preserve"> problem: </w:t>
      </w:r>
      <w:proofErr w:type="spellStart"/>
      <w:r w:rsidRPr="59AC27A9">
        <w:rPr>
          <w:sz w:val="24"/>
          <w:szCs w:val="24"/>
          <w:lang w:val="en-US"/>
        </w:rPr>
        <w:t>niemal</w:t>
      </w:r>
      <w:proofErr w:type="spellEnd"/>
      <w:r w:rsidRPr="59AC27A9">
        <w:rPr>
          <w:sz w:val="24"/>
          <w:szCs w:val="24"/>
          <w:lang w:val="en-US"/>
        </w:rPr>
        <w:t xml:space="preserve"> co </w:t>
      </w:r>
      <w:proofErr w:type="spellStart"/>
      <w:r w:rsidRPr="59AC27A9">
        <w:rPr>
          <w:sz w:val="24"/>
          <w:szCs w:val="24"/>
          <w:lang w:val="en-US"/>
        </w:rPr>
        <w:t>piąty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bezrobotny</w:t>
      </w:r>
      <w:proofErr w:type="spellEnd"/>
      <w:r w:rsidRPr="59AC27A9">
        <w:rPr>
          <w:sz w:val="24"/>
          <w:szCs w:val="24"/>
          <w:lang w:val="en-US"/>
        </w:rPr>
        <w:t xml:space="preserve"> (22,7%) </w:t>
      </w:r>
      <w:proofErr w:type="spellStart"/>
      <w:r w:rsidRPr="59AC27A9">
        <w:rPr>
          <w:sz w:val="24"/>
          <w:szCs w:val="24"/>
          <w:lang w:val="en-US"/>
        </w:rPr>
        <w:t>nie</w:t>
      </w:r>
      <w:proofErr w:type="spellEnd"/>
      <w:r w:rsidRPr="59AC27A9">
        <w:rPr>
          <w:sz w:val="24"/>
          <w:szCs w:val="24"/>
          <w:lang w:val="en-US"/>
        </w:rPr>
        <w:t xml:space="preserve"> ma </w:t>
      </w:r>
      <w:proofErr w:type="spellStart"/>
      <w:r w:rsidRPr="59AC27A9">
        <w:rPr>
          <w:sz w:val="24"/>
          <w:szCs w:val="24"/>
          <w:lang w:val="en-US"/>
        </w:rPr>
        <w:t>pracy</w:t>
      </w:r>
      <w:proofErr w:type="spellEnd"/>
      <w:r w:rsidRPr="59AC27A9">
        <w:rPr>
          <w:sz w:val="24"/>
          <w:szCs w:val="24"/>
          <w:lang w:val="en-US"/>
        </w:rPr>
        <w:t xml:space="preserve"> od </w:t>
      </w:r>
      <w:proofErr w:type="spellStart"/>
      <w:r w:rsidRPr="59AC27A9">
        <w:rPr>
          <w:sz w:val="24"/>
          <w:szCs w:val="24"/>
          <w:lang w:val="en-US"/>
        </w:rPr>
        <w:t>ponad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dwóch</w:t>
      </w:r>
      <w:proofErr w:type="spellEnd"/>
      <w:r w:rsidRPr="59AC27A9">
        <w:rPr>
          <w:sz w:val="24"/>
          <w:szCs w:val="24"/>
          <w:lang w:val="en-US"/>
        </w:rPr>
        <w:t xml:space="preserve"> lat. To </w:t>
      </w:r>
      <w:proofErr w:type="spellStart"/>
      <w:r w:rsidRPr="59AC27A9">
        <w:rPr>
          <w:sz w:val="24"/>
          <w:szCs w:val="24"/>
          <w:lang w:val="en-US"/>
        </w:rPr>
        <w:t>kluczowy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wskaźnik</w:t>
      </w:r>
      <w:proofErr w:type="spellEnd"/>
      <w:r w:rsidRPr="59AC27A9">
        <w:rPr>
          <w:sz w:val="24"/>
          <w:szCs w:val="24"/>
          <w:lang w:val="en-US"/>
        </w:rPr>
        <w:t xml:space="preserve">, </w:t>
      </w:r>
      <w:proofErr w:type="spellStart"/>
      <w:r w:rsidRPr="59AC27A9">
        <w:rPr>
          <w:sz w:val="24"/>
          <w:szCs w:val="24"/>
          <w:lang w:val="en-US"/>
        </w:rPr>
        <w:t>bo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im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dłużej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trwa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okres</w:t>
      </w:r>
      <w:proofErr w:type="spellEnd"/>
      <w:r w:rsidRPr="59AC27A9">
        <w:rPr>
          <w:sz w:val="24"/>
          <w:szCs w:val="24"/>
          <w:lang w:val="en-US"/>
        </w:rPr>
        <w:t xml:space="preserve"> bez </w:t>
      </w:r>
      <w:proofErr w:type="spellStart"/>
      <w:r w:rsidRPr="59AC27A9">
        <w:rPr>
          <w:sz w:val="24"/>
          <w:szCs w:val="24"/>
          <w:lang w:val="en-US"/>
        </w:rPr>
        <w:t>pracy</w:t>
      </w:r>
      <w:proofErr w:type="spellEnd"/>
      <w:r w:rsidRPr="59AC27A9">
        <w:rPr>
          <w:sz w:val="24"/>
          <w:szCs w:val="24"/>
          <w:lang w:val="en-US"/>
        </w:rPr>
        <w:t xml:space="preserve">, </w:t>
      </w:r>
      <w:proofErr w:type="spellStart"/>
      <w:r w:rsidRPr="59AC27A9">
        <w:rPr>
          <w:sz w:val="24"/>
          <w:szCs w:val="24"/>
          <w:lang w:val="en-US"/>
        </w:rPr>
        <w:t>tym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trudniejszy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staje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się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powrót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rynek</w:t>
      </w:r>
      <w:proofErr w:type="spellEnd"/>
      <w:r w:rsidRPr="59AC27A9">
        <w:rPr>
          <w:sz w:val="24"/>
          <w:szCs w:val="24"/>
          <w:lang w:val="en-US"/>
        </w:rPr>
        <w:t xml:space="preserve"> – </w:t>
      </w:r>
      <w:proofErr w:type="spellStart"/>
      <w:r w:rsidRPr="59AC27A9">
        <w:rPr>
          <w:sz w:val="24"/>
          <w:szCs w:val="24"/>
          <w:lang w:val="en-US"/>
        </w:rPr>
        <w:t>rosną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luki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kompetencyjne</w:t>
      </w:r>
      <w:proofErr w:type="spellEnd"/>
      <w:r w:rsidRPr="59AC27A9">
        <w:rPr>
          <w:sz w:val="24"/>
          <w:szCs w:val="24"/>
          <w:lang w:val="en-US"/>
        </w:rPr>
        <w:t xml:space="preserve">, </w:t>
      </w:r>
      <w:proofErr w:type="spellStart"/>
      <w:r w:rsidRPr="59AC27A9">
        <w:rPr>
          <w:sz w:val="24"/>
          <w:szCs w:val="24"/>
          <w:lang w:val="en-US"/>
        </w:rPr>
        <w:t>spada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poczucie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własnej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wartości</w:t>
      </w:r>
      <w:proofErr w:type="spellEnd"/>
      <w:r w:rsidRPr="59AC27A9">
        <w:rPr>
          <w:sz w:val="24"/>
          <w:szCs w:val="24"/>
          <w:lang w:val="en-US"/>
        </w:rPr>
        <w:t xml:space="preserve">, a </w:t>
      </w:r>
      <w:proofErr w:type="spellStart"/>
      <w:r w:rsidRPr="59AC27A9">
        <w:rPr>
          <w:sz w:val="24"/>
          <w:szCs w:val="24"/>
          <w:lang w:val="en-US"/>
        </w:rPr>
        <w:t>wielu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długotrwale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poszukujących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zatrudnienia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stopniowo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traci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motywację</w:t>
      </w:r>
      <w:proofErr w:type="spellEnd"/>
      <w:r w:rsidRPr="59AC27A9">
        <w:rPr>
          <w:sz w:val="24"/>
          <w:szCs w:val="24"/>
          <w:lang w:val="en-US"/>
        </w:rPr>
        <w:t xml:space="preserve"> do </w:t>
      </w:r>
      <w:proofErr w:type="spellStart"/>
      <w:r w:rsidRPr="59AC27A9">
        <w:rPr>
          <w:sz w:val="24"/>
          <w:szCs w:val="24"/>
          <w:lang w:val="en-US"/>
        </w:rPr>
        <w:t>dalszych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poszukiwań</w:t>
      </w:r>
      <w:proofErr w:type="spellEnd"/>
      <w:r w:rsidRPr="59AC27A9">
        <w:rPr>
          <w:sz w:val="24"/>
          <w:szCs w:val="24"/>
          <w:lang w:val="en-US"/>
        </w:rPr>
        <w:t>.</w:t>
      </w:r>
    </w:p>
    <w:p w14:paraId="1B2145C3" w14:textId="6E4004CC" w:rsidR="5E23FDF0" w:rsidRDefault="5E23FDF0" w:rsidP="00727D04">
      <w:pPr>
        <w:spacing w:before="120" w:after="120" w:line="276" w:lineRule="auto"/>
        <w:rPr>
          <w:sz w:val="24"/>
          <w:szCs w:val="24"/>
          <w:lang w:val="en-US"/>
        </w:rPr>
      </w:pPr>
      <w:r w:rsidRPr="59AC27A9">
        <w:rPr>
          <w:sz w:val="24"/>
          <w:szCs w:val="24"/>
          <w:lang w:val="en-US"/>
        </w:rPr>
        <w:t xml:space="preserve">W </w:t>
      </w:r>
      <w:proofErr w:type="spellStart"/>
      <w:r w:rsidRPr="59AC27A9">
        <w:rPr>
          <w:sz w:val="24"/>
          <w:szCs w:val="24"/>
          <w:lang w:val="en-US"/>
        </w:rPr>
        <w:t>regionach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różnice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jeszcze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mocniej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widoczne</w:t>
      </w:r>
      <w:proofErr w:type="spellEnd"/>
      <w:r w:rsidRPr="59AC27A9">
        <w:rPr>
          <w:sz w:val="24"/>
          <w:szCs w:val="24"/>
          <w:lang w:val="en-US"/>
        </w:rPr>
        <w:t xml:space="preserve"> – tam, </w:t>
      </w:r>
      <w:proofErr w:type="spellStart"/>
      <w:r w:rsidRPr="59AC27A9">
        <w:rPr>
          <w:sz w:val="24"/>
          <w:szCs w:val="24"/>
          <w:lang w:val="en-US"/>
        </w:rPr>
        <w:t>gdzie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bezrobocie</w:t>
      </w:r>
      <w:proofErr w:type="spellEnd"/>
      <w:r w:rsidRPr="59AC27A9">
        <w:rPr>
          <w:sz w:val="24"/>
          <w:szCs w:val="24"/>
          <w:lang w:val="en-US"/>
        </w:rPr>
        <w:t xml:space="preserve"> jest </w:t>
      </w:r>
      <w:proofErr w:type="spellStart"/>
      <w:r w:rsidRPr="59AC27A9">
        <w:rPr>
          <w:sz w:val="24"/>
          <w:szCs w:val="24"/>
          <w:lang w:val="en-US"/>
        </w:rPr>
        <w:t>dwukrotnie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wyższe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od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średniej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krajowej</w:t>
      </w:r>
      <w:proofErr w:type="spellEnd"/>
      <w:r w:rsidRPr="59AC27A9">
        <w:rPr>
          <w:sz w:val="24"/>
          <w:szCs w:val="24"/>
          <w:lang w:val="en-US"/>
        </w:rPr>
        <w:t xml:space="preserve">, </w:t>
      </w:r>
      <w:proofErr w:type="spellStart"/>
      <w:r w:rsidRPr="59AC27A9">
        <w:rPr>
          <w:sz w:val="24"/>
          <w:szCs w:val="24"/>
          <w:lang w:val="en-US"/>
        </w:rPr>
        <w:t>podstawowe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narzędzia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zupełnie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wystarczą</w:t>
      </w:r>
      <w:proofErr w:type="spellEnd"/>
      <w:r w:rsidRPr="59AC27A9">
        <w:rPr>
          <w:sz w:val="24"/>
          <w:szCs w:val="24"/>
          <w:lang w:val="en-US"/>
        </w:rPr>
        <w:t xml:space="preserve"> do </w:t>
      </w:r>
      <w:proofErr w:type="spellStart"/>
      <w:r w:rsidRPr="59AC27A9">
        <w:rPr>
          <w:sz w:val="24"/>
          <w:szCs w:val="24"/>
          <w:lang w:val="en-US"/>
        </w:rPr>
        <w:t>zdiagnozowania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poprawy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sytuacji</w:t>
      </w:r>
      <w:proofErr w:type="spellEnd"/>
      <w:r w:rsidRPr="59AC27A9">
        <w:rPr>
          <w:sz w:val="24"/>
          <w:szCs w:val="24"/>
          <w:lang w:val="en-US"/>
        </w:rPr>
        <w:t xml:space="preserve">. W </w:t>
      </w:r>
      <w:proofErr w:type="spellStart"/>
      <w:r w:rsidRPr="59AC27A9">
        <w:rPr>
          <w:sz w:val="24"/>
          <w:szCs w:val="24"/>
          <w:lang w:val="en-US"/>
        </w:rPr>
        <w:t>województwie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podkarpackim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warmińsko-mazurskim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bezrobocie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przekracza</w:t>
      </w:r>
      <w:proofErr w:type="spellEnd"/>
      <w:r w:rsidRPr="59AC27A9">
        <w:rPr>
          <w:sz w:val="24"/>
          <w:szCs w:val="24"/>
          <w:lang w:val="en-US"/>
        </w:rPr>
        <w:t xml:space="preserve"> 8%, </w:t>
      </w:r>
      <w:proofErr w:type="spellStart"/>
      <w:r w:rsidRPr="59AC27A9">
        <w:rPr>
          <w:sz w:val="24"/>
          <w:szCs w:val="24"/>
          <w:lang w:val="en-US"/>
        </w:rPr>
        <w:t>czyli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nawet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dwukrotnie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więcej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niż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średnia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krajowa</w:t>
      </w:r>
      <w:proofErr w:type="spellEnd"/>
      <w:r w:rsidRPr="59AC27A9">
        <w:rPr>
          <w:sz w:val="24"/>
          <w:szCs w:val="24"/>
          <w:lang w:val="en-US"/>
        </w:rPr>
        <w:t xml:space="preserve">. W </w:t>
      </w:r>
      <w:proofErr w:type="spellStart"/>
      <w:r w:rsidRPr="59AC27A9">
        <w:rPr>
          <w:sz w:val="24"/>
          <w:szCs w:val="24"/>
          <w:lang w:val="en-US"/>
        </w:rPr>
        <w:t>regionach</w:t>
      </w:r>
      <w:proofErr w:type="spellEnd"/>
      <w:r w:rsidRPr="59AC27A9">
        <w:rPr>
          <w:sz w:val="24"/>
          <w:szCs w:val="24"/>
          <w:lang w:val="en-US"/>
        </w:rPr>
        <w:t xml:space="preserve"> o </w:t>
      </w:r>
      <w:proofErr w:type="spellStart"/>
      <w:r w:rsidRPr="59AC27A9">
        <w:rPr>
          <w:sz w:val="24"/>
          <w:szCs w:val="24"/>
          <w:lang w:val="en-US"/>
        </w:rPr>
        <w:t>trudniejszej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sytuacji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gospodarczej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długotrwale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bezrobotnych</w:t>
      </w:r>
      <w:proofErr w:type="spellEnd"/>
      <w:r w:rsidRPr="59AC27A9">
        <w:rPr>
          <w:sz w:val="24"/>
          <w:szCs w:val="24"/>
          <w:lang w:val="en-US"/>
        </w:rPr>
        <w:t xml:space="preserve"> jest </w:t>
      </w:r>
      <w:proofErr w:type="spellStart"/>
      <w:r w:rsidRPr="59AC27A9">
        <w:rPr>
          <w:sz w:val="24"/>
          <w:szCs w:val="24"/>
          <w:lang w:val="en-US"/>
        </w:rPr>
        <w:t>więcej</w:t>
      </w:r>
      <w:proofErr w:type="spellEnd"/>
      <w:r w:rsidRPr="59AC27A9">
        <w:rPr>
          <w:sz w:val="24"/>
          <w:szCs w:val="24"/>
          <w:lang w:val="en-US"/>
        </w:rPr>
        <w:t xml:space="preserve">, a </w:t>
      </w:r>
      <w:proofErr w:type="spellStart"/>
      <w:r w:rsidRPr="59AC27A9">
        <w:rPr>
          <w:sz w:val="24"/>
          <w:szCs w:val="24"/>
          <w:lang w:val="en-US"/>
        </w:rPr>
        <w:t>realna</w:t>
      </w:r>
      <w:proofErr w:type="spellEnd"/>
      <w:r w:rsidRPr="59AC27A9">
        <w:rPr>
          <w:sz w:val="24"/>
          <w:szCs w:val="24"/>
          <w:lang w:val="en-US"/>
        </w:rPr>
        <w:t xml:space="preserve"> „</w:t>
      </w:r>
      <w:proofErr w:type="spellStart"/>
      <w:r w:rsidRPr="59AC27A9">
        <w:rPr>
          <w:sz w:val="24"/>
          <w:szCs w:val="24"/>
          <w:lang w:val="en-US"/>
        </w:rPr>
        <w:t>dostępność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pracy</w:t>
      </w:r>
      <w:proofErr w:type="spellEnd"/>
      <w:r w:rsidRPr="59AC27A9">
        <w:rPr>
          <w:sz w:val="24"/>
          <w:szCs w:val="24"/>
          <w:lang w:val="en-US"/>
        </w:rPr>
        <w:t xml:space="preserve">” </w:t>
      </w:r>
      <w:proofErr w:type="spellStart"/>
      <w:r w:rsidRPr="59AC27A9">
        <w:rPr>
          <w:sz w:val="24"/>
          <w:szCs w:val="24"/>
          <w:lang w:val="en-US"/>
        </w:rPr>
        <w:t>wyraźnie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mniejsza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niż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sugerują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ogólnopolskie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wskaźniki</w:t>
      </w:r>
      <w:proofErr w:type="spellEnd"/>
      <w:r w:rsidRPr="59AC27A9">
        <w:rPr>
          <w:sz w:val="24"/>
          <w:szCs w:val="24"/>
          <w:lang w:val="en-US"/>
        </w:rPr>
        <w:t xml:space="preserve">. Jak </w:t>
      </w:r>
      <w:proofErr w:type="spellStart"/>
      <w:r w:rsidR="00EF5925">
        <w:rPr>
          <w:sz w:val="24"/>
          <w:szCs w:val="24"/>
          <w:lang w:val="en-US"/>
        </w:rPr>
        <w:t>pokazuje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r w:rsidRPr="59AC27A9">
        <w:rPr>
          <w:sz w:val="24"/>
          <w:szCs w:val="24"/>
          <w:lang w:val="en-US"/>
        </w:rPr>
        <w:lastRenderedPageBreak/>
        <w:t xml:space="preserve">raport PARP, w </w:t>
      </w:r>
      <w:proofErr w:type="spellStart"/>
      <w:r w:rsidRPr="59AC27A9">
        <w:rPr>
          <w:sz w:val="24"/>
          <w:szCs w:val="24"/>
          <w:lang w:val="en-US"/>
        </w:rPr>
        <w:t>niektórych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częściach</w:t>
      </w:r>
      <w:proofErr w:type="spellEnd"/>
      <w:r w:rsidRPr="59AC27A9">
        <w:rPr>
          <w:sz w:val="24"/>
          <w:szCs w:val="24"/>
          <w:lang w:val="en-US"/>
        </w:rPr>
        <w:t xml:space="preserve"> Polski </w:t>
      </w:r>
      <w:proofErr w:type="spellStart"/>
      <w:r w:rsidRPr="59AC27A9">
        <w:rPr>
          <w:sz w:val="24"/>
          <w:szCs w:val="24"/>
          <w:lang w:val="en-US"/>
        </w:rPr>
        <w:t>jeden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wakat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przypada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nawet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na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kilkudziesięciu</w:t>
      </w:r>
      <w:proofErr w:type="spellEnd"/>
      <w:r w:rsidRPr="59AC27A9">
        <w:rPr>
          <w:sz w:val="24"/>
          <w:szCs w:val="24"/>
          <w:lang w:val="en-US"/>
        </w:rPr>
        <w:t xml:space="preserve"> </w:t>
      </w:r>
      <w:proofErr w:type="spellStart"/>
      <w:r w:rsidRPr="59AC27A9">
        <w:rPr>
          <w:sz w:val="24"/>
          <w:szCs w:val="24"/>
          <w:lang w:val="en-US"/>
        </w:rPr>
        <w:t>kandydatów</w:t>
      </w:r>
      <w:proofErr w:type="spellEnd"/>
      <w:r w:rsidRPr="59AC27A9">
        <w:rPr>
          <w:sz w:val="24"/>
          <w:szCs w:val="24"/>
          <w:lang w:val="en-US"/>
        </w:rPr>
        <w:t>.</w:t>
      </w:r>
    </w:p>
    <w:p w14:paraId="75A02034" w14:textId="67CD3C63" w:rsidR="5E23FDF0" w:rsidRDefault="5E23FDF0" w:rsidP="00727D04">
      <w:pPr>
        <w:pStyle w:val="Nagwek2"/>
        <w:spacing w:before="120" w:after="120" w:line="276" w:lineRule="auto"/>
        <w:rPr>
          <w:lang w:val="en-US"/>
        </w:rPr>
      </w:pPr>
      <w:proofErr w:type="spellStart"/>
      <w:r w:rsidRPr="59AC27A9">
        <w:rPr>
          <w:lang w:val="en-US"/>
        </w:rPr>
        <w:t>Ostrożność</w:t>
      </w:r>
      <w:proofErr w:type="spellEnd"/>
      <w:r w:rsidRPr="59AC27A9">
        <w:rPr>
          <w:lang w:val="en-US"/>
        </w:rPr>
        <w:t xml:space="preserve"> to </w:t>
      </w:r>
      <w:proofErr w:type="spellStart"/>
      <w:r w:rsidRPr="59AC27A9">
        <w:rPr>
          <w:lang w:val="en-US"/>
        </w:rPr>
        <w:t>nowy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paradygmat</w:t>
      </w:r>
      <w:proofErr w:type="spellEnd"/>
    </w:p>
    <w:p w14:paraId="494F1EC0" w14:textId="29050A36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Firmy w Polsce coraz ostrożniej podchodzą do zatrudniania nowych pracowników. Z danych </w:t>
      </w:r>
      <w:proofErr w:type="spellStart"/>
      <w:r w:rsidRPr="59AC27A9">
        <w:rPr>
          <w:sz w:val="24"/>
          <w:szCs w:val="24"/>
        </w:rPr>
        <w:t>Randstad</w:t>
      </w:r>
      <w:proofErr w:type="spellEnd"/>
      <w:r w:rsidRPr="59AC27A9">
        <w:rPr>
          <w:sz w:val="24"/>
          <w:szCs w:val="24"/>
        </w:rPr>
        <w:t xml:space="preserve"> wynika, że tylko 18% firm planuje zwiększyć zatrudnienie w drugiej połowie 2025 roku (spadek o 10 </w:t>
      </w:r>
      <w:proofErr w:type="spellStart"/>
      <w:r w:rsidR="00EF5925" w:rsidRPr="59AC27A9">
        <w:rPr>
          <w:sz w:val="24"/>
          <w:szCs w:val="24"/>
        </w:rPr>
        <w:t>p</w:t>
      </w:r>
      <w:r w:rsidR="00EF5925">
        <w:rPr>
          <w:sz w:val="24"/>
          <w:szCs w:val="24"/>
        </w:rPr>
        <w:t>.</w:t>
      </w:r>
      <w:r w:rsidR="00EF5925" w:rsidRPr="59AC27A9">
        <w:rPr>
          <w:sz w:val="24"/>
          <w:szCs w:val="24"/>
        </w:rPr>
        <w:t>p</w:t>
      </w:r>
      <w:proofErr w:type="spellEnd"/>
      <w:r w:rsidR="00EF5925" w:rsidRPr="59AC27A9">
        <w:rPr>
          <w:sz w:val="24"/>
          <w:szCs w:val="24"/>
        </w:rPr>
        <w:t>.</w:t>
      </w:r>
      <w:r w:rsidRPr="59AC27A9">
        <w:rPr>
          <w:sz w:val="24"/>
          <w:szCs w:val="24"/>
        </w:rPr>
        <w:t xml:space="preserve"> względem początku roku). Jednocześnie z 8% do 5% spadał odsetek pracodawców skłonnych do redukcji etatów – większość firm deklaruje kadrowy status quo.</w:t>
      </w:r>
    </w:p>
    <w:p w14:paraId="49A1C4F7" w14:textId="1DEB8F99" w:rsidR="5E23FDF0" w:rsidRDefault="004D50B2" w:rsidP="00727D0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 porównaniu do</w:t>
      </w:r>
      <w:r w:rsidRPr="59AC27A9">
        <w:rPr>
          <w:sz w:val="24"/>
          <w:szCs w:val="24"/>
        </w:rPr>
        <w:t xml:space="preserve"> </w:t>
      </w:r>
      <w:r w:rsidR="5E23FDF0" w:rsidRPr="59AC27A9">
        <w:rPr>
          <w:sz w:val="24"/>
          <w:szCs w:val="24"/>
        </w:rPr>
        <w:t>poprzednich lat</w:t>
      </w:r>
      <w:r>
        <w:rPr>
          <w:sz w:val="24"/>
          <w:szCs w:val="24"/>
        </w:rPr>
        <w:t xml:space="preserve"> s</w:t>
      </w:r>
      <w:r w:rsidRPr="59AC27A9">
        <w:rPr>
          <w:sz w:val="24"/>
          <w:szCs w:val="24"/>
        </w:rPr>
        <w:t>tonowaniu</w:t>
      </w:r>
      <w:r w:rsidR="5E23FDF0" w:rsidRPr="59AC27A9">
        <w:rPr>
          <w:sz w:val="24"/>
          <w:szCs w:val="24"/>
        </w:rPr>
        <w:t xml:space="preserve"> uległy także oczekiwania względem płac. Dane dotyczące maja 2025 wykazują, że mimo wzrostu średniego wynagrodzenia w przedsiębiorstwach do 8670 zł brutto (wzrost o 8,4% r/r) – w wyraźnym przeciwieństwie do zeszłego roku (47%) zaledwie 6% firm planuje kolejne podwyżki i będą to kwoty symboliczne (do 2%). Realne podniesienie wysokości pensji staje się rzadkością, a presja kosztowa zaczyna powoli studzić rynek.</w:t>
      </w:r>
    </w:p>
    <w:p w14:paraId="0CF0AFF2" w14:textId="2E3CB2FC" w:rsidR="5E23FDF0" w:rsidRDefault="5E23FDF0" w:rsidP="00727D04">
      <w:pPr>
        <w:pStyle w:val="Nagwek2"/>
        <w:spacing w:before="120" w:after="120" w:line="276" w:lineRule="auto"/>
        <w:rPr>
          <w:lang w:val="en-US"/>
        </w:rPr>
      </w:pPr>
      <w:proofErr w:type="spellStart"/>
      <w:r w:rsidRPr="59AC27A9">
        <w:rPr>
          <w:lang w:val="en-US"/>
        </w:rPr>
        <w:t>Potencjał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kandydatów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ważniejszy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niż</w:t>
      </w:r>
      <w:proofErr w:type="spellEnd"/>
      <w:r w:rsidRPr="59AC27A9">
        <w:rPr>
          <w:lang w:val="en-US"/>
        </w:rPr>
        <w:t xml:space="preserve"> CV</w:t>
      </w:r>
    </w:p>
    <w:p w14:paraId="5EA54D42" w14:textId="1DE66E85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W Polskim HR widać dziś nie jedną, a wiele rewolucji – jeszcze nie tak dawno kariera kandydata zależała od zapisu w CV oraz spełnienia twardych wymagań </w:t>
      </w:r>
      <w:r w:rsidR="004D50B2">
        <w:rPr>
          <w:sz w:val="24"/>
          <w:szCs w:val="24"/>
        </w:rPr>
        <w:t>zawartych</w:t>
      </w:r>
      <w:r w:rsidR="004D50B2" w:rsidRPr="59AC27A9">
        <w:rPr>
          <w:sz w:val="24"/>
          <w:szCs w:val="24"/>
        </w:rPr>
        <w:t xml:space="preserve"> </w:t>
      </w:r>
      <w:r w:rsidRPr="59AC27A9">
        <w:rPr>
          <w:sz w:val="24"/>
          <w:szCs w:val="24"/>
        </w:rPr>
        <w:t>w ogłoszeni</w:t>
      </w:r>
      <w:r w:rsidR="004D50B2">
        <w:rPr>
          <w:sz w:val="24"/>
          <w:szCs w:val="24"/>
        </w:rPr>
        <w:t>u</w:t>
      </w:r>
      <w:r w:rsidRPr="59AC27A9">
        <w:rPr>
          <w:sz w:val="24"/>
          <w:szCs w:val="24"/>
        </w:rPr>
        <w:t>. Teraz, co podkreśla raport PARP, coraz wię</w:t>
      </w:r>
      <w:r w:rsidR="004D50B2">
        <w:rPr>
          <w:sz w:val="24"/>
          <w:szCs w:val="24"/>
        </w:rPr>
        <w:t>cej</w:t>
      </w:r>
      <w:r w:rsidRPr="59AC27A9">
        <w:rPr>
          <w:sz w:val="24"/>
          <w:szCs w:val="24"/>
        </w:rPr>
        <w:t xml:space="preserve"> firm </w:t>
      </w:r>
      <w:r w:rsidR="004D50B2">
        <w:rPr>
          <w:sz w:val="24"/>
          <w:szCs w:val="24"/>
        </w:rPr>
        <w:t>stawia na coś innego</w:t>
      </w:r>
      <w:r w:rsidRPr="59AC27A9">
        <w:rPr>
          <w:sz w:val="24"/>
          <w:szCs w:val="24"/>
        </w:rPr>
        <w:t xml:space="preserve"> </w:t>
      </w:r>
      <w:r w:rsidR="004D50B2" w:rsidRPr="59AC27A9">
        <w:rPr>
          <w:sz w:val="24"/>
          <w:szCs w:val="24"/>
        </w:rPr>
        <w:t>–</w:t>
      </w:r>
      <w:r w:rsidRPr="59AC27A9">
        <w:rPr>
          <w:sz w:val="24"/>
          <w:szCs w:val="24"/>
        </w:rPr>
        <w:t>gotowość do nauki, elastyczność i głód wyzwań.</w:t>
      </w:r>
    </w:p>
    <w:p w14:paraId="50240362" w14:textId="7B4CFE8D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Czego szukają pracodawcy? Przede wszystkim potencjału: aż 83% badanych organizacji deklaruje, że to właśnie nastawienie i motywacja są dziś cenniejsze niż kolejne lata stażu w danej branży. Co więcej, 71% firm woli szybciej zatrudnić osobę z mniejszym doświadczeniem, która ma potencjał do rozwoju, niż czekać na </w:t>
      </w:r>
      <w:r w:rsidR="004D50B2">
        <w:rPr>
          <w:sz w:val="24"/>
          <w:szCs w:val="24"/>
        </w:rPr>
        <w:t>„</w:t>
      </w:r>
      <w:r w:rsidRPr="59AC27A9">
        <w:rPr>
          <w:sz w:val="24"/>
          <w:szCs w:val="24"/>
        </w:rPr>
        <w:t xml:space="preserve">idealnego” kandydata. To odejście od klasycznych, nieelastycznych wymagań stało się nową strategią nie tylko w korporacjach, </w:t>
      </w:r>
      <w:r w:rsidR="004D50B2">
        <w:rPr>
          <w:sz w:val="24"/>
          <w:szCs w:val="24"/>
        </w:rPr>
        <w:t>lecz</w:t>
      </w:r>
      <w:r w:rsidRPr="59AC27A9">
        <w:rPr>
          <w:sz w:val="24"/>
          <w:szCs w:val="24"/>
        </w:rPr>
        <w:t xml:space="preserve"> także w rodzimych firmach.</w:t>
      </w:r>
    </w:p>
    <w:p w14:paraId="7B77D1B5" w14:textId="53CE5464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Niemal połowa </w:t>
      </w:r>
      <w:r w:rsidR="004D50B2">
        <w:rPr>
          <w:sz w:val="24"/>
          <w:szCs w:val="24"/>
        </w:rPr>
        <w:t>przedsiębiorstw</w:t>
      </w:r>
      <w:r w:rsidRPr="59AC27A9">
        <w:rPr>
          <w:sz w:val="24"/>
          <w:szCs w:val="24"/>
        </w:rPr>
        <w:t xml:space="preserve"> (42%) rezygnuje z tradycyjnych rozmów na rzecz testów kompetencji, praktycznych zadań czy modelu </w:t>
      </w:r>
      <w:proofErr w:type="spellStart"/>
      <w:r w:rsidRPr="59AC27A9">
        <w:rPr>
          <w:sz w:val="24"/>
          <w:szCs w:val="24"/>
        </w:rPr>
        <w:t>assessment</w:t>
      </w:r>
      <w:proofErr w:type="spellEnd"/>
      <w:r w:rsidRPr="59AC27A9">
        <w:rPr>
          <w:sz w:val="24"/>
          <w:szCs w:val="24"/>
        </w:rPr>
        <w:t xml:space="preserve"> </w:t>
      </w:r>
      <w:proofErr w:type="spellStart"/>
      <w:r w:rsidRPr="59AC27A9">
        <w:rPr>
          <w:sz w:val="24"/>
          <w:szCs w:val="24"/>
        </w:rPr>
        <w:t>center</w:t>
      </w:r>
      <w:proofErr w:type="spellEnd"/>
      <w:r w:rsidRPr="59AC27A9">
        <w:rPr>
          <w:sz w:val="24"/>
          <w:szCs w:val="24"/>
        </w:rPr>
        <w:t>, by lepiej poznać dynamikę i postawę potencjalnych pracowników. Jaką szansę dla firm i kandydatów niesie ten zwrot ku miękkim kompetencjom? Jedno jest pewne: dziś, bardziej niż kiedykolwiek, naprawdę liczy się to, co osoby biorące w rekrutacjach mogą pokazać „tu i teraz”, a nie to, co zostało wpisane w CV.</w:t>
      </w:r>
    </w:p>
    <w:p w14:paraId="42873959" w14:textId="36988B65" w:rsidR="5E23FDF0" w:rsidRDefault="5E23FDF0" w:rsidP="00727D04">
      <w:pPr>
        <w:pStyle w:val="Nagwek2"/>
        <w:spacing w:before="120" w:after="120" w:line="276" w:lineRule="auto"/>
        <w:rPr>
          <w:lang w:val="en-US"/>
        </w:rPr>
      </w:pPr>
      <w:proofErr w:type="spellStart"/>
      <w:r w:rsidRPr="59AC27A9">
        <w:rPr>
          <w:lang w:val="en-US"/>
        </w:rPr>
        <w:t>Czterodniowy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tydzień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pracy</w:t>
      </w:r>
      <w:proofErr w:type="spellEnd"/>
      <w:r w:rsidRPr="59AC27A9">
        <w:rPr>
          <w:lang w:val="en-US"/>
        </w:rPr>
        <w:t xml:space="preserve">: </w:t>
      </w:r>
      <w:proofErr w:type="spellStart"/>
      <w:r w:rsidRPr="59AC27A9">
        <w:rPr>
          <w:lang w:val="en-US"/>
        </w:rPr>
        <w:t>realna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wizja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czy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marzenie</w:t>
      </w:r>
      <w:proofErr w:type="spellEnd"/>
      <w:r w:rsidRPr="59AC27A9">
        <w:rPr>
          <w:lang w:val="en-US"/>
        </w:rPr>
        <w:t>?</w:t>
      </w:r>
    </w:p>
    <w:p w14:paraId="27FC2EB1" w14:textId="66B80A19" w:rsidR="5E23FDF0" w:rsidRDefault="004D50B2" w:rsidP="00727D0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Coraz więcej</w:t>
      </w:r>
      <w:r w:rsidR="5E23FDF0" w:rsidRPr="59AC27A9">
        <w:rPr>
          <w:sz w:val="24"/>
          <w:szCs w:val="24"/>
        </w:rPr>
        <w:t xml:space="preserve"> Polaków</w:t>
      </w:r>
      <w:r>
        <w:rPr>
          <w:sz w:val="24"/>
          <w:szCs w:val="24"/>
        </w:rPr>
        <w:t xml:space="preserve"> uważa</w:t>
      </w:r>
      <w:r w:rsidR="5E23FDF0" w:rsidRPr="59AC27A9">
        <w:rPr>
          <w:sz w:val="24"/>
          <w:szCs w:val="24"/>
        </w:rPr>
        <w:t xml:space="preserve"> czterodniowy tydzień pracy </w:t>
      </w:r>
      <w:r>
        <w:rPr>
          <w:sz w:val="24"/>
          <w:szCs w:val="24"/>
        </w:rPr>
        <w:t>za</w:t>
      </w:r>
      <w:r w:rsidRPr="59AC27A9">
        <w:rPr>
          <w:sz w:val="24"/>
          <w:szCs w:val="24"/>
        </w:rPr>
        <w:t xml:space="preserve"> </w:t>
      </w:r>
      <w:r w:rsidR="5E23FDF0" w:rsidRPr="59AC27A9">
        <w:rPr>
          <w:sz w:val="24"/>
          <w:szCs w:val="24"/>
        </w:rPr>
        <w:t>preferowany model</w:t>
      </w:r>
      <w:r>
        <w:rPr>
          <w:sz w:val="24"/>
          <w:szCs w:val="24"/>
        </w:rPr>
        <w:t xml:space="preserve"> zatrudnienia</w:t>
      </w:r>
      <w:r w:rsidR="5E23FDF0" w:rsidRPr="59AC27A9">
        <w:rPr>
          <w:sz w:val="24"/>
          <w:szCs w:val="24"/>
        </w:rPr>
        <w:t xml:space="preserve">. Z badania </w:t>
      </w:r>
      <w:proofErr w:type="spellStart"/>
      <w:r w:rsidR="5E23FDF0" w:rsidRPr="59AC27A9">
        <w:rPr>
          <w:sz w:val="24"/>
          <w:szCs w:val="24"/>
        </w:rPr>
        <w:t>Hays</w:t>
      </w:r>
      <w:proofErr w:type="spellEnd"/>
      <w:r w:rsidR="5E23FDF0" w:rsidRPr="59AC27A9">
        <w:rPr>
          <w:sz w:val="24"/>
          <w:szCs w:val="24"/>
        </w:rPr>
        <w:t xml:space="preserve"> wynika, że aż 90% specjalistów i menedżerów popiera system w układzie czterech dni (po osiem godzin), ale przy zachowaniu pełnego wynagrodzenia.</w:t>
      </w:r>
    </w:p>
    <w:p w14:paraId="261A59F9" w14:textId="5A20FBA7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>Jakie kluczowe korzyści widzą respondenci w takim rozłożeniu aktywności zawodowej?</w:t>
      </w:r>
    </w:p>
    <w:p w14:paraId="34E19059" w14:textId="1939B446" w:rsidR="5E23FDF0" w:rsidRDefault="5E23FDF0" w:rsidP="00727D04">
      <w:pPr>
        <w:pStyle w:val="Akapitzlist"/>
        <w:numPr>
          <w:ilvl w:val="0"/>
          <w:numId w:val="1"/>
        </w:numPr>
        <w:spacing w:before="120" w:after="120" w:line="276" w:lineRule="auto"/>
      </w:pPr>
      <w:r w:rsidRPr="59AC27A9">
        <w:rPr>
          <w:sz w:val="24"/>
          <w:szCs w:val="24"/>
        </w:rPr>
        <w:t>więcej czasu dla siebie i bliskich (83% wskazań),</w:t>
      </w:r>
    </w:p>
    <w:p w14:paraId="1664BB08" w14:textId="3B630773" w:rsidR="5E23FDF0" w:rsidRDefault="5E23FDF0" w:rsidP="00727D04">
      <w:pPr>
        <w:pStyle w:val="Akapitzlist"/>
        <w:numPr>
          <w:ilvl w:val="0"/>
          <w:numId w:val="1"/>
        </w:numPr>
        <w:spacing w:before="120" w:after="120" w:line="276" w:lineRule="auto"/>
      </w:pPr>
      <w:r w:rsidRPr="59AC27A9">
        <w:rPr>
          <w:sz w:val="24"/>
          <w:szCs w:val="24"/>
        </w:rPr>
        <w:t>poprawa ogólnej satysfakcji z życia (79%),</w:t>
      </w:r>
    </w:p>
    <w:p w14:paraId="73417DDF" w14:textId="3DCA47D6" w:rsidR="5E23FDF0" w:rsidRDefault="5E23FDF0" w:rsidP="00727D04">
      <w:pPr>
        <w:pStyle w:val="Akapitzlist"/>
        <w:numPr>
          <w:ilvl w:val="0"/>
          <w:numId w:val="1"/>
        </w:numPr>
        <w:spacing w:before="120" w:after="120" w:line="276" w:lineRule="auto"/>
      </w:pPr>
      <w:r w:rsidRPr="59AC27A9">
        <w:rPr>
          <w:sz w:val="24"/>
          <w:szCs w:val="24"/>
        </w:rPr>
        <w:lastRenderedPageBreak/>
        <w:t>większa równowaga między pracą a odpoczynkiem (78%),</w:t>
      </w:r>
    </w:p>
    <w:p w14:paraId="1CA70C88" w14:textId="33A91C59" w:rsidR="5E23FDF0" w:rsidRDefault="5E23FDF0" w:rsidP="00727D04">
      <w:pPr>
        <w:pStyle w:val="Akapitzlist"/>
        <w:numPr>
          <w:ilvl w:val="0"/>
          <w:numId w:val="1"/>
        </w:numPr>
        <w:spacing w:before="120" w:after="120" w:line="276" w:lineRule="auto"/>
      </w:pPr>
      <w:r w:rsidRPr="59AC27A9">
        <w:rPr>
          <w:sz w:val="24"/>
          <w:szCs w:val="24"/>
        </w:rPr>
        <w:t>obniżenie ryzyka wypalenia zawodowego (70%)</w:t>
      </w:r>
    </w:p>
    <w:p w14:paraId="63F2656C" w14:textId="3D683F1E" w:rsidR="5E23FDF0" w:rsidRDefault="5E23FDF0" w:rsidP="00727D04">
      <w:pPr>
        <w:spacing w:before="120" w:after="120" w:line="276" w:lineRule="auto"/>
      </w:pPr>
      <w:r w:rsidRPr="59AC27A9">
        <w:rPr>
          <w:sz w:val="24"/>
          <w:szCs w:val="24"/>
        </w:rPr>
        <w:t>Co istotne, większość uczestników badania uznaje, że Polska jest gotowa przynajmniej do pilotażowego wdrożenia tego rozwiązania</w:t>
      </w:r>
      <w:r w:rsidR="004D50B2">
        <w:rPr>
          <w:sz w:val="24"/>
          <w:szCs w:val="24"/>
        </w:rPr>
        <w:t>,</w:t>
      </w:r>
      <w:r w:rsidRPr="59AC27A9">
        <w:rPr>
          <w:sz w:val="24"/>
          <w:szCs w:val="24"/>
        </w:rPr>
        <w:t xml:space="preserve"> a 55% twierdzi, że zmiany powinny zostać zapisane w Kodeksie pracy. Tylko 9% respondentów miało zdecydowanie negatywne doświadczenia z testowaniem tego modelu.</w:t>
      </w:r>
    </w:p>
    <w:p w14:paraId="7FB1CBF8" w14:textId="016664C1" w:rsidR="5E23FDF0" w:rsidRDefault="5E23FDF0" w:rsidP="00727D04">
      <w:pPr>
        <w:pStyle w:val="Nagwek2"/>
        <w:spacing w:before="120" w:after="120" w:line="276" w:lineRule="auto"/>
        <w:rPr>
          <w:lang w:val="en-US"/>
        </w:rPr>
      </w:pPr>
      <w:proofErr w:type="spellStart"/>
      <w:r w:rsidRPr="59AC27A9">
        <w:rPr>
          <w:lang w:val="en-US"/>
        </w:rPr>
        <w:t>Elastyczność</w:t>
      </w:r>
      <w:proofErr w:type="spellEnd"/>
      <w:r w:rsidRPr="59AC27A9">
        <w:rPr>
          <w:lang w:val="en-US"/>
        </w:rPr>
        <w:t xml:space="preserve"> </w:t>
      </w:r>
      <w:proofErr w:type="spellStart"/>
      <w:r w:rsidRPr="59AC27A9">
        <w:rPr>
          <w:lang w:val="en-US"/>
        </w:rPr>
        <w:t>i</w:t>
      </w:r>
      <w:proofErr w:type="spellEnd"/>
      <w:r w:rsidRPr="59AC27A9">
        <w:rPr>
          <w:lang w:val="en-US"/>
        </w:rPr>
        <w:t xml:space="preserve"> gig economy – od </w:t>
      </w:r>
      <w:proofErr w:type="spellStart"/>
      <w:r w:rsidRPr="59AC27A9">
        <w:rPr>
          <w:lang w:val="en-US"/>
        </w:rPr>
        <w:t>trendu</w:t>
      </w:r>
      <w:proofErr w:type="spellEnd"/>
      <w:r w:rsidRPr="59AC27A9">
        <w:rPr>
          <w:lang w:val="en-US"/>
        </w:rPr>
        <w:t xml:space="preserve"> do </w:t>
      </w:r>
      <w:proofErr w:type="spellStart"/>
      <w:r w:rsidRPr="59AC27A9">
        <w:rPr>
          <w:lang w:val="en-US"/>
        </w:rPr>
        <w:t>codzienności</w:t>
      </w:r>
      <w:proofErr w:type="spellEnd"/>
    </w:p>
    <w:p w14:paraId="3A68C6F9" w14:textId="634A3A2A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>Elastyczne formy współpracy przestały być traktowane jako tymczasowe rozwiązanie i coraz częściej stanowią podstawę nowoczesnych modeli zatrudnienia. Badania EY pokazują, że 68% firm uznaje obecne warunki gospodarcze za sprzyjające rozwojowi tego typu rynku pracy, a aż 74% właścicieli pozytywnie ocenia współpracę z freelancerami. Jednocześnie tylko 19% przedsiębiorstw aktywnie korzysta z tych rozwiązań.</w:t>
      </w:r>
    </w:p>
    <w:p w14:paraId="1D4F20D5" w14:textId="50744D90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Tradycyjna kontrola coraz częściej ustępuje miejsca większej swobodzie organizacyjnej, odpowiedzialności i zaufaniu względem pracowników. To sprzyja zarówno samodzielności, jak i innowacyjności zespołów. Jest to niezwykle istotne, ponieważ obok atrakcyjnych warunków finansowych (64%) aż 56% respondentów wskazało możliwość samodzielnego decydowania o miejscu, czasie i warunkach wykonywania pracy za motywację do zatrudnienia zgodnego z elastycznymi modelami. Dane z raportu są jednoznaczne: gig </w:t>
      </w:r>
      <w:proofErr w:type="spellStart"/>
      <w:r w:rsidRPr="59AC27A9">
        <w:rPr>
          <w:sz w:val="24"/>
          <w:szCs w:val="24"/>
        </w:rPr>
        <w:t>economy</w:t>
      </w:r>
      <w:proofErr w:type="spellEnd"/>
      <w:r w:rsidRPr="59AC27A9">
        <w:rPr>
          <w:sz w:val="24"/>
          <w:szCs w:val="24"/>
        </w:rPr>
        <w:t xml:space="preserve"> nie tyle dopiero przestawia zwrotnicę polskiego rynku pracy – ona już napisała nowy rozdział tej historii.</w:t>
      </w:r>
    </w:p>
    <w:p w14:paraId="246C937D" w14:textId="122C3976" w:rsidR="5E23FDF0" w:rsidRDefault="5E23FDF0" w:rsidP="00727D04">
      <w:pPr>
        <w:pStyle w:val="Nagwek2"/>
        <w:spacing w:before="120" w:after="120" w:line="276" w:lineRule="auto"/>
        <w:rPr>
          <w:lang w:val="en-US"/>
        </w:rPr>
      </w:pPr>
      <w:proofErr w:type="spellStart"/>
      <w:r w:rsidRPr="59AC27A9">
        <w:rPr>
          <w:lang w:val="en-US"/>
        </w:rPr>
        <w:t>Przyszłość</w:t>
      </w:r>
      <w:proofErr w:type="spellEnd"/>
      <w:r w:rsidRPr="59AC27A9">
        <w:rPr>
          <w:lang w:val="en-US"/>
        </w:rPr>
        <w:t xml:space="preserve"> w </w:t>
      </w:r>
      <w:proofErr w:type="spellStart"/>
      <w:r w:rsidRPr="59AC27A9">
        <w:rPr>
          <w:lang w:val="en-US"/>
        </w:rPr>
        <w:t>budowie</w:t>
      </w:r>
      <w:proofErr w:type="spellEnd"/>
    </w:p>
    <w:p w14:paraId="79F14500" w14:textId="3B19AA76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 xml:space="preserve">Polski rynek pracy stoi dziś na rozdrożu. Z jednej strony widać oznaki stabilizacji, a z drugiej </w:t>
      </w:r>
      <w:r w:rsidR="004D50B2" w:rsidRPr="004D50B2">
        <w:rPr>
          <w:sz w:val="24"/>
          <w:szCs w:val="24"/>
        </w:rPr>
        <w:t>–</w:t>
      </w:r>
      <w:r w:rsidRPr="59AC27A9">
        <w:rPr>
          <w:sz w:val="24"/>
          <w:szCs w:val="24"/>
        </w:rPr>
        <w:t xml:space="preserve"> coraz wyraźniej zarysowują się kontury głębokiej transformacji. Zmiany są nieuniknione, ale kto i jak na nich skorzysta zależy od umiejętności spojrzenia poza standardowe ramy i konsekwentnego budowania przyszłości polskiego rynku pracy na potencjale, a nie sztywnych kryteriach.</w:t>
      </w:r>
    </w:p>
    <w:p w14:paraId="167FF486" w14:textId="68CBE53A" w:rsidR="5E23FDF0" w:rsidRDefault="5E23FDF0" w:rsidP="00727D04">
      <w:pPr>
        <w:spacing w:before="120" w:after="120" w:line="276" w:lineRule="auto"/>
        <w:rPr>
          <w:sz w:val="24"/>
          <w:szCs w:val="24"/>
        </w:rPr>
      </w:pPr>
      <w:r w:rsidRPr="59AC27A9">
        <w:rPr>
          <w:sz w:val="24"/>
          <w:szCs w:val="24"/>
        </w:rPr>
        <w:t>Kluczowym wyzwaniem pozostaje przygotowanie wszystkich uczestników rynku pracy na nadchodzące zmiany. Elastyczne formy zatrudnienia nie muszą prowadzić do</w:t>
      </w:r>
      <w:r w:rsidR="00915176">
        <w:rPr>
          <w:sz w:val="24"/>
          <w:szCs w:val="24"/>
        </w:rPr>
        <w:t xml:space="preserve"> obniżenia stabilności życiowej czy wzrostu niepewności finansowej</w:t>
      </w:r>
      <w:r w:rsidRPr="59AC27A9">
        <w:rPr>
          <w:sz w:val="24"/>
          <w:szCs w:val="24"/>
        </w:rPr>
        <w:t xml:space="preserve">, jeśli towarzyszyć im będą odpowiednie regulacje. Skrócenie czasu pracy nie </w:t>
      </w:r>
      <w:r w:rsidR="00915176">
        <w:rPr>
          <w:sz w:val="24"/>
          <w:szCs w:val="24"/>
        </w:rPr>
        <w:t>oznacza zmniejszenia</w:t>
      </w:r>
      <w:r w:rsidR="00915176" w:rsidRPr="59AC27A9">
        <w:rPr>
          <w:sz w:val="24"/>
          <w:szCs w:val="24"/>
        </w:rPr>
        <w:t xml:space="preserve"> </w:t>
      </w:r>
      <w:r w:rsidRPr="59AC27A9">
        <w:rPr>
          <w:sz w:val="24"/>
          <w:szCs w:val="24"/>
        </w:rPr>
        <w:t xml:space="preserve">produktywności, jeśli zostanie dobrze wdrożone. To początek nowego rozdziału </w:t>
      </w:r>
      <w:r w:rsidR="00915176" w:rsidRPr="004D50B2">
        <w:rPr>
          <w:sz w:val="24"/>
          <w:szCs w:val="24"/>
        </w:rPr>
        <w:t>–</w:t>
      </w:r>
      <w:r w:rsidRPr="59AC27A9">
        <w:rPr>
          <w:sz w:val="24"/>
          <w:szCs w:val="24"/>
        </w:rPr>
        <w:t xml:space="preserve"> o tym, jak będzie wyglądał rynek pracy, nie zdecydują same trendy ale sposób, w jaki na nie odpowiemy.</w:t>
      </w:r>
    </w:p>
    <w:p w14:paraId="7CBBE552" w14:textId="318F9089" w:rsidR="00915176" w:rsidRDefault="00915176" w:rsidP="00727D0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Pełna treść raportu dostępna jest na stronie </w:t>
      </w:r>
      <w:hyperlink r:id="rId10" w:history="1">
        <w:r w:rsidRPr="00915176">
          <w:rPr>
            <w:rStyle w:val="Hipercze"/>
            <w:sz w:val="24"/>
            <w:szCs w:val="24"/>
          </w:rPr>
          <w:t>PARP</w:t>
        </w:r>
      </w:hyperlink>
      <w:r>
        <w:rPr>
          <w:sz w:val="24"/>
          <w:szCs w:val="24"/>
        </w:rPr>
        <w:t>.</w:t>
      </w:r>
    </w:p>
    <w:p w14:paraId="58A97010" w14:textId="77777777" w:rsidR="00727D04" w:rsidRDefault="00727D04" w:rsidP="00727D04">
      <w:pPr>
        <w:spacing w:before="120" w:after="120" w:line="276" w:lineRule="auto"/>
        <w:rPr>
          <w:sz w:val="24"/>
          <w:szCs w:val="24"/>
        </w:rPr>
      </w:pPr>
    </w:p>
    <w:p w14:paraId="5F40D8AE" w14:textId="50C763B3" w:rsidR="00727D04" w:rsidRDefault="00727D04" w:rsidP="59AC27A9">
      <w:pPr>
        <w:spacing w:before="120" w:after="12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D4DCB0" wp14:editId="7A6BECB0">
            <wp:simplePos x="0" y="0"/>
            <wp:positionH relativeFrom="margin">
              <wp:align>center</wp:align>
            </wp:positionH>
            <wp:positionV relativeFrom="paragraph">
              <wp:posOffset>501650</wp:posOffset>
            </wp:positionV>
            <wp:extent cx="5760720" cy="421005"/>
            <wp:effectExtent l="0" t="0" r="0" b="0"/>
            <wp:wrapNone/>
            <wp:docPr id="969746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46989" name="Obraz 9697469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487"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AFE344A" wp14:editId="773D0168">
            <wp:extent cx="879676" cy="334037"/>
            <wp:effectExtent l="0" t="0" r="0" b="8890"/>
            <wp:docPr id="2048604771" name="Obraz 2" descr="Obraz zawierający tekst, Czcionka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04771" name="Obraz 2" descr="Obraz zawierający tekst, Czcionka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17" cy="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46A6D" w14:textId="77777777" w:rsidR="00576A48" w:rsidRDefault="00576A48" w:rsidP="001305C5">
      <w:pPr>
        <w:spacing w:after="0" w:line="240" w:lineRule="auto"/>
      </w:pPr>
      <w:r>
        <w:separator/>
      </w:r>
    </w:p>
  </w:endnote>
  <w:endnote w:type="continuationSeparator" w:id="0">
    <w:p w14:paraId="0903EE8C" w14:textId="77777777" w:rsidR="00576A48" w:rsidRDefault="00576A48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64E4" w14:textId="77777777" w:rsidR="00576A48" w:rsidRDefault="00576A48" w:rsidP="001305C5">
      <w:pPr>
        <w:spacing w:after="0" w:line="240" w:lineRule="auto"/>
      </w:pPr>
      <w:r>
        <w:separator/>
      </w:r>
    </w:p>
  </w:footnote>
  <w:footnote w:type="continuationSeparator" w:id="0">
    <w:p w14:paraId="49A1EB4A" w14:textId="77777777" w:rsidR="00576A48" w:rsidRDefault="00576A48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B59D"/>
    <w:multiLevelType w:val="hybridMultilevel"/>
    <w:tmpl w:val="CA0A55D0"/>
    <w:lvl w:ilvl="0" w:tplc="94B8ED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91853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ECC0F6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D87B6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140EDA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E5AE22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A189BE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3D41E2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A8C99D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CDBE8"/>
    <w:multiLevelType w:val="hybridMultilevel"/>
    <w:tmpl w:val="099606E2"/>
    <w:lvl w:ilvl="0" w:tplc="57A0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D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4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0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0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2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C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1020061">
    <w:abstractNumId w:val="9"/>
  </w:num>
  <w:num w:numId="2" w16cid:durableId="669211537">
    <w:abstractNumId w:val="6"/>
  </w:num>
  <w:num w:numId="3" w16cid:durableId="374932307">
    <w:abstractNumId w:val="2"/>
  </w:num>
  <w:num w:numId="4" w16cid:durableId="286015261">
    <w:abstractNumId w:val="11"/>
  </w:num>
  <w:num w:numId="5" w16cid:durableId="1354529922">
    <w:abstractNumId w:val="1"/>
  </w:num>
  <w:num w:numId="6" w16cid:durableId="800080431">
    <w:abstractNumId w:val="8"/>
  </w:num>
  <w:num w:numId="7" w16cid:durableId="79644807">
    <w:abstractNumId w:val="0"/>
  </w:num>
  <w:num w:numId="8" w16cid:durableId="456880105">
    <w:abstractNumId w:val="3"/>
  </w:num>
  <w:num w:numId="9" w16cid:durableId="190848606">
    <w:abstractNumId w:val="5"/>
  </w:num>
  <w:num w:numId="10" w16cid:durableId="1541893526">
    <w:abstractNumId w:val="7"/>
  </w:num>
  <w:num w:numId="11" w16cid:durableId="1459763909">
    <w:abstractNumId w:val="4"/>
  </w:num>
  <w:num w:numId="12" w16cid:durableId="1779106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75049"/>
    <w:rsid w:val="000A2B7E"/>
    <w:rsid w:val="000A3E78"/>
    <w:rsid w:val="000B53D4"/>
    <w:rsid w:val="000C0C0C"/>
    <w:rsid w:val="000C10C5"/>
    <w:rsid w:val="000F5521"/>
    <w:rsid w:val="0010752E"/>
    <w:rsid w:val="001153A3"/>
    <w:rsid w:val="001305C5"/>
    <w:rsid w:val="0013369E"/>
    <w:rsid w:val="00164C92"/>
    <w:rsid w:val="00185EAB"/>
    <w:rsid w:val="00193244"/>
    <w:rsid w:val="001D5A9F"/>
    <w:rsid w:val="001E3E93"/>
    <w:rsid w:val="002027A3"/>
    <w:rsid w:val="00221B3A"/>
    <w:rsid w:val="0024444F"/>
    <w:rsid w:val="002570F2"/>
    <w:rsid w:val="002E64DB"/>
    <w:rsid w:val="0030747E"/>
    <w:rsid w:val="003117EE"/>
    <w:rsid w:val="003263B0"/>
    <w:rsid w:val="0035502A"/>
    <w:rsid w:val="003779A6"/>
    <w:rsid w:val="003948D1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46BCC"/>
    <w:rsid w:val="004700BC"/>
    <w:rsid w:val="004A456C"/>
    <w:rsid w:val="004B0DA6"/>
    <w:rsid w:val="004C701E"/>
    <w:rsid w:val="004D50B2"/>
    <w:rsid w:val="005062C5"/>
    <w:rsid w:val="005539D3"/>
    <w:rsid w:val="00557FFB"/>
    <w:rsid w:val="00560CE5"/>
    <w:rsid w:val="0056206E"/>
    <w:rsid w:val="00565EE2"/>
    <w:rsid w:val="00576A48"/>
    <w:rsid w:val="00582E88"/>
    <w:rsid w:val="00591EFB"/>
    <w:rsid w:val="005A6686"/>
    <w:rsid w:val="005B5B1C"/>
    <w:rsid w:val="005C4354"/>
    <w:rsid w:val="005F2BF3"/>
    <w:rsid w:val="0061250F"/>
    <w:rsid w:val="006429C6"/>
    <w:rsid w:val="00645B0B"/>
    <w:rsid w:val="006A3ACF"/>
    <w:rsid w:val="006A6FF7"/>
    <w:rsid w:val="00705BC9"/>
    <w:rsid w:val="0071283D"/>
    <w:rsid w:val="007203D7"/>
    <w:rsid w:val="00727D04"/>
    <w:rsid w:val="00737190"/>
    <w:rsid w:val="00737469"/>
    <w:rsid w:val="0074746A"/>
    <w:rsid w:val="00751E31"/>
    <w:rsid w:val="00757066"/>
    <w:rsid w:val="00772D2E"/>
    <w:rsid w:val="007735BB"/>
    <w:rsid w:val="00785450"/>
    <w:rsid w:val="007A3848"/>
    <w:rsid w:val="007A7704"/>
    <w:rsid w:val="007C4BBD"/>
    <w:rsid w:val="007C5273"/>
    <w:rsid w:val="007C6F72"/>
    <w:rsid w:val="007C7668"/>
    <w:rsid w:val="007E2C59"/>
    <w:rsid w:val="00814BD5"/>
    <w:rsid w:val="008362B3"/>
    <w:rsid w:val="008529C6"/>
    <w:rsid w:val="0088151A"/>
    <w:rsid w:val="008858B6"/>
    <w:rsid w:val="00886C62"/>
    <w:rsid w:val="008A4555"/>
    <w:rsid w:val="008A60E6"/>
    <w:rsid w:val="008C1879"/>
    <w:rsid w:val="008F73FA"/>
    <w:rsid w:val="009075D3"/>
    <w:rsid w:val="00915176"/>
    <w:rsid w:val="009215A0"/>
    <w:rsid w:val="00924CEB"/>
    <w:rsid w:val="00941FAC"/>
    <w:rsid w:val="009517CC"/>
    <w:rsid w:val="00952B12"/>
    <w:rsid w:val="00957CDE"/>
    <w:rsid w:val="00961D91"/>
    <w:rsid w:val="00961DE6"/>
    <w:rsid w:val="00965B1D"/>
    <w:rsid w:val="009A227B"/>
    <w:rsid w:val="009A2875"/>
    <w:rsid w:val="009A6307"/>
    <w:rsid w:val="009B544E"/>
    <w:rsid w:val="009B574A"/>
    <w:rsid w:val="009B5A1F"/>
    <w:rsid w:val="009D6779"/>
    <w:rsid w:val="009D7966"/>
    <w:rsid w:val="00A13788"/>
    <w:rsid w:val="00A151DD"/>
    <w:rsid w:val="00A1607E"/>
    <w:rsid w:val="00A43A5D"/>
    <w:rsid w:val="00A53625"/>
    <w:rsid w:val="00A63E09"/>
    <w:rsid w:val="00A67D69"/>
    <w:rsid w:val="00A85246"/>
    <w:rsid w:val="00A8734A"/>
    <w:rsid w:val="00A972F9"/>
    <w:rsid w:val="00AB222E"/>
    <w:rsid w:val="00AB7D3A"/>
    <w:rsid w:val="00AE785D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2B31"/>
    <w:rsid w:val="00BD5968"/>
    <w:rsid w:val="00BD755D"/>
    <w:rsid w:val="00BE6B6A"/>
    <w:rsid w:val="00C010C6"/>
    <w:rsid w:val="00C206F0"/>
    <w:rsid w:val="00C35FB6"/>
    <w:rsid w:val="00C40617"/>
    <w:rsid w:val="00C5332E"/>
    <w:rsid w:val="00C710AB"/>
    <w:rsid w:val="00C774B3"/>
    <w:rsid w:val="00C97F91"/>
    <w:rsid w:val="00CB1A06"/>
    <w:rsid w:val="00CC7575"/>
    <w:rsid w:val="00CF7C95"/>
    <w:rsid w:val="00D151EC"/>
    <w:rsid w:val="00D15557"/>
    <w:rsid w:val="00D30B96"/>
    <w:rsid w:val="00D46D5B"/>
    <w:rsid w:val="00D61203"/>
    <w:rsid w:val="00D72071"/>
    <w:rsid w:val="00D85639"/>
    <w:rsid w:val="00DA2303"/>
    <w:rsid w:val="00DA73CC"/>
    <w:rsid w:val="00DC55F1"/>
    <w:rsid w:val="00DC6327"/>
    <w:rsid w:val="00DF6BE0"/>
    <w:rsid w:val="00E07DA5"/>
    <w:rsid w:val="00E143F2"/>
    <w:rsid w:val="00E23972"/>
    <w:rsid w:val="00E5410D"/>
    <w:rsid w:val="00E7556E"/>
    <w:rsid w:val="00E8193A"/>
    <w:rsid w:val="00EC6482"/>
    <w:rsid w:val="00ED63AB"/>
    <w:rsid w:val="00EF5925"/>
    <w:rsid w:val="00F020AD"/>
    <w:rsid w:val="00F12AF7"/>
    <w:rsid w:val="00F278F3"/>
    <w:rsid w:val="00F31559"/>
    <w:rsid w:val="00F5194C"/>
    <w:rsid w:val="00F51BB8"/>
    <w:rsid w:val="00F55195"/>
    <w:rsid w:val="00F55639"/>
    <w:rsid w:val="00F70202"/>
    <w:rsid w:val="00F900A0"/>
    <w:rsid w:val="00F901EA"/>
    <w:rsid w:val="00F9172B"/>
    <w:rsid w:val="00FB22E5"/>
    <w:rsid w:val="00FC7BF6"/>
    <w:rsid w:val="00FD557F"/>
    <w:rsid w:val="00FD6150"/>
    <w:rsid w:val="00FE2B63"/>
    <w:rsid w:val="00FE4047"/>
    <w:rsid w:val="00FF7783"/>
    <w:rsid w:val="0745F7F1"/>
    <w:rsid w:val="113DC27C"/>
    <w:rsid w:val="1566D6BA"/>
    <w:rsid w:val="1DC312AA"/>
    <w:rsid w:val="24C4C329"/>
    <w:rsid w:val="321AB5CE"/>
    <w:rsid w:val="38D430BB"/>
    <w:rsid w:val="3A4AFE58"/>
    <w:rsid w:val="3EADDCD9"/>
    <w:rsid w:val="425764BB"/>
    <w:rsid w:val="490D122A"/>
    <w:rsid w:val="4A6D7030"/>
    <w:rsid w:val="4DEC8321"/>
    <w:rsid w:val="59AC27A9"/>
    <w:rsid w:val="5E23FDF0"/>
    <w:rsid w:val="68DA13A5"/>
    <w:rsid w:val="71D3F802"/>
    <w:rsid w:val="789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storage/publications/pdf/Rynek-pracy_edukacja_kompetencje_czerwiec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A6E7A-9B78-A449-AC64-41C66296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2025-07-29T07:06:00Z</dcterms:created>
  <dcterms:modified xsi:type="dcterms:W3CDTF">2025-07-29T07:06:00Z</dcterms:modified>
</cp:coreProperties>
</file>