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D128" w14:textId="22AD0113" w:rsidR="008F3B84" w:rsidRPr="002C07A5" w:rsidRDefault="00CA0DA5" w:rsidP="00382846">
      <w:pPr>
        <w:jc w:val="center"/>
        <w:rPr>
          <w:b/>
          <w:bCs/>
          <w:lang w:val="en-US"/>
        </w:rPr>
      </w:pPr>
      <w:r w:rsidRPr="4C3EE991">
        <w:rPr>
          <w:b/>
          <w:bCs/>
          <w:lang w:val="en-US"/>
        </w:rPr>
        <w:t xml:space="preserve">NTT DATA </w:t>
      </w:r>
      <w:proofErr w:type="spellStart"/>
      <w:r w:rsidRPr="4C3EE991">
        <w:rPr>
          <w:b/>
          <w:bCs/>
          <w:lang w:val="en-US"/>
        </w:rPr>
        <w:t>nomeada</w:t>
      </w:r>
      <w:proofErr w:type="spellEnd"/>
      <w:r w:rsidRPr="4C3EE991">
        <w:rPr>
          <w:b/>
          <w:bCs/>
          <w:lang w:val="en-US"/>
        </w:rPr>
        <w:t xml:space="preserve"> </w:t>
      </w:r>
      <w:proofErr w:type="spellStart"/>
      <w:r w:rsidRPr="4C3EE991">
        <w:rPr>
          <w:b/>
          <w:bCs/>
          <w:lang w:val="en-US"/>
        </w:rPr>
        <w:t>Líder</w:t>
      </w:r>
      <w:proofErr w:type="spellEnd"/>
      <w:r w:rsidRPr="4C3EE991">
        <w:rPr>
          <w:b/>
          <w:bCs/>
          <w:lang w:val="en-US"/>
        </w:rPr>
        <w:t xml:space="preserve"> </w:t>
      </w:r>
      <w:proofErr w:type="spellStart"/>
      <w:r w:rsidRPr="4C3EE991">
        <w:rPr>
          <w:b/>
          <w:bCs/>
          <w:lang w:val="en-US"/>
        </w:rPr>
        <w:t>Emergente</w:t>
      </w:r>
      <w:proofErr w:type="spellEnd"/>
      <w:r w:rsidRPr="4C3EE991">
        <w:rPr>
          <w:b/>
          <w:bCs/>
          <w:lang w:val="en-US"/>
        </w:rPr>
        <w:t xml:space="preserve"> no </w:t>
      </w:r>
      <w:r w:rsidR="002C07A5" w:rsidRPr="4C3EE991">
        <w:rPr>
          <w:b/>
          <w:bCs/>
          <w:lang w:val="en-US"/>
        </w:rPr>
        <w:t>Emerging Market Quadrant of the 2025 Gartner® Innovation Guide for Generative AI Consulting and Implementation Services</w:t>
      </w:r>
    </w:p>
    <w:p w14:paraId="32738E39" w14:textId="77777777" w:rsidR="00382846" w:rsidRPr="007F1148" w:rsidRDefault="00382846" w:rsidP="00382846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01062EE8" w14:textId="215FEF7A" w:rsidR="008E1006" w:rsidRPr="00210089" w:rsidRDefault="00A372A5" w:rsidP="00382846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28 </w:t>
      </w:r>
      <w:r w:rsidR="6D2283EE" w:rsidRPr="2432323C">
        <w:rPr>
          <w:b/>
          <w:bCs/>
          <w:sz w:val="20"/>
          <w:szCs w:val="20"/>
        </w:rPr>
        <w:t xml:space="preserve">de julho de 2025 </w:t>
      </w:r>
      <w:r>
        <w:rPr>
          <w:b/>
          <w:bCs/>
          <w:sz w:val="20"/>
          <w:szCs w:val="20"/>
        </w:rPr>
        <w:t>–</w:t>
      </w:r>
      <w:r w:rsidR="6D2283EE" w:rsidRPr="2432323C">
        <w:rPr>
          <w:sz w:val="20"/>
          <w:szCs w:val="20"/>
        </w:rPr>
        <w:t xml:space="preserve"> </w:t>
      </w:r>
      <w:proofErr w:type="gramStart"/>
      <w:r w:rsidR="3A8D4440" w:rsidRPr="2432323C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3A8D4440" w:rsidRPr="2432323C">
        <w:rPr>
          <w:sz w:val="20"/>
          <w:szCs w:val="20"/>
        </w:rPr>
        <w:t xml:space="preserve"> NTT</w:t>
      </w:r>
      <w:proofErr w:type="gramEnd"/>
      <w:r w:rsidR="3A8D4440" w:rsidRPr="2432323C">
        <w:rPr>
          <w:sz w:val="20"/>
          <w:szCs w:val="20"/>
        </w:rPr>
        <w:t xml:space="preserve"> DATA, líder global em negócios digitais e serviços de TI, foi nomeada Líder Emergente no </w:t>
      </w:r>
      <w:proofErr w:type="spellStart"/>
      <w:r w:rsidR="644BA267" w:rsidRPr="2432323C">
        <w:rPr>
          <w:sz w:val="20"/>
          <w:szCs w:val="20"/>
        </w:rPr>
        <w:t>Emerging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Market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Quadrant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of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the</w:t>
      </w:r>
      <w:proofErr w:type="spellEnd"/>
      <w:r w:rsidR="644BA267" w:rsidRPr="2432323C">
        <w:rPr>
          <w:sz w:val="20"/>
          <w:szCs w:val="20"/>
        </w:rPr>
        <w:t> 2025 Gartner® </w:t>
      </w:r>
      <w:proofErr w:type="spellStart"/>
      <w:r w:rsidR="644BA267" w:rsidRPr="2432323C">
        <w:rPr>
          <w:sz w:val="20"/>
          <w:szCs w:val="20"/>
        </w:rPr>
        <w:t>Innovation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gramStart"/>
      <w:r w:rsidR="644BA267" w:rsidRPr="2432323C">
        <w:rPr>
          <w:sz w:val="20"/>
          <w:szCs w:val="20"/>
        </w:rPr>
        <w:t>Guide </w:t>
      </w:r>
      <w:r w:rsidR="2FA6CE01" w:rsidRPr="2432323C">
        <w:rPr>
          <w:sz w:val="20"/>
          <w:szCs w:val="20"/>
        </w:rPr>
        <w:t xml:space="preserve"> </w:t>
      </w:r>
      <w:r w:rsidR="1DE29E88" w:rsidRPr="2432323C">
        <w:rPr>
          <w:sz w:val="20"/>
          <w:szCs w:val="20"/>
        </w:rPr>
        <w:t>for</w:t>
      </w:r>
      <w:proofErr w:type="gramEnd"/>
      <w:r w:rsidR="644BA267" w:rsidRPr="2432323C">
        <w:rPr>
          <w:sz w:val="20"/>
          <w:szCs w:val="20"/>
        </w:rPr>
        <w:t> </w:t>
      </w:r>
      <w:r w:rsidR="7E56687D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Generative</w:t>
      </w:r>
      <w:proofErr w:type="spellEnd"/>
      <w:r w:rsidR="644BA267" w:rsidRPr="2432323C">
        <w:rPr>
          <w:sz w:val="20"/>
          <w:szCs w:val="20"/>
        </w:rPr>
        <w:t xml:space="preserve"> AI </w:t>
      </w:r>
      <w:proofErr w:type="spellStart"/>
      <w:r w:rsidR="644BA267" w:rsidRPr="2432323C">
        <w:rPr>
          <w:sz w:val="20"/>
          <w:szCs w:val="20"/>
        </w:rPr>
        <w:t>Consulting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and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Implementation</w:t>
      </w:r>
      <w:proofErr w:type="spellEnd"/>
      <w:r w:rsidR="644BA267" w:rsidRPr="2432323C">
        <w:rPr>
          <w:sz w:val="20"/>
          <w:szCs w:val="20"/>
        </w:rPr>
        <w:t xml:space="preserve"> </w:t>
      </w:r>
      <w:proofErr w:type="spellStart"/>
      <w:r w:rsidR="644BA267" w:rsidRPr="2432323C">
        <w:rPr>
          <w:sz w:val="20"/>
          <w:szCs w:val="20"/>
        </w:rPr>
        <w:t>Services</w:t>
      </w:r>
      <w:proofErr w:type="spellEnd"/>
      <w:r w:rsidR="3A8D4440" w:rsidRPr="2432323C">
        <w:rPr>
          <w:sz w:val="20"/>
          <w:szCs w:val="20"/>
        </w:rPr>
        <w:t xml:space="preserve">. </w:t>
      </w:r>
      <w:r w:rsidR="605B419F" w:rsidRPr="2432323C">
        <w:rPr>
          <w:sz w:val="20"/>
          <w:szCs w:val="20"/>
        </w:rPr>
        <w:t>Tal como revela a análise</w:t>
      </w:r>
      <w:r w:rsidR="3A8D4440" w:rsidRPr="2432323C">
        <w:rPr>
          <w:sz w:val="20"/>
          <w:szCs w:val="20"/>
        </w:rPr>
        <w:t xml:space="preserve"> da Gartner, </w:t>
      </w:r>
      <w:r w:rsidR="00210089">
        <w:rPr>
          <w:sz w:val="20"/>
          <w:szCs w:val="20"/>
        </w:rPr>
        <w:t>«</w:t>
      </w:r>
      <w:r w:rsidR="3A8D4440" w:rsidRPr="2432323C">
        <w:rPr>
          <w:i/>
          <w:iCs/>
          <w:sz w:val="20"/>
          <w:szCs w:val="20"/>
        </w:rPr>
        <w:t xml:space="preserve">os especialistas da Gartner criaram uma </w:t>
      </w:r>
      <w:r w:rsidR="605B419F" w:rsidRPr="2432323C">
        <w:rPr>
          <w:i/>
          <w:iCs/>
          <w:sz w:val="20"/>
          <w:szCs w:val="20"/>
        </w:rPr>
        <w:t xml:space="preserve">métrica </w:t>
      </w:r>
      <w:r w:rsidR="3A8D4440" w:rsidRPr="2432323C">
        <w:rPr>
          <w:i/>
          <w:iCs/>
          <w:sz w:val="20"/>
          <w:szCs w:val="20"/>
        </w:rPr>
        <w:t xml:space="preserve">de pontuação simples que inclui um conjunto </w:t>
      </w:r>
      <w:r w:rsidR="605B419F" w:rsidRPr="2432323C">
        <w:rPr>
          <w:i/>
          <w:iCs/>
          <w:sz w:val="20"/>
          <w:szCs w:val="20"/>
        </w:rPr>
        <w:t>de</w:t>
      </w:r>
      <w:r w:rsidR="3A8D4440" w:rsidRPr="2432323C">
        <w:rPr>
          <w:i/>
          <w:iCs/>
          <w:sz w:val="20"/>
          <w:szCs w:val="20"/>
        </w:rPr>
        <w:t xml:space="preserve">limitado de critérios em áreas </w:t>
      </w:r>
      <w:r w:rsidR="605B419F" w:rsidRPr="2432323C">
        <w:rPr>
          <w:i/>
          <w:iCs/>
          <w:sz w:val="20"/>
          <w:szCs w:val="20"/>
        </w:rPr>
        <w:t>consideradas</w:t>
      </w:r>
      <w:r w:rsidR="3A8D4440" w:rsidRPr="2432323C">
        <w:rPr>
          <w:i/>
          <w:iCs/>
          <w:sz w:val="20"/>
          <w:szCs w:val="20"/>
        </w:rPr>
        <w:t xml:space="preserve"> importantes para </w:t>
      </w:r>
      <w:r w:rsidR="605B419F" w:rsidRPr="2432323C">
        <w:rPr>
          <w:i/>
          <w:iCs/>
          <w:sz w:val="20"/>
          <w:szCs w:val="20"/>
        </w:rPr>
        <w:t>serem avaliadas no contexto de um</w:t>
      </w:r>
      <w:r w:rsidR="3A8D4440" w:rsidRPr="2432323C">
        <w:rPr>
          <w:i/>
          <w:iCs/>
          <w:sz w:val="20"/>
          <w:szCs w:val="20"/>
        </w:rPr>
        <w:t xml:space="preserve"> mercado emergente. </w:t>
      </w:r>
      <w:r w:rsidR="605B419F" w:rsidRPr="2432323C">
        <w:rPr>
          <w:i/>
          <w:iCs/>
          <w:sz w:val="20"/>
          <w:szCs w:val="20"/>
        </w:rPr>
        <w:t>Neles incluem-se a</w:t>
      </w:r>
      <w:r w:rsidR="3A8D4440" w:rsidRPr="2432323C">
        <w:rPr>
          <w:i/>
          <w:iCs/>
          <w:sz w:val="20"/>
          <w:szCs w:val="20"/>
        </w:rPr>
        <w:t xml:space="preserve"> compreensão do mercado, inovação, produtos e serviços e viabilidade geral, entre outros</w:t>
      </w:r>
      <w:r w:rsidR="00210089">
        <w:rPr>
          <w:i/>
          <w:iCs/>
          <w:sz w:val="20"/>
          <w:szCs w:val="20"/>
        </w:rPr>
        <w:t>».</w:t>
      </w:r>
    </w:p>
    <w:p w14:paraId="519CEE2C" w14:textId="77777777" w:rsidR="00382846" w:rsidRPr="00F96F0D" w:rsidRDefault="00382846" w:rsidP="00382846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F199219" w14:textId="7C2A6BB8" w:rsidR="008E1006" w:rsidRDefault="00D63CB3" w:rsidP="00382846">
      <w:pPr>
        <w:spacing w:after="0" w:line="240" w:lineRule="auto"/>
        <w:jc w:val="both"/>
        <w:rPr>
          <w:i/>
          <w:iCs/>
          <w:sz w:val="20"/>
          <w:szCs w:val="20"/>
        </w:rPr>
      </w:pPr>
      <w:r w:rsidRPr="20FBA11E">
        <w:rPr>
          <w:sz w:val="20"/>
          <w:szCs w:val="20"/>
        </w:rPr>
        <w:t>Nas palavras da</w:t>
      </w:r>
      <w:r w:rsidR="008E1006" w:rsidRPr="20FBA11E">
        <w:rPr>
          <w:sz w:val="20"/>
          <w:szCs w:val="20"/>
        </w:rPr>
        <w:t xml:space="preserve"> Gartner: «</w:t>
      </w:r>
      <w:r w:rsidR="00382846">
        <w:rPr>
          <w:i/>
          <w:iCs/>
          <w:sz w:val="20"/>
          <w:szCs w:val="20"/>
        </w:rPr>
        <w:t>e</w:t>
      </w:r>
      <w:r w:rsidRPr="20FBA11E">
        <w:rPr>
          <w:i/>
          <w:iCs/>
          <w:sz w:val="20"/>
          <w:szCs w:val="20"/>
        </w:rPr>
        <w:t>ste</w:t>
      </w:r>
      <w:r w:rsidR="008E1006" w:rsidRPr="20FBA11E">
        <w:rPr>
          <w:i/>
          <w:iCs/>
          <w:sz w:val="20"/>
          <w:szCs w:val="20"/>
        </w:rPr>
        <w:t xml:space="preserve"> Quadrante de Mercados Emergentes e a ferramenta de identificação de </w:t>
      </w:r>
      <w:r w:rsidRPr="20FBA11E">
        <w:rPr>
          <w:i/>
          <w:iCs/>
          <w:sz w:val="20"/>
          <w:szCs w:val="20"/>
        </w:rPr>
        <w:t xml:space="preserve">prestadores de serviços </w:t>
      </w:r>
      <w:r w:rsidR="008E1006" w:rsidRPr="20FBA11E">
        <w:rPr>
          <w:i/>
          <w:iCs/>
          <w:sz w:val="20"/>
          <w:szCs w:val="20"/>
        </w:rPr>
        <w:t>associada</w:t>
      </w:r>
      <w:r w:rsidRPr="20FBA11E">
        <w:rPr>
          <w:i/>
          <w:iCs/>
          <w:sz w:val="20"/>
          <w:szCs w:val="20"/>
        </w:rPr>
        <w:t xml:space="preserve"> pode ser usada</w:t>
      </w:r>
      <w:r w:rsidR="008E1006" w:rsidRPr="20FBA11E">
        <w:rPr>
          <w:i/>
          <w:iCs/>
          <w:sz w:val="20"/>
          <w:szCs w:val="20"/>
        </w:rPr>
        <w:t xml:space="preserve"> para explorar o panorama do mercado e dos </w:t>
      </w:r>
      <w:r w:rsidRPr="20FBA11E">
        <w:rPr>
          <w:i/>
          <w:iCs/>
          <w:sz w:val="20"/>
          <w:szCs w:val="20"/>
        </w:rPr>
        <w:t>operadores de</w:t>
      </w:r>
      <w:r w:rsidR="008E1006" w:rsidRPr="20FBA11E">
        <w:rPr>
          <w:i/>
          <w:iCs/>
          <w:sz w:val="20"/>
          <w:szCs w:val="20"/>
        </w:rPr>
        <w:t xml:space="preserve"> serviços.» </w:t>
      </w:r>
      <w:r w:rsidR="008E1006" w:rsidRPr="00DD5929">
        <w:rPr>
          <w:sz w:val="20"/>
          <w:szCs w:val="20"/>
        </w:rPr>
        <w:t>Além disso</w:t>
      </w:r>
      <w:r w:rsidR="008E1006" w:rsidRPr="20FBA11E">
        <w:rPr>
          <w:i/>
          <w:iCs/>
          <w:sz w:val="20"/>
          <w:szCs w:val="20"/>
        </w:rPr>
        <w:t xml:space="preserve">, «a Gartner define os serviços de consultoria e implementação de </w:t>
      </w:r>
      <w:proofErr w:type="spellStart"/>
      <w:r w:rsidR="008E1006" w:rsidRPr="20FBA11E">
        <w:rPr>
          <w:i/>
          <w:iCs/>
          <w:sz w:val="20"/>
          <w:szCs w:val="20"/>
        </w:rPr>
        <w:t>GenAI</w:t>
      </w:r>
      <w:proofErr w:type="spellEnd"/>
      <w:r w:rsidR="008E1006" w:rsidRPr="20FBA11E">
        <w:rPr>
          <w:i/>
          <w:iCs/>
          <w:sz w:val="20"/>
          <w:szCs w:val="20"/>
        </w:rPr>
        <w:t xml:space="preserve"> como um mercado focado em ajudar as empresas a alcançar resultados comerciais tangíveis </w:t>
      </w:r>
      <w:r w:rsidRPr="20FBA11E">
        <w:rPr>
          <w:i/>
          <w:iCs/>
          <w:sz w:val="20"/>
          <w:szCs w:val="20"/>
        </w:rPr>
        <w:t xml:space="preserve">através de </w:t>
      </w:r>
      <w:r w:rsidR="008E1006" w:rsidRPr="20FBA11E">
        <w:rPr>
          <w:i/>
          <w:iCs/>
          <w:sz w:val="20"/>
          <w:szCs w:val="20"/>
        </w:rPr>
        <w:t xml:space="preserve">soluções </w:t>
      </w:r>
      <w:r w:rsidR="61285A8C" w:rsidRPr="20FBA11E">
        <w:rPr>
          <w:i/>
          <w:iCs/>
          <w:sz w:val="20"/>
          <w:szCs w:val="20"/>
        </w:rPr>
        <w:t xml:space="preserve">de </w:t>
      </w:r>
      <w:proofErr w:type="spellStart"/>
      <w:r w:rsidR="008E1006" w:rsidRPr="20FBA11E">
        <w:rPr>
          <w:i/>
          <w:iCs/>
          <w:sz w:val="20"/>
          <w:szCs w:val="20"/>
        </w:rPr>
        <w:t>GenAI</w:t>
      </w:r>
      <w:proofErr w:type="spellEnd"/>
      <w:r w:rsidR="008E1006" w:rsidRPr="20FBA11E">
        <w:rPr>
          <w:i/>
          <w:iCs/>
          <w:sz w:val="20"/>
          <w:szCs w:val="20"/>
        </w:rPr>
        <w:t xml:space="preserve"> personalizadas.»</w:t>
      </w:r>
    </w:p>
    <w:p w14:paraId="5902F7E3" w14:textId="77777777" w:rsidR="00382846" w:rsidRPr="000A6AE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3C45BC72" w14:textId="77777777" w:rsidR="00382846" w:rsidRDefault="750C1BD5" w:rsidP="0038284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58645D78" wp14:editId="2CE8B195">
            <wp:extent cx="4122728" cy="4138526"/>
            <wp:effectExtent l="0" t="0" r="0" b="0"/>
            <wp:docPr id="839186713" name="Picture 839186713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040" cy="414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006">
        <w:br/>
      </w:r>
    </w:p>
    <w:p w14:paraId="79A0D6E9" w14:textId="48728953" w:rsidR="00382846" w:rsidRDefault="008E1006" w:rsidP="00382846">
      <w:pPr>
        <w:spacing w:after="0" w:line="240" w:lineRule="auto"/>
        <w:jc w:val="both"/>
        <w:rPr>
          <w:i/>
          <w:iCs/>
          <w:sz w:val="20"/>
          <w:szCs w:val="20"/>
        </w:rPr>
      </w:pPr>
      <w:r w:rsidRPr="4230315D">
        <w:rPr>
          <w:i/>
          <w:iCs/>
          <w:sz w:val="20"/>
          <w:szCs w:val="20"/>
        </w:rPr>
        <w:t xml:space="preserve">«A NTT DATA possui </w:t>
      </w:r>
      <w:r w:rsidR="00D63CB3" w:rsidRPr="4230315D">
        <w:rPr>
          <w:i/>
          <w:iCs/>
          <w:sz w:val="20"/>
          <w:szCs w:val="20"/>
        </w:rPr>
        <w:t xml:space="preserve">a abrangência de </w:t>
      </w:r>
      <w:r w:rsidRPr="4230315D">
        <w:rPr>
          <w:i/>
          <w:iCs/>
          <w:sz w:val="20"/>
          <w:szCs w:val="20"/>
        </w:rPr>
        <w:t xml:space="preserve">capacidades, a experiência real </w:t>
      </w:r>
      <w:r w:rsidR="00D63CB3" w:rsidRPr="4230315D">
        <w:rPr>
          <w:i/>
          <w:iCs/>
          <w:sz w:val="20"/>
          <w:szCs w:val="20"/>
        </w:rPr>
        <w:t xml:space="preserve">de trabalho </w:t>
      </w:r>
      <w:r w:rsidRPr="4230315D">
        <w:rPr>
          <w:i/>
          <w:iCs/>
          <w:sz w:val="20"/>
          <w:szCs w:val="20"/>
        </w:rPr>
        <w:t xml:space="preserve">com clientes e as soluções com </w:t>
      </w:r>
      <w:r w:rsidR="00D63CB3" w:rsidRPr="4230315D">
        <w:rPr>
          <w:i/>
          <w:iCs/>
          <w:sz w:val="20"/>
          <w:szCs w:val="20"/>
        </w:rPr>
        <w:t xml:space="preserve">garantia de </w:t>
      </w:r>
      <w:r w:rsidRPr="4230315D">
        <w:rPr>
          <w:i/>
          <w:iCs/>
          <w:sz w:val="20"/>
          <w:szCs w:val="20"/>
        </w:rPr>
        <w:t xml:space="preserve">resultados de que as empresas precisam para </w:t>
      </w:r>
      <w:r w:rsidR="00D63CB3" w:rsidRPr="4230315D">
        <w:rPr>
          <w:i/>
          <w:iCs/>
          <w:sz w:val="20"/>
          <w:szCs w:val="20"/>
        </w:rPr>
        <w:t xml:space="preserve">desenhar </w:t>
      </w:r>
      <w:r w:rsidRPr="4230315D">
        <w:rPr>
          <w:i/>
          <w:iCs/>
          <w:sz w:val="20"/>
          <w:szCs w:val="20"/>
        </w:rPr>
        <w:t>o futuro com o poder da IA</w:t>
      </w:r>
      <w:r w:rsidRPr="4230315D">
        <w:rPr>
          <w:sz w:val="20"/>
          <w:szCs w:val="20"/>
        </w:rPr>
        <w:t xml:space="preserve">», </w:t>
      </w:r>
      <w:r w:rsidR="00D63CB3" w:rsidRPr="4230315D">
        <w:rPr>
          <w:sz w:val="20"/>
          <w:szCs w:val="20"/>
        </w:rPr>
        <w:t xml:space="preserve">afirma </w:t>
      </w:r>
      <w:proofErr w:type="spellStart"/>
      <w:r w:rsidRPr="4230315D">
        <w:rPr>
          <w:b/>
          <w:bCs/>
          <w:sz w:val="20"/>
          <w:szCs w:val="20"/>
        </w:rPr>
        <w:t>Yutaka</w:t>
      </w:r>
      <w:proofErr w:type="spellEnd"/>
      <w:r w:rsidRPr="4230315D">
        <w:rPr>
          <w:b/>
          <w:bCs/>
          <w:sz w:val="20"/>
          <w:szCs w:val="20"/>
        </w:rPr>
        <w:t xml:space="preserve"> </w:t>
      </w:r>
      <w:proofErr w:type="spellStart"/>
      <w:r w:rsidRPr="4230315D">
        <w:rPr>
          <w:b/>
          <w:bCs/>
          <w:sz w:val="20"/>
          <w:szCs w:val="20"/>
        </w:rPr>
        <w:t>Sasaki</w:t>
      </w:r>
      <w:proofErr w:type="spellEnd"/>
      <w:r w:rsidRPr="4230315D">
        <w:rPr>
          <w:sz w:val="20"/>
          <w:szCs w:val="20"/>
        </w:rPr>
        <w:t xml:space="preserve">, </w:t>
      </w:r>
      <w:r w:rsidR="00AC3892" w:rsidRPr="00AC3892">
        <w:rPr>
          <w:b/>
          <w:bCs/>
          <w:sz w:val="20"/>
          <w:szCs w:val="20"/>
        </w:rPr>
        <w:t>p</w:t>
      </w:r>
      <w:r w:rsidR="00C13A0B" w:rsidRPr="00AC3892">
        <w:rPr>
          <w:b/>
          <w:bCs/>
          <w:sz w:val="20"/>
          <w:szCs w:val="20"/>
        </w:rPr>
        <w:t>r</w:t>
      </w:r>
      <w:r w:rsidR="00C13A0B" w:rsidRPr="4230315D">
        <w:rPr>
          <w:b/>
          <w:bCs/>
          <w:sz w:val="20"/>
          <w:szCs w:val="20"/>
        </w:rPr>
        <w:t>esident</w:t>
      </w:r>
      <w:r w:rsidR="5ECE77B8" w:rsidRPr="4230315D">
        <w:rPr>
          <w:b/>
          <w:bCs/>
          <w:sz w:val="20"/>
          <w:szCs w:val="20"/>
        </w:rPr>
        <w:t>e e</w:t>
      </w:r>
      <w:r w:rsidR="00C13A0B" w:rsidRPr="4230315D">
        <w:rPr>
          <w:b/>
          <w:bCs/>
          <w:sz w:val="20"/>
          <w:szCs w:val="20"/>
        </w:rPr>
        <w:t xml:space="preserve"> CEO</w:t>
      </w:r>
      <w:r w:rsidR="13AEB33F" w:rsidRPr="4230315D">
        <w:rPr>
          <w:b/>
          <w:bCs/>
          <w:sz w:val="20"/>
          <w:szCs w:val="20"/>
        </w:rPr>
        <w:t xml:space="preserve"> do</w:t>
      </w:r>
      <w:r w:rsidR="00C13A0B" w:rsidRPr="4230315D">
        <w:rPr>
          <w:b/>
          <w:bCs/>
          <w:sz w:val="20"/>
          <w:szCs w:val="20"/>
        </w:rPr>
        <w:t xml:space="preserve"> NTT DATA </w:t>
      </w:r>
      <w:proofErr w:type="spellStart"/>
      <w:r w:rsidR="00C13A0B" w:rsidRPr="4230315D">
        <w:rPr>
          <w:b/>
          <w:bCs/>
          <w:sz w:val="20"/>
          <w:szCs w:val="20"/>
        </w:rPr>
        <w:t>Group</w:t>
      </w:r>
      <w:proofErr w:type="spellEnd"/>
      <w:r w:rsidRPr="4230315D">
        <w:rPr>
          <w:sz w:val="20"/>
          <w:szCs w:val="20"/>
        </w:rPr>
        <w:t>. «</w:t>
      </w:r>
      <w:r w:rsidRPr="4230315D">
        <w:rPr>
          <w:i/>
          <w:iCs/>
          <w:sz w:val="20"/>
          <w:szCs w:val="20"/>
        </w:rPr>
        <w:t xml:space="preserve">Da consultoria e design de IA até à implementação, orquestração e gestão, trabalhamos diligentemente para </w:t>
      </w:r>
      <w:r w:rsidR="00C13A0B" w:rsidRPr="4230315D">
        <w:rPr>
          <w:i/>
          <w:iCs/>
          <w:sz w:val="20"/>
          <w:szCs w:val="20"/>
        </w:rPr>
        <w:t xml:space="preserve">entregar </w:t>
      </w:r>
      <w:r w:rsidRPr="4230315D">
        <w:rPr>
          <w:i/>
          <w:iCs/>
          <w:sz w:val="20"/>
          <w:szCs w:val="20"/>
        </w:rPr>
        <w:t>tecnologia confiável, ética, sustentável e segura por definição.»</w:t>
      </w:r>
    </w:p>
    <w:p w14:paraId="40A127E4" w14:textId="2A61A3AE" w:rsidR="008E1006" w:rsidRPr="000A6AE6" w:rsidRDefault="008E1006" w:rsidP="00382846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6E16D3E8" w14:textId="3D01CEB9" w:rsidR="008E1006" w:rsidRDefault="008E1006" w:rsidP="00382846">
      <w:pPr>
        <w:spacing w:after="0" w:line="240" w:lineRule="auto"/>
        <w:jc w:val="both"/>
        <w:rPr>
          <w:sz w:val="20"/>
          <w:szCs w:val="20"/>
        </w:rPr>
      </w:pPr>
      <w:r w:rsidRPr="2B4EAFA0">
        <w:rPr>
          <w:sz w:val="20"/>
          <w:szCs w:val="20"/>
        </w:rPr>
        <w:t xml:space="preserve">No início deste ano, a NTT DATA </w:t>
      </w:r>
      <w:r w:rsidR="00C13A0B" w:rsidRPr="2B4EAFA0">
        <w:rPr>
          <w:sz w:val="20"/>
          <w:szCs w:val="20"/>
        </w:rPr>
        <w:t xml:space="preserve">apresentou </w:t>
      </w:r>
      <w:r w:rsidRPr="2B4EAFA0">
        <w:rPr>
          <w:sz w:val="20"/>
          <w:szCs w:val="20"/>
        </w:rPr>
        <w:t xml:space="preserve">o ecossistema </w:t>
      </w:r>
      <w:hyperlink r:id="rId10">
        <w:proofErr w:type="spellStart"/>
        <w:r w:rsidRPr="2B4EAFA0">
          <w:rPr>
            <w:rStyle w:val="Hiperligao"/>
            <w:sz w:val="20"/>
            <w:szCs w:val="20"/>
          </w:rPr>
          <w:t>Smart</w:t>
        </w:r>
        <w:proofErr w:type="spellEnd"/>
        <w:r w:rsidRPr="2B4EAFA0">
          <w:rPr>
            <w:rStyle w:val="Hiperligao"/>
            <w:sz w:val="20"/>
            <w:szCs w:val="20"/>
          </w:rPr>
          <w:t xml:space="preserve"> AI </w:t>
        </w:r>
        <w:proofErr w:type="spellStart"/>
        <w:r w:rsidRPr="2B4EAFA0">
          <w:rPr>
            <w:rStyle w:val="Hiperligao"/>
            <w:sz w:val="20"/>
            <w:szCs w:val="20"/>
          </w:rPr>
          <w:t>Agent</w:t>
        </w:r>
        <w:r w:rsidR="00C13A0B" w:rsidRPr="2B4EAFA0">
          <w:rPr>
            <w:rStyle w:val="Hiperligao"/>
            <w:sz w:val="20"/>
            <w:szCs w:val="20"/>
          </w:rPr>
          <w:t>TM</w:t>
        </w:r>
        <w:proofErr w:type="spellEnd"/>
      </w:hyperlink>
      <w:r w:rsidRPr="2B4EAFA0">
        <w:rPr>
          <w:sz w:val="20"/>
          <w:szCs w:val="20"/>
        </w:rPr>
        <w:t xml:space="preserve"> de </w:t>
      </w:r>
      <w:r w:rsidR="00C13A0B" w:rsidRPr="2B4EAFA0">
        <w:rPr>
          <w:sz w:val="20"/>
          <w:szCs w:val="20"/>
        </w:rPr>
        <w:t>car</w:t>
      </w:r>
      <w:r w:rsidR="64460DFB" w:rsidRPr="2B4EAFA0">
        <w:rPr>
          <w:sz w:val="20"/>
          <w:szCs w:val="20"/>
        </w:rPr>
        <w:t>á</w:t>
      </w:r>
      <w:r w:rsidR="00C13A0B" w:rsidRPr="2B4EAFA0">
        <w:rPr>
          <w:sz w:val="20"/>
          <w:szCs w:val="20"/>
        </w:rPr>
        <w:t xml:space="preserve">ter </w:t>
      </w:r>
      <w:r w:rsidRPr="2B4EAFA0">
        <w:rPr>
          <w:sz w:val="20"/>
          <w:szCs w:val="20"/>
        </w:rPr>
        <w:t xml:space="preserve">empresarial com soluções específicas para cada setor, domínio e função. O ecossistema </w:t>
      </w:r>
      <w:r w:rsidR="00C13A0B" w:rsidRPr="2B4EAFA0">
        <w:rPr>
          <w:sz w:val="20"/>
          <w:szCs w:val="20"/>
        </w:rPr>
        <w:t xml:space="preserve">é composto por soluções </w:t>
      </w:r>
      <w:r w:rsidRPr="2B4EAFA0">
        <w:rPr>
          <w:sz w:val="20"/>
          <w:szCs w:val="20"/>
        </w:rPr>
        <w:lastRenderedPageBreak/>
        <w:t xml:space="preserve">integradas, utilitários e aceleradores, </w:t>
      </w:r>
      <w:r w:rsidR="00C13A0B" w:rsidRPr="2B4EAFA0">
        <w:rPr>
          <w:sz w:val="20"/>
          <w:szCs w:val="20"/>
        </w:rPr>
        <w:t>assim como o</w:t>
      </w:r>
      <w:r w:rsidRPr="2B4EAFA0">
        <w:rPr>
          <w:sz w:val="20"/>
          <w:szCs w:val="20"/>
        </w:rPr>
        <w:t xml:space="preserve"> acesso a um mercado de IA robusto, uma infraestrutura segura </w:t>
      </w:r>
      <w:r w:rsidR="00C13A0B" w:rsidRPr="2B4EAFA0">
        <w:rPr>
          <w:sz w:val="20"/>
          <w:szCs w:val="20"/>
        </w:rPr>
        <w:t xml:space="preserve">e </w:t>
      </w:r>
      <w:r w:rsidRPr="2B4EAFA0">
        <w:rPr>
          <w:sz w:val="20"/>
          <w:szCs w:val="20"/>
        </w:rPr>
        <w:t xml:space="preserve">pronta para IA, fornecedores de tecnologia líderes </w:t>
      </w:r>
      <w:r w:rsidR="292E3EA6" w:rsidRPr="2B4EAFA0">
        <w:rPr>
          <w:sz w:val="20"/>
          <w:szCs w:val="20"/>
        </w:rPr>
        <w:t>glob</w:t>
      </w:r>
      <w:r w:rsidRPr="2B4EAFA0">
        <w:rPr>
          <w:sz w:val="20"/>
          <w:szCs w:val="20"/>
        </w:rPr>
        <w:t xml:space="preserve">ais e </w:t>
      </w:r>
      <w:proofErr w:type="spellStart"/>
      <w:r w:rsidRPr="2B4EAFA0">
        <w:rPr>
          <w:sz w:val="20"/>
          <w:szCs w:val="20"/>
        </w:rPr>
        <w:t>startups</w:t>
      </w:r>
      <w:proofErr w:type="spellEnd"/>
      <w:r w:rsidRPr="2B4EAFA0">
        <w:rPr>
          <w:sz w:val="20"/>
          <w:szCs w:val="20"/>
        </w:rPr>
        <w:t xml:space="preserve"> de classe mundial.</w:t>
      </w:r>
    </w:p>
    <w:p w14:paraId="341C898A" w14:textId="77777777" w:rsidR="00382846" w:rsidRPr="000A6AE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056C8E1B" w14:textId="438EB946" w:rsidR="008E1006" w:rsidRDefault="008E1006" w:rsidP="00382846">
      <w:pPr>
        <w:spacing w:after="0" w:line="240" w:lineRule="auto"/>
        <w:jc w:val="both"/>
        <w:rPr>
          <w:sz w:val="20"/>
          <w:szCs w:val="20"/>
        </w:rPr>
      </w:pPr>
      <w:r w:rsidRPr="000A6AE6">
        <w:rPr>
          <w:sz w:val="20"/>
          <w:szCs w:val="20"/>
        </w:rPr>
        <w:t xml:space="preserve">Além disso, os serviços de </w:t>
      </w:r>
      <w:proofErr w:type="spellStart"/>
      <w:r w:rsidRPr="000A6AE6">
        <w:rPr>
          <w:sz w:val="20"/>
          <w:szCs w:val="20"/>
        </w:rPr>
        <w:t>Agentic</w:t>
      </w:r>
      <w:proofErr w:type="spellEnd"/>
      <w:r w:rsidR="002379F2">
        <w:rPr>
          <w:sz w:val="20"/>
          <w:szCs w:val="20"/>
        </w:rPr>
        <w:t xml:space="preserve"> </w:t>
      </w:r>
      <w:r w:rsidR="00C13A0B" w:rsidRPr="000A6AE6">
        <w:rPr>
          <w:sz w:val="20"/>
          <w:szCs w:val="20"/>
        </w:rPr>
        <w:t>AI</w:t>
      </w:r>
      <w:r w:rsidRPr="000A6AE6">
        <w:rPr>
          <w:sz w:val="20"/>
          <w:szCs w:val="20"/>
        </w:rPr>
        <w:t xml:space="preserve"> para tecnologias de IA </w:t>
      </w:r>
      <w:proofErr w:type="spellStart"/>
      <w:r w:rsidRPr="000A6AE6">
        <w:rPr>
          <w:sz w:val="20"/>
          <w:szCs w:val="20"/>
        </w:rPr>
        <w:t>hyperscaler</w:t>
      </w:r>
      <w:proofErr w:type="spellEnd"/>
      <w:r w:rsidRPr="000A6AE6">
        <w:rPr>
          <w:sz w:val="20"/>
          <w:szCs w:val="20"/>
        </w:rPr>
        <w:t xml:space="preserve"> da empresa ampliam o ecossistema da NTT DATA com um conjunto abrangente de serviços </w:t>
      </w:r>
      <w:r w:rsidR="00C13A0B" w:rsidRPr="000A6AE6">
        <w:rPr>
          <w:sz w:val="20"/>
          <w:szCs w:val="20"/>
        </w:rPr>
        <w:t xml:space="preserve">de gestão na </w:t>
      </w:r>
      <w:proofErr w:type="spellStart"/>
      <w:r w:rsidR="00C13A0B" w:rsidRPr="000A6AE6">
        <w:rPr>
          <w:sz w:val="20"/>
          <w:szCs w:val="20"/>
        </w:rPr>
        <w:t>cloud</w:t>
      </w:r>
      <w:proofErr w:type="spellEnd"/>
      <w:r w:rsidR="00C13A0B" w:rsidRPr="000A6AE6">
        <w:rPr>
          <w:sz w:val="20"/>
          <w:szCs w:val="20"/>
        </w:rPr>
        <w:t xml:space="preserve"> e </w:t>
      </w:r>
      <w:r w:rsidRPr="000A6AE6">
        <w:rPr>
          <w:sz w:val="20"/>
          <w:szCs w:val="20"/>
        </w:rPr>
        <w:t xml:space="preserve">em escala empresarial. Essa oferta ajuda as organizações a aproveitar as tecnologias de </w:t>
      </w:r>
      <w:hyperlink r:id="rId11" w:history="1">
        <w:r w:rsidRPr="00023B63">
          <w:rPr>
            <w:rStyle w:val="Hiperligao"/>
            <w:sz w:val="20"/>
            <w:szCs w:val="20"/>
          </w:rPr>
          <w:t xml:space="preserve">IA </w:t>
        </w:r>
        <w:proofErr w:type="spellStart"/>
        <w:r w:rsidRPr="00023B63">
          <w:rPr>
            <w:rStyle w:val="Hiperligao"/>
            <w:sz w:val="20"/>
            <w:szCs w:val="20"/>
          </w:rPr>
          <w:t>hyperscaler</w:t>
        </w:r>
        <w:proofErr w:type="spellEnd"/>
      </w:hyperlink>
      <w:r w:rsidRPr="000A6AE6">
        <w:rPr>
          <w:sz w:val="20"/>
          <w:szCs w:val="20"/>
        </w:rPr>
        <w:t xml:space="preserve"> para explorar todo o potencial da </w:t>
      </w:r>
      <w:proofErr w:type="spellStart"/>
      <w:r w:rsidR="00C13A0B" w:rsidRPr="000A6AE6">
        <w:rPr>
          <w:sz w:val="20"/>
          <w:szCs w:val="20"/>
        </w:rPr>
        <w:t>Agentic</w:t>
      </w:r>
      <w:proofErr w:type="spellEnd"/>
      <w:r w:rsidR="002379F2">
        <w:rPr>
          <w:sz w:val="20"/>
          <w:szCs w:val="20"/>
        </w:rPr>
        <w:t xml:space="preserve"> </w:t>
      </w:r>
      <w:r w:rsidR="00C13A0B" w:rsidRPr="000A6AE6">
        <w:rPr>
          <w:sz w:val="20"/>
          <w:szCs w:val="20"/>
        </w:rPr>
        <w:t>AI</w:t>
      </w:r>
      <w:r w:rsidRPr="000A6AE6">
        <w:rPr>
          <w:sz w:val="20"/>
          <w:szCs w:val="20"/>
        </w:rPr>
        <w:t>.</w:t>
      </w:r>
    </w:p>
    <w:p w14:paraId="21E2CA8C" w14:textId="77777777" w:rsidR="00382846" w:rsidRPr="000A6AE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1209CCF1" w14:textId="0FF4E27D" w:rsidR="008E1006" w:rsidRDefault="008E1006" w:rsidP="00382846">
      <w:pPr>
        <w:spacing w:after="0" w:line="240" w:lineRule="auto"/>
        <w:jc w:val="both"/>
        <w:rPr>
          <w:sz w:val="20"/>
          <w:szCs w:val="20"/>
        </w:rPr>
      </w:pPr>
      <w:r w:rsidRPr="000A6AE6">
        <w:rPr>
          <w:sz w:val="20"/>
          <w:szCs w:val="20"/>
        </w:rPr>
        <w:t xml:space="preserve">A NTT DATA </w:t>
      </w:r>
      <w:r w:rsidR="00C13A0B" w:rsidRPr="000A6AE6">
        <w:rPr>
          <w:sz w:val="20"/>
          <w:szCs w:val="20"/>
        </w:rPr>
        <w:t xml:space="preserve">está </w:t>
      </w:r>
      <w:r w:rsidRPr="000A6AE6">
        <w:rPr>
          <w:sz w:val="20"/>
          <w:szCs w:val="20"/>
        </w:rPr>
        <w:t xml:space="preserve">também a aumentar os investimentos em centros de dados a nível global para apoiar e </w:t>
      </w:r>
      <w:r w:rsidR="00C13A0B" w:rsidRPr="000A6AE6">
        <w:rPr>
          <w:sz w:val="20"/>
          <w:szCs w:val="20"/>
        </w:rPr>
        <w:t xml:space="preserve">disponibilizar </w:t>
      </w:r>
      <w:r w:rsidRPr="000A6AE6">
        <w:rPr>
          <w:sz w:val="20"/>
          <w:szCs w:val="20"/>
        </w:rPr>
        <w:t xml:space="preserve">aos clientes a sua infraestrutura escalável e preparada para IA. A empresa dedica </w:t>
      </w:r>
      <w:r w:rsidR="00C13A0B" w:rsidRPr="000A6AE6">
        <w:rPr>
          <w:sz w:val="20"/>
          <w:szCs w:val="20"/>
        </w:rPr>
        <w:t xml:space="preserve">anualmente </w:t>
      </w:r>
      <w:r w:rsidRPr="000A6AE6">
        <w:rPr>
          <w:sz w:val="20"/>
          <w:szCs w:val="20"/>
        </w:rPr>
        <w:t>milhares de milhões de dólares americanos à investigação e desenvolvimento, incluindo abordagens</w:t>
      </w:r>
      <w:r w:rsidR="00C13A0B" w:rsidRPr="000A6AE6">
        <w:rPr>
          <w:sz w:val="20"/>
          <w:szCs w:val="20"/>
        </w:rPr>
        <w:t xml:space="preserve"> de IA</w:t>
      </w:r>
      <w:r w:rsidRPr="000A6AE6">
        <w:rPr>
          <w:sz w:val="20"/>
          <w:szCs w:val="20"/>
        </w:rPr>
        <w:t xml:space="preserve"> mais eficientes </w:t>
      </w:r>
      <w:r w:rsidR="00C13A0B" w:rsidRPr="000A6AE6">
        <w:rPr>
          <w:sz w:val="20"/>
          <w:szCs w:val="20"/>
        </w:rPr>
        <w:t>do ponto de vista</w:t>
      </w:r>
      <w:r w:rsidRPr="000A6AE6">
        <w:rPr>
          <w:sz w:val="20"/>
          <w:szCs w:val="20"/>
        </w:rPr>
        <w:t xml:space="preserve"> energético e </w:t>
      </w:r>
      <w:r w:rsidR="00C13A0B" w:rsidRPr="000A6AE6">
        <w:rPr>
          <w:sz w:val="20"/>
          <w:szCs w:val="20"/>
        </w:rPr>
        <w:t>de sustentabilidade</w:t>
      </w:r>
      <w:r w:rsidRPr="000A6AE6">
        <w:rPr>
          <w:sz w:val="20"/>
          <w:szCs w:val="20"/>
        </w:rPr>
        <w:t>.</w:t>
      </w:r>
    </w:p>
    <w:p w14:paraId="38173100" w14:textId="77777777" w:rsidR="00382846" w:rsidRPr="000A6AE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2848176C" w14:textId="33BC814D" w:rsidR="008E1006" w:rsidRDefault="005D17EE" w:rsidP="0038284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</w:t>
      </w:r>
      <w:r w:rsidR="008E1006" w:rsidRPr="000A6AE6">
        <w:rPr>
          <w:i/>
          <w:iCs/>
          <w:sz w:val="20"/>
          <w:szCs w:val="20"/>
        </w:rPr>
        <w:t xml:space="preserve">A NTT DATA já está a </w:t>
      </w:r>
      <w:r w:rsidR="00C13A0B" w:rsidRPr="000A6AE6">
        <w:rPr>
          <w:i/>
          <w:iCs/>
          <w:sz w:val="20"/>
          <w:szCs w:val="20"/>
        </w:rPr>
        <w:t xml:space="preserve">ter </w:t>
      </w:r>
      <w:r w:rsidR="008E1006" w:rsidRPr="000A6AE6">
        <w:rPr>
          <w:i/>
          <w:iCs/>
          <w:sz w:val="20"/>
          <w:szCs w:val="20"/>
        </w:rPr>
        <w:t xml:space="preserve">um impacto real e mensurável </w:t>
      </w:r>
      <w:r w:rsidR="00C13A0B" w:rsidRPr="000A6AE6">
        <w:rPr>
          <w:i/>
          <w:iCs/>
          <w:sz w:val="20"/>
          <w:szCs w:val="20"/>
        </w:rPr>
        <w:t>junto d</w:t>
      </w:r>
      <w:r w:rsidR="008E1006" w:rsidRPr="000A6AE6">
        <w:rPr>
          <w:i/>
          <w:iCs/>
          <w:sz w:val="20"/>
          <w:szCs w:val="20"/>
        </w:rPr>
        <w:t>os clientes, e os insights da nossa própria transição para uma empresa nativa de IA ajudam-nos a orientar os clientes nas suas jornadas de transformação</w:t>
      </w:r>
      <w:r>
        <w:rPr>
          <w:i/>
          <w:iCs/>
          <w:sz w:val="20"/>
          <w:szCs w:val="20"/>
        </w:rPr>
        <w:t>»</w:t>
      </w:r>
      <w:r w:rsidR="008E1006" w:rsidRPr="000A6AE6">
        <w:rPr>
          <w:i/>
          <w:iCs/>
          <w:sz w:val="20"/>
          <w:szCs w:val="20"/>
        </w:rPr>
        <w:t>,</w:t>
      </w:r>
      <w:r w:rsidR="008E1006" w:rsidRPr="000A6AE6">
        <w:rPr>
          <w:sz w:val="20"/>
          <w:szCs w:val="20"/>
        </w:rPr>
        <w:t xml:space="preserve"> </w:t>
      </w:r>
      <w:r w:rsidR="00C13A0B" w:rsidRPr="000A6AE6">
        <w:rPr>
          <w:sz w:val="20"/>
          <w:szCs w:val="20"/>
        </w:rPr>
        <w:t xml:space="preserve">acrescenta </w:t>
      </w:r>
      <w:proofErr w:type="spellStart"/>
      <w:r w:rsidR="008E1006" w:rsidRPr="000A6AE6">
        <w:rPr>
          <w:b/>
          <w:bCs/>
          <w:sz w:val="20"/>
          <w:szCs w:val="20"/>
        </w:rPr>
        <w:t>Abhijit</w:t>
      </w:r>
      <w:proofErr w:type="spellEnd"/>
      <w:r w:rsidR="008E1006" w:rsidRPr="000A6AE6">
        <w:rPr>
          <w:b/>
          <w:bCs/>
          <w:sz w:val="20"/>
          <w:szCs w:val="20"/>
        </w:rPr>
        <w:t xml:space="preserve"> </w:t>
      </w:r>
      <w:proofErr w:type="spellStart"/>
      <w:r w:rsidR="008E1006" w:rsidRPr="000A6AE6">
        <w:rPr>
          <w:b/>
          <w:bCs/>
          <w:sz w:val="20"/>
          <w:szCs w:val="20"/>
        </w:rPr>
        <w:t>Dubey</w:t>
      </w:r>
      <w:proofErr w:type="spellEnd"/>
      <w:r w:rsidR="008E1006" w:rsidRPr="000A6AE6">
        <w:rPr>
          <w:b/>
          <w:bCs/>
          <w:sz w:val="20"/>
          <w:szCs w:val="20"/>
        </w:rPr>
        <w:t xml:space="preserve">, CEO da NTT DATA, Inc. e </w:t>
      </w:r>
      <w:proofErr w:type="spellStart"/>
      <w:r w:rsidR="00C13A0B" w:rsidRPr="000A6AE6">
        <w:rPr>
          <w:b/>
          <w:bCs/>
          <w:sz w:val="20"/>
          <w:szCs w:val="20"/>
        </w:rPr>
        <w:t>Chief</w:t>
      </w:r>
      <w:proofErr w:type="spellEnd"/>
      <w:r w:rsidR="00C13A0B" w:rsidRPr="000A6AE6">
        <w:rPr>
          <w:b/>
          <w:bCs/>
          <w:sz w:val="20"/>
          <w:szCs w:val="20"/>
        </w:rPr>
        <w:t xml:space="preserve"> AI </w:t>
      </w:r>
      <w:proofErr w:type="spellStart"/>
      <w:r w:rsidR="00C13A0B" w:rsidRPr="000A6AE6">
        <w:rPr>
          <w:b/>
          <w:bCs/>
          <w:sz w:val="20"/>
          <w:szCs w:val="20"/>
        </w:rPr>
        <w:t>Officer</w:t>
      </w:r>
      <w:proofErr w:type="spellEnd"/>
      <w:r w:rsidR="008E1006" w:rsidRPr="000A6AE6">
        <w:rPr>
          <w:sz w:val="20"/>
          <w:szCs w:val="20"/>
        </w:rPr>
        <w:t xml:space="preserve">*.  </w:t>
      </w:r>
      <w:r w:rsidR="002C17CE">
        <w:rPr>
          <w:i/>
          <w:iCs/>
          <w:sz w:val="20"/>
          <w:szCs w:val="20"/>
        </w:rPr>
        <w:t>«</w:t>
      </w:r>
      <w:r w:rsidR="008E1006" w:rsidRPr="000A6AE6">
        <w:rPr>
          <w:i/>
          <w:iCs/>
          <w:sz w:val="20"/>
          <w:szCs w:val="20"/>
        </w:rPr>
        <w:t xml:space="preserve">À medida que continuamos a construir uma base ousada e justa para </w:t>
      </w:r>
      <w:r w:rsidR="00C13A0B" w:rsidRPr="000A6AE6">
        <w:rPr>
          <w:i/>
          <w:iCs/>
          <w:sz w:val="20"/>
          <w:szCs w:val="20"/>
        </w:rPr>
        <w:t>ambientes</w:t>
      </w:r>
      <w:r w:rsidR="008E1006" w:rsidRPr="000A6AE6">
        <w:rPr>
          <w:i/>
          <w:iCs/>
          <w:sz w:val="20"/>
          <w:szCs w:val="20"/>
        </w:rPr>
        <w:t xml:space="preserve"> de trabalho híbrido</w:t>
      </w:r>
      <w:r w:rsidR="00C13A0B" w:rsidRPr="000A6AE6">
        <w:rPr>
          <w:i/>
          <w:iCs/>
          <w:sz w:val="20"/>
          <w:szCs w:val="20"/>
        </w:rPr>
        <w:t>s</w:t>
      </w:r>
      <w:r w:rsidR="008E1006" w:rsidRPr="000A6AE6">
        <w:rPr>
          <w:i/>
          <w:iCs/>
          <w:sz w:val="20"/>
          <w:szCs w:val="20"/>
        </w:rPr>
        <w:t xml:space="preserve"> entre humanos e máquinas, a nossa missão é acelerar o sucesso dos clientes e impactar positivamente a sociedade </w:t>
      </w:r>
      <w:r w:rsidR="00C13A0B" w:rsidRPr="000A6AE6">
        <w:rPr>
          <w:i/>
          <w:iCs/>
          <w:sz w:val="20"/>
          <w:szCs w:val="20"/>
        </w:rPr>
        <w:t>através</w:t>
      </w:r>
      <w:r w:rsidR="008E1006" w:rsidRPr="000A6AE6">
        <w:rPr>
          <w:i/>
          <w:iCs/>
          <w:sz w:val="20"/>
          <w:szCs w:val="20"/>
        </w:rPr>
        <w:t xml:space="preserve"> da inovação responsável.</w:t>
      </w:r>
      <w:r w:rsidR="007D27C1">
        <w:rPr>
          <w:i/>
          <w:iCs/>
          <w:sz w:val="20"/>
          <w:szCs w:val="20"/>
        </w:rPr>
        <w:t>»</w:t>
      </w:r>
    </w:p>
    <w:p w14:paraId="0C3FFC82" w14:textId="77777777" w:rsidR="00382846" w:rsidRPr="000A6AE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76DC9841" w14:textId="029B7F6E" w:rsidR="008E1006" w:rsidRDefault="4E490E78" w:rsidP="00382846">
      <w:pPr>
        <w:spacing w:after="0" w:line="240" w:lineRule="auto"/>
        <w:jc w:val="both"/>
        <w:rPr>
          <w:sz w:val="20"/>
          <w:szCs w:val="20"/>
        </w:rPr>
      </w:pPr>
      <w:r w:rsidRPr="4230315D">
        <w:rPr>
          <w:sz w:val="20"/>
          <w:szCs w:val="20"/>
        </w:rPr>
        <w:t>Leia “</w:t>
      </w:r>
      <w:hyperlink r:id="rId12">
        <w:r w:rsidRPr="4230315D">
          <w:rPr>
            <w:rStyle w:val="Hiperligao"/>
            <w:color w:val="auto"/>
            <w:sz w:val="20"/>
            <w:szCs w:val="20"/>
          </w:rPr>
          <w:t xml:space="preserve">A Force for </w:t>
        </w:r>
        <w:proofErr w:type="spellStart"/>
        <w:r w:rsidRPr="4230315D">
          <w:rPr>
            <w:rStyle w:val="Hiperligao"/>
            <w:color w:val="auto"/>
            <w:sz w:val="20"/>
            <w:szCs w:val="20"/>
          </w:rPr>
          <w:t>Good</w:t>
        </w:r>
        <w:proofErr w:type="spellEnd"/>
      </w:hyperlink>
      <w:r w:rsidRPr="4230315D">
        <w:rPr>
          <w:sz w:val="20"/>
          <w:szCs w:val="20"/>
        </w:rPr>
        <w:t xml:space="preserve">” para conhecer casos de sucesso e visite o </w:t>
      </w:r>
      <w:hyperlink r:id="rId13">
        <w:r w:rsidRPr="4230315D">
          <w:rPr>
            <w:rStyle w:val="Hiperligao"/>
            <w:color w:val="auto"/>
            <w:sz w:val="20"/>
            <w:szCs w:val="20"/>
          </w:rPr>
          <w:t>nosso site</w:t>
        </w:r>
      </w:hyperlink>
      <w:r w:rsidRPr="4230315D">
        <w:rPr>
          <w:sz w:val="20"/>
          <w:szCs w:val="20"/>
        </w:rPr>
        <w:t xml:space="preserve"> para obter mais informação.</w:t>
      </w:r>
    </w:p>
    <w:p w14:paraId="1ED53BF5" w14:textId="77777777" w:rsidR="00382846" w:rsidRPr="000A6AE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43A2FB3E" w14:textId="15AD9453" w:rsidR="00CA0DA5" w:rsidRPr="000A6AE6" w:rsidRDefault="7B7E3CF8" w:rsidP="00382846">
      <w:pPr>
        <w:pBdr>
          <w:bottom w:val="single" w:sz="12" w:space="1" w:color="000000"/>
        </w:pBdr>
        <w:spacing w:after="0" w:line="240" w:lineRule="auto"/>
        <w:jc w:val="both"/>
        <w:rPr>
          <w:rFonts w:ascii="Aptos" w:eastAsia="Aptos" w:hAnsi="Aptos" w:cs="Aptos"/>
          <w:sz w:val="20"/>
          <w:szCs w:val="20"/>
        </w:rPr>
      </w:pPr>
      <w:r w:rsidRPr="4230315D">
        <w:rPr>
          <w:rFonts w:ascii="Noto Sans" w:eastAsia="Noto Sans" w:hAnsi="Noto Sans" w:cs="Noto Sans"/>
          <w:b/>
          <w:bCs/>
          <w:color w:val="393939"/>
          <w:sz w:val="15"/>
          <w:szCs w:val="15"/>
        </w:rPr>
        <w:t>*Cargo adicional efetivo a partir de 1 de setembro de 2025</w:t>
      </w:r>
    </w:p>
    <w:p w14:paraId="1AC57B5C" w14:textId="3115CCF1" w:rsidR="00CA0DA5" w:rsidRPr="000A6AE6" w:rsidRDefault="00CA0DA5" w:rsidP="00382846">
      <w:pPr>
        <w:pBdr>
          <w:bottom w:val="single" w:sz="12" w:space="1" w:color="000000"/>
        </w:pBdr>
        <w:spacing w:after="0" w:line="240" w:lineRule="auto"/>
        <w:jc w:val="both"/>
        <w:rPr>
          <w:rFonts w:ascii="Noto Sans" w:eastAsia="Noto Sans" w:hAnsi="Noto Sans" w:cs="Noto Sans"/>
          <w:b/>
          <w:bCs/>
          <w:color w:val="393939"/>
          <w:sz w:val="15"/>
          <w:szCs w:val="15"/>
        </w:rPr>
      </w:pPr>
    </w:p>
    <w:p w14:paraId="7B97B505" w14:textId="77777777" w:rsidR="00382846" w:rsidRPr="007F1148" w:rsidRDefault="00382846" w:rsidP="00382846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7F9FE37" w14:textId="7569EC35" w:rsidR="00CA0DA5" w:rsidRDefault="00CA0DA5" w:rsidP="00382846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9B62AB">
        <w:rPr>
          <w:b/>
          <w:bCs/>
          <w:sz w:val="20"/>
          <w:szCs w:val="20"/>
          <w:lang w:val="en-GB"/>
        </w:rPr>
        <w:t>Gartner, Innovation Guide for Generative AI Consulting and Implementation Services, </w:t>
      </w:r>
      <w:hyperlink r:id="rId14">
        <w:r w:rsidRPr="009B62AB">
          <w:rPr>
            <w:rStyle w:val="Hiperligao"/>
            <w:b/>
            <w:bCs/>
            <w:color w:val="auto"/>
            <w:sz w:val="20"/>
            <w:szCs w:val="20"/>
            <w:lang w:val="en-GB"/>
          </w:rPr>
          <w:t>Luis Pinto</w:t>
        </w:r>
      </w:hyperlink>
      <w:r w:rsidRPr="009B62AB">
        <w:rPr>
          <w:b/>
          <w:bCs/>
          <w:sz w:val="20"/>
          <w:szCs w:val="20"/>
          <w:lang w:val="en-GB"/>
        </w:rPr>
        <w:t>, </w:t>
      </w:r>
      <w:hyperlink r:id="rId15">
        <w:r w:rsidRPr="009B62AB">
          <w:rPr>
            <w:rStyle w:val="Hiperligao"/>
            <w:b/>
            <w:bCs/>
            <w:color w:val="auto"/>
            <w:sz w:val="20"/>
            <w:szCs w:val="20"/>
            <w:lang w:val="en-GB"/>
          </w:rPr>
          <w:t xml:space="preserve">Radu </w:t>
        </w:r>
        <w:proofErr w:type="spellStart"/>
        <w:r w:rsidRPr="009B62AB">
          <w:rPr>
            <w:rStyle w:val="Hiperligao"/>
            <w:b/>
            <w:bCs/>
            <w:color w:val="auto"/>
            <w:sz w:val="20"/>
            <w:szCs w:val="20"/>
            <w:lang w:val="en-GB"/>
          </w:rPr>
          <w:t>Miclaus</w:t>
        </w:r>
        <w:proofErr w:type="spellEnd"/>
      </w:hyperlink>
      <w:r w:rsidRPr="009B62AB">
        <w:rPr>
          <w:b/>
          <w:bCs/>
          <w:sz w:val="20"/>
          <w:szCs w:val="20"/>
          <w:lang w:val="en-GB"/>
        </w:rPr>
        <w:t>, et al., 17 July 2025</w:t>
      </w:r>
    </w:p>
    <w:p w14:paraId="19828E0D" w14:textId="77777777" w:rsidR="007D27C1" w:rsidRPr="009B62AB" w:rsidRDefault="007D27C1" w:rsidP="00382846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0074F20" w14:textId="45917E6D" w:rsidR="008E1006" w:rsidRDefault="006F0BB5" w:rsidP="00382846">
      <w:pPr>
        <w:spacing w:after="0" w:line="240" w:lineRule="auto"/>
        <w:jc w:val="both"/>
        <w:rPr>
          <w:sz w:val="20"/>
          <w:szCs w:val="20"/>
        </w:rPr>
      </w:pPr>
      <w:r w:rsidRPr="000A6AE6">
        <w:rPr>
          <w:sz w:val="20"/>
          <w:szCs w:val="20"/>
        </w:rPr>
        <w:t xml:space="preserve">A </w:t>
      </w:r>
      <w:r w:rsidR="008E1006" w:rsidRPr="000A6AE6">
        <w:rPr>
          <w:sz w:val="20"/>
          <w:szCs w:val="20"/>
        </w:rPr>
        <w:t xml:space="preserve">GARTNER é uma marca registada e </w:t>
      </w:r>
      <w:r w:rsidRPr="000A6AE6">
        <w:rPr>
          <w:sz w:val="20"/>
          <w:szCs w:val="20"/>
        </w:rPr>
        <w:t xml:space="preserve">uma </w:t>
      </w:r>
      <w:r w:rsidR="008E1006" w:rsidRPr="000A6AE6">
        <w:rPr>
          <w:sz w:val="20"/>
          <w:szCs w:val="20"/>
        </w:rPr>
        <w:t xml:space="preserve">marca de serviço da Gartner, Inc. e/ou das suas afiliadas nos EUA e internacionalmente, </w:t>
      </w:r>
      <w:r w:rsidRPr="000A6AE6">
        <w:rPr>
          <w:sz w:val="20"/>
          <w:szCs w:val="20"/>
        </w:rPr>
        <w:t>sendo</w:t>
      </w:r>
      <w:r w:rsidR="008E1006" w:rsidRPr="000A6AE6">
        <w:rPr>
          <w:sz w:val="20"/>
          <w:szCs w:val="20"/>
        </w:rPr>
        <w:t xml:space="preserve"> aqui </w:t>
      </w:r>
      <w:r w:rsidRPr="000A6AE6">
        <w:rPr>
          <w:sz w:val="20"/>
          <w:szCs w:val="20"/>
        </w:rPr>
        <w:t xml:space="preserve">usada </w:t>
      </w:r>
      <w:r w:rsidR="008E1006" w:rsidRPr="000A6AE6">
        <w:rPr>
          <w:sz w:val="20"/>
          <w:szCs w:val="20"/>
        </w:rPr>
        <w:t xml:space="preserve">com permissão. Todos os direitos </w:t>
      </w:r>
      <w:r w:rsidR="5766B488" w:rsidRPr="000A6AE6">
        <w:rPr>
          <w:sz w:val="20"/>
          <w:szCs w:val="20"/>
        </w:rPr>
        <w:t xml:space="preserve">estão </w:t>
      </w:r>
      <w:r w:rsidR="008E1006" w:rsidRPr="000A6AE6">
        <w:rPr>
          <w:sz w:val="20"/>
          <w:szCs w:val="20"/>
        </w:rPr>
        <w:t>reservados.</w:t>
      </w:r>
    </w:p>
    <w:p w14:paraId="100DE5C6" w14:textId="77777777" w:rsidR="00382846" w:rsidRPr="000A6AE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2B147D38" w14:textId="7A86D3D1" w:rsidR="008E1006" w:rsidRDefault="008E1006" w:rsidP="00382846">
      <w:pPr>
        <w:spacing w:after="0" w:line="240" w:lineRule="auto"/>
        <w:jc w:val="both"/>
        <w:rPr>
          <w:sz w:val="20"/>
          <w:szCs w:val="20"/>
        </w:rPr>
      </w:pPr>
      <w:r w:rsidRPr="000A6AE6">
        <w:rPr>
          <w:sz w:val="20"/>
          <w:szCs w:val="20"/>
        </w:rPr>
        <w:t xml:space="preserve">A Gartner não endossa nenhum fornecedor, produto ou serviço descrito nas suas publicações de </w:t>
      </w:r>
      <w:r w:rsidR="006F0BB5" w:rsidRPr="000A6AE6">
        <w:rPr>
          <w:sz w:val="20"/>
          <w:szCs w:val="20"/>
        </w:rPr>
        <w:t xml:space="preserve">análise </w:t>
      </w:r>
      <w:r w:rsidRPr="000A6AE6">
        <w:rPr>
          <w:sz w:val="20"/>
          <w:szCs w:val="20"/>
        </w:rPr>
        <w:t xml:space="preserve">e não aconselha os utilizadores de tecnologia a selecionar apenas os fornecedores com as classificações mais altas ou outras designações. As publicações de </w:t>
      </w:r>
      <w:r w:rsidR="006F0BB5" w:rsidRPr="000A6AE6">
        <w:rPr>
          <w:sz w:val="20"/>
          <w:szCs w:val="20"/>
        </w:rPr>
        <w:t xml:space="preserve">análise </w:t>
      </w:r>
      <w:r w:rsidRPr="000A6AE6">
        <w:rPr>
          <w:sz w:val="20"/>
          <w:szCs w:val="20"/>
        </w:rPr>
        <w:t xml:space="preserve">da Gartner consistem nas opiniões da organização </w:t>
      </w:r>
      <w:r w:rsidR="006F0BB5" w:rsidRPr="000A6AE6">
        <w:rPr>
          <w:sz w:val="20"/>
          <w:szCs w:val="20"/>
        </w:rPr>
        <w:t>de análise</w:t>
      </w:r>
      <w:r w:rsidRPr="000A6AE6">
        <w:rPr>
          <w:sz w:val="20"/>
          <w:szCs w:val="20"/>
        </w:rPr>
        <w:t xml:space="preserve"> da Gartner e não devem ser interpretadas como declarações de facto. A Gartner isenta-se de todas as garantias, expressas ou implícitas, </w:t>
      </w:r>
      <w:r w:rsidR="006F0BB5" w:rsidRPr="000A6AE6">
        <w:rPr>
          <w:sz w:val="20"/>
          <w:szCs w:val="20"/>
        </w:rPr>
        <w:t xml:space="preserve">em </w:t>
      </w:r>
      <w:r w:rsidRPr="000A6AE6">
        <w:rPr>
          <w:sz w:val="20"/>
          <w:szCs w:val="20"/>
        </w:rPr>
        <w:t xml:space="preserve">relação a esta </w:t>
      </w:r>
      <w:r w:rsidR="006F0BB5" w:rsidRPr="000A6AE6">
        <w:rPr>
          <w:sz w:val="20"/>
          <w:szCs w:val="20"/>
        </w:rPr>
        <w:t>investigação</w:t>
      </w:r>
      <w:r w:rsidRPr="000A6AE6">
        <w:rPr>
          <w:sz w:val="20"/>
          <w:szCs w:val="20"/>
        </w:rPr>
        <w:t>, incluindo quaisquer garantias de comercialização ou adequação a uma finalidade específica.</w:t>
      </w:r>
    </w:p>
    <w:p w14:paraId="7ACE6060" w14:textId="77777777" w:rsidR="00382846" w:rsidRDefault="00382846" w:rsidP="00382846">
      <w:pPr>
        <w:spacing w:after="0" w:line="240" w:lineRule="auto"/>
        <w:jc w:val="both"/>
        <w:rPr>
          <w:sz w:val="20"/>
          <w:szCs w:val="20"/>
        </w:rPr>
      </w:pPr>
    </w:p>
    <w:p w14:paraId="6067A7C2" w14:textId="3A9C3D54" w:rsidR="000A6AE6" w:rsidRDefault="000A6AE6" w:rsidP="0038284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6A2BBE06" w14:textId="77777777" w:rsidR="00382846" w:rsidRPr="000A6AE6" w:rsidRDefault="00382846" w:rsidP="00382846">
      <w:pPr>
        <w:spacing w:after="0" w:line="240" w:lineRule="auto"/>
        <w:jc w:val="center"/>
        <w:rPr>
          <w:sz w:val="20"/>
          <w:szCs w:val="20"/>
        </w:rPr>
      </w:pPr>
    </w:p>
    <w:p w14:paraId="0535260A" w14:textId="77777777" w:rsidR="00D63CB3" w:rsidRPr="000A6AE6" w:rsidRDefault="00D63CB3" w:rsidP="00382846">
      <w:pPr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0A6AE6">
        <w:rPr>
          <w:b/>
          <w:bCs/>
          <w:sz w:val="18"/>
          <w:szCs w:val="18"/>
          <w:u w:val="single"/>
        </w:rPr>
        <w:t>Sobre a NTT DATA </w:t>
      </w:r>
    </w:p>
    <w:p w14:paraId="3451EEA4" w14:textId="77777777" w:rsidR="00D63CB3" w:rsidRDefault="00D63CB3" w:rsidP="00382846">
      <w:pPr>
        <w:spacing w:after="0" w:line="240" w:lineRule="auto"/>
        <w:jc w:val="both"/>
        <w:rPr>
          <w:sz w:val="18"/>
          <w:szCs w:val="18"/>
        </w:rPr>
      </w:pPr>
      <w:r w:rsidRPr="000A6AE6">
        <w:rPr>
          <w:sz w:val="18"/>
          <w:szCs w:val="18"/>
        </w:rPr>
        <w:t xml:space="preserve">A NTT DATA é uma consultora global de negócio e tecnologia, com receitas superiores a 30 mil milhões de dólares. A empresa presta serviços a 75% das empresas do Fortune Global 100 e está empenhada em ajudar os clientes a inovar, a otimizar e a transformar-se para alcançar um sucesso de longo prazo. Na qualidade de Global Top </w:t>
      </w:r>
      <w:proofErr w:type="spellStart"/>
      <w:r w:rsidRPr="000A6AE6">
        <w:rPr>
          <w:sz w:val="18"/>
          <w:szCs w:val="18"/>
        </w:rPr>
        <w:t>Employer</w:t>
      </w:r>
      <w:proofErr w:type="spellEnd"/>
      <w:r w:rsidRPr="000A6AE6">
        <w:rPr>
          <w:sz w:val="18"/>
          <w:szCs w:val="18"/>
        </w:rPr>
        <w:t>, a empresa tem especialistas em mais de 50 países e um ecossistema sólido de parceiros que inclui empresas consolidadas e start-ups. Os seus serviços incluem consultoria empresarial e tecnológica, dados e inteligência artificial, soluções setoriais, assim como o desenvolvimento, implementação e gestão de aplicações, infraestruturas e conectividade. É também um dos principais fornecedores mundiais de infraestruturas digitais e de IA. A NTT DATA faz parte do Grupo NTT, que investe anualmente mais de 3,6 mil milhões de dólares em Investigação &amp; Desenvolvimento, para ajudar as organizações e a sociedade a avançar com confiança e de forma sustentável em direção ao futuro digital. </w:t>
      </w:r>
    </w:p>
    <w:p w14:paraId="6AA99915" w14:textId="77777777" w:rsidR="001244A9" w:rsidRPr="000A6AE6" w:rsidRDefault="001244A9" w:rsidP="00382846">
      <w:pPr>
        <w:spacing w:after="0" w:line="240" w:lineRule="auto"/>
        <w:jc w:val="both"/>
        <w:rPr>
          <w:sz w:val="18"/>
          <w:szCs w:val="18"/>
        </w:rPr>
      </w:pPr>
    </w:p>
    <w:p w14:paraId="1FBFA007" w14:textId="77777777" w:rsidR="00D63CB3" w:rsidRPr="001244A9" w:rsidRDefault="00D63CB3" w:rsidP="00382846">
      <w:pPr>
        <w:spacing w:after="0" w:line="240" w:lineRule="auto"/>
        <w:jc w:val="both"/>
        <w:rPr>
          <w:sz w:val="16"/>
          <w:szCs w:val="16"/>
        </w:rPr>
      </w:pPr>
      <w:r w:rsidRPr="001244A9">
        <w:rPr>
          <w:sz w:val="16"/>
          <w:szCs w:val="16"/>
        </w:rPr>
        <w:t>Visite-nos em nttdata.com </w:t>
      </w:r>
    </w:p>
    <w:p w14:paraId="2081151B" w14:textId="77777777" w:rsidR="00573365" w:rsidRDefault="00573365" w:rsidP="00382846">
      <w:pPr>
        <w:spacing w:after="0" w:line="240" w:lineRule="auto"/>
        <w:jc w:val="both"/>
        <w:rPr>
          <w:lang w:val="en-US"/>
        </w:rPr>
      </w:pPr>
    </w:p>
    <w:p w14:paraId="4D850B60" w14:textId="77777777" w:rsidR="008B23A2" w:rsidRDefault="008B23A2" w:rsidP="00382846">
      <w:pPr>
        <w:spacing w:after="0" w:line="240" w:lineRule="auto"/>
        <w:jc w:val="both"/>
        <w:rPr>
          <w:lang w:val="en-US"/>
        </w:rPr>
      </w:pPr>
    </w:p>
    <w:p w14:paraId="61418955" w14:textId="77777777" w:rsidR="008B23A2" w:rsidRDefault="008B23A2" w:rsidP="008B23A2">
      <w:pPr>
        <w:spacing w:line="276" w:lineRule="auto"/>
        <w:jc w:val="both"/>
        <w:rPr>
          <w:rFonts w:ascii="Aptos" w:eastAsia="Aptos" w:hAnsi="Aptos" w:cs="Aptos"/>
          <w:b/>
          <w:bCs/>
          <w:sz w:val="16"/>
          <w:szCs w:val="16"/>
        </w:rPr>
      </w:pPr>
    </w:p>
    <w:p w14:paraId="2A3E60AA" w14:textId="77777777" w:rsidR="008B23A2" w:rsidRPr="00F418C7" w:rsidRDefault="008B23A2" w:rsidP="008B23A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hAnsi="Century Gothic" w:cstheme="minorHAnsi"/>
          <w:color w:val="000000"/>
          <w:sz w:val="16"/>
          <w:szCs w:val="16"/>
        </w:rPr>
      </w:pPr>
      <w:r>
        <w:rPr>
          <w:rStyle w:val="normaltextrun"/>
          <w:rFonts w:ascii="Century Gothic" w:hAnsi="Century Gothic" w:cstheme="minorHAnsi"/>
          <w:b/>
          <w:bCs/>
          <w:color w:val="000000"/>
          <w:sz w:val="16"/>
          <w:szCs w:val="16"/>
        </w:rPr>
        <w:t>P</w:t>
      </w:r>
      <w:r w:rsidRPr="00F418C7">
        <w:rPr>
          <w:rStyle w:val="normaltextrun"/>
          <w:rFonts w:ascii="Century Gothic" w:hAnsi="Century Gothic" w:cstheme="minorHAnsi"/>
          <w:b/>
          <w:bCs/>
          <w:color w:val="000000"/>
          <w:sz w:val="16"/>
          <w:szCs w:val="16"/>
        </w:rPr>
        <w:t>ara mais informações contactar:</w:t>
      </w:r>
    </w:p>
    <w:p w14:paraId="360F2AFB" w14:textId="77777777" w:rsidR="008B23A2" w:rsidRPr="00F418C7" w:rsidRDefault="008B23A2" w:rsidP="008B23A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6"/>
          <w:szCs w:val="16"/>
        </w:rPr>
      </w:pPr>
    </w:p>
    <w:p w14:paraId="7EF0B51F" w14:textId="77777777" w:rsidR="008B23A2" w:rsidRDefault="008B23A2" w:rsidP="008B23A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hAnsi="Century Gothic" w:cstheme="minorHAnsi"/>
          <w:sz w:val="16"/>
          <w:szCs w:val="16"/>
        </w:rPr>
      </w:pPr>
      <w:r w:rsidRPr="00F418C7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54F0BB22" wp14:editId="18382A3E">
            <wp:extent cx="1892411" cy="383213"/>
            <wp:effectExtent l="0" t="0" r="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21" cy="4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F20B" w14:textId="77777777" w:rsidR="00156B70" w:rsidRPr="00F418C7" w:rsidRDefault="00156B70" w:rsidP="008B23A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hAnsi="Century Gothic" w:cstheme="minorHAnsi"/>
          <w:sz w:val="16"/>
          <w:szCs w:val="16"/>
        </w:rPr>
      </w:pPr>
    </w:p>
    <w:p w14:paraId="7C9BBE6B" w14:textId="19AA93F9" w:rsidR="008B23A2" w:rsidRDefault="008B23A2" w:rsidP="008B23A2">
      <w:pPr>
        <w:spacing w:after="0"/>
        <w:jc w:val="center"/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</w:pPr>
      <w:r w:rsidRPr="00F418C7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Ana Santos | </w:t>
      </w:r>
      <w:hyperlink r:id="rId17" w:history="1">
        <w:r w:rsidRPr="00F418C7">
          <w:rPr>
            <w:rStyle w:val="Hiperligao"/>
            <w:rFonts w:ascii="Century Gothic" w:eastAsiaTheme="minorEastAsia" w:hAnsi="Century Gothic" w:cstheme="minorHAnsi"/>
            <w:noProof/>
            <w:sz w:val="16"/>
            <w:szCs w:val="16"/>
          </w:rPr>
          <w:t>ana.santos@lift.com.pt</w:t>
        </w:r>
      </w:hyperlink>
      <w:r w:rsidRPr="00F418C7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 | +351 914 409</w:t>
      </w:r>
      <w:r w:rsidR="00156B70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> </w:t>
      </w:r>
      <w:r w:rsidRPr="00F418C7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>595</w:t>
      </w:r>
    </w:p>
    <w:p w14:paraId="3FFB6F47" w14:textId="6E211CC5" w:rsidR="00156B70" w:rsidRPr="00156B70" w:rsidRDefault="00156B70" w:rsidP="00156B70">
      <w:pPr>
        <w:spacing w:after="0"/>
        <w:jc w:val="center"/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</w:pPr>
      <w:r w:rsidRPr="00156B70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Erica Macieira | </w:t>
      </w:r>
      <w:hyperlink r:id="rId18" w:history="1">
        <w:r w:rsidRPr="00D92597">
          <w:rPr>
            <w:rStyle w:val="Hiperligao"/>
            <w:rFonts w:ascii="Century Gothic" w:eastAsiaTheme="minorEastAsia" w:hAnsi="Century Gothic" w:cstheme="minorHAnsi"/>
            <w:noProof/>
            <w:sz w:val="16"/>
            <w:szCs w:val="16"/>
          </w:rPr>
          <w:t>erica.macieira@lift.com.pt</w:t>
        </w:r>
      </w:hyperlink>
      <w:r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 </w:t>
      </w:r>
      <w:r w:rsidRPr="00156B70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| +351 910 549 515 </w:t>
      </w:r>
    </w:p>
    <w:p w14:paraId="09F82DB9" w14:textId="77777777" w:rsidR="00156B70" w:rsidRDefault="00156B70" w:rsidP="008B23A2">
      <w:pPr>
        <w:spacing w:after="0"/>
        <w:jc w:val="center"/>
        <w:rPr>
          <w:rFonts w:ascii="Century Gothic" w:hAnsi="Century Gothic"/>
        </w:rPr>
      </w:pPr>
    </w:p>
    <w:p w14:paraId="7DE4FDFC" w14:textId="77777777" w:rsidR="008B23A2" w:rsidRPr="00644651" w:rsidRDefault="008B23A2" w:rsidP="008B23A2">
      <w:pPr>
        <w:spacing w:line="276" w:lineRule="auto"/>
        <w:jc w:val="both"/>
        <w:rPr>
          <w:rFonts w:ascii="Aptos" w:eastAsia="Aptos" w:hAnsi="Aptos" w:cs="Aptos"/>
          <w:b/>
          <w:bCs/>
          <w:sz w:val="16"/>
          <w:szCs w:val="16"/>
        </w:rPr>
      </w:pPr>
    </w:p>
    <w:p w14:paraId="4D556CF3" w14:textId="77777777" w:rsidR="008B23A2" w:rsidRPr="008B23A2" w:rsidRDefault="008B23A2" w:rsidP="00382846">
      <w:pPr>
        <w:spacing w:after="0" w:line="240" w:lineRule="auto"/>
        <w:jc w:val="both"/>
      </w:pPr>
    </w:p>
    <w:sectPr w:rsidR="008B23A2" w:rsidRPr="008B23A2" w:rsidSect="007F1148">
      <w:headerReference w:type="default" r:id="rId19"/>
      <w:footerReference w:type="default" r:id="rId2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E7B0" w14:textId="77777777" w:rsidR="00421B5C" w:rsidRDefault="00421B5C">
      <w:pPr>
        <w:spacing w:after="0" w:line="240" w:lineRule="auto"/>
      </w:pPr>
      <w:r>
        <w:separator/>
      </w:r>
    </w:p>
  </w:endnote>
  <w:endnote w:type="continuationSeparator" w:id="0">
    <w:p w14:paraId="10D2B1C3" w14:textId="77777777" w:rsidR="00421B5C" w:rsidRDefault="0042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C3EE991" w14:paraId="68B6830B" w14:textId="77777777" w:rsidTr="4C3EE991">
      <w:trPr>
        <w:trHeight w:val="300"/>
      </w:trPr>
      <w:tc>
        <w:tcPr>
          <w:tcW w:w="2830" w:type="dxa"/>
        </w:tcPr>
        <w:p w14:paraId="73A229A5" w14:textId="0C6C122F" w:rsidR="4C3EE991" w:rsidRDefault="4C3EE991" w:rsidP="4C3EE991">
          <w:pPr>
            <w:pStyle w:val="Cabealho"/>
            <w:ind w:left="-115"/>
          </w:pPr>
        </w:p>
      </w:tc>
      <w:tc>
        <w:tcPr>
          <w:tcW w:w="2830" w:type="dxa"/>
        </w:tcPr>
        <w:p w14:paraId="0462FE1F" w14:textId="3205EE62" w:rsidR="4C3EE991" w:rsidRDefault="4C3EE991" w:rsidP="4C3EE991">
          <w:pPr>
            <w:pStyle w:val="Cabealho"/>
            <w:jc w:val="center"/>
          </w:pPr>
        </w:p>
      </w:tc>
      <w:tc>
        <w:tcPr>
          <w:tcW w:w="2830" w:type="dxa"/>
        </w:tcPr>
        <w:p w14:paraId="32DDDF9B" w14:textId="4774E6C4" w:rsidR="4C3EE991" w:rsidRDefault="4C3EE991" w:rsidP="4C3EE991">
          <w:pPr>
            <w:pStyle w:val="Cabealho"/>
            <w:ind w:right="-115"/>
            <w:jc w:val="right"/>
          </w:pPr>
        </w:p>
      </w:tc>
    </w:tr>
  </w:tbl>
  <w:p w14:paraId="453F5203" w14:textId="72979368" w:rsidR="4C3EE991" w:rsidRDefault="4C3EE991" w:rsidP="4C3EE9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57E0" w14:textId="77777777" w:rsidR="00421B5C" w:rsidRDefault="00421B5C">
      <w:pPr>
        <w:spacing w:after="0" w:line="240" w:lineRule="auto"/>
      </w:pPr>
      <w:r>
        <w:separator/>
      </w:r>
    </w:p>
  </w:footnote>
  <w:footnote w:type="continuationSeparator" w:id="0">
    <w:p w14:paraId="3367D912" w14:textId="77777777" w:rsidR="00421B5C" w:rsidRDefault="0042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1"/>
      <w:gridCol w:w="1979"/>
      <w:gridCol w:w="2830"/>
    </w:tblGrid>
    <w:tr w:rsidR="4C3EE991" w14:paraId="45C5D6F4" w14:textId="77777777" w:rsidTr="00127DF8">
      <w:trPr>
        <w:trHeight w:val="300"/>
      </w:trPr>
      <w:tc>
        <w:tcPr>
          <w:tcW w:w="3681" w:type="dxa"/>
          <w:vAlign w:val="center"/>
        </w:tcPr>
        <w:p w14:paraId="6FC7ECD6" w14:textId="77777777" w:rsidR="00127DF8" w:rsidRPr="00127DF8" w:rsidRDefault="00127DF8" w:rsidP="00127DF8">
          <w:pPr>
            <w:pStyle w:val="Cabealho"/>
            <w:rPr>
              <w:sz w:val="22"/>
              <w:szCs w:val="22"/>
            </w:rPr>
          </w:pPr>
          <w:r w:rsidRPr="00127DF8">
            <w:rPr>
              <w:sz w:val="22"/>
              <w:szCs w:val="22"/>
            </w:rPr>
            <w:t>Comunicado de imprensa</w:t>
          </w:r>
        </w:p>
        <w:p w14:paraId="503A085E" w14:textId="4914981E" w:rsidR="4C3EE991" w:rsidRDefault="4C3EE991" w:rsidP="00127DF8">
          <w:pPr>
            <w:pStyle w:val="Cabealho"/>
            <w:ind w:left="-115"/>
          </w:pPr>
        </w:p>
      </w:tc>
      <w:tc>
        <w:tcPr>
          <w:tcW w:w="1979" w:type="dxa"/>
        </w:tcPr>
        <w:p w14:paraId="2EC9B559" w14:textId="7202D752" w:rsidR="4C3EE991" w:rsidRDefault="4C3EE991" w:rsidP="4C3EE991">
          <w:pPr>
            <w:pStyle w:val="Cabealho"/>
            <w:jc w:val="center"/>
          </w:pPr>
        </w:p>
      </w:tc>
      <w:tc>
        <w:tcPr>
          <w:tcW w:w="2830" w:type="dxa"/>
        </w:tcPr>
        <w:p w14:paraId="4961DDAD" w14:textId="361C87AC" w:rsidR="4C3EE991" w:rsidRDefault="009B62AB" w:rsidP="4C3EE991">
          <w:pPr>
            <w:pStyle w:val="Cabealho"/>
            <w:ind w:right="-115"/>
            <w:jc w:val="right"/>
          </w:pPr>
          <w:r w:rsidRPr="00A3304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29AE10" wp14:editId="2F7650A8">
                <wp:simplePos x="0" y="0"/>
                <wp:positionH relativeFrom="column">
                  <wp:posOffset>185064</wp:posOffset>
                </wp:positionH>
                <wp:positionV relativeFrom="paragraph">
                  <wp:posOffset>92</wp:posOffset>
                </wp:positionV>
                <wp:extent cx="1482725" cy="406400"/>
                <wp:effectExtent l="0" t="0" r="0" b="0"/>
                <wp:wrapSquare wrapText="bothSides"/>
                <wp:docPr id="40547123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064745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601B1B" w14:textId="31A136C9" w:rsidR="4C3EE991" w:rsidRDefault="4C3EE991" w:rsidP="00CB0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A5"/>
    <w:rsid w:val="00016C22"/>
    <w:rsid w:val="00023B63"/>
    <w:rsid w:val="000A6AE6"/>
    <w:rsid w:val="001244A9"/>
    <w:rsid w:val="00127DF8"/>
    <w:rsid w:val="0014512E"/>
    <w:rsid w:val="00156B70"/>
    <w:rsid w:val="001B3D15"/>
    <w:rsid w:val="00210089"/>
    <w:rsid w:val="002379F2"/>
    <w:rsid w:val="00270638"/>
    <w:rsid w:val="002C07A5"/>
    <w:rsid w:val="002C17CE"/>
    <w:rsid w:val="00322205"/>
    <w:rsid w:val="003542B7"/>
    <w:rsid w:val="00382846"/>
    <w:rsid w:val="00421B5C"/>
    <w:rsid w:val="00570368"/>
    <w:rsid w:val="00573365"/>
    <w:rsid w:val="00575205"/>
    <w:rsid w:val="005926B6"/>
    <w:rsid w:val="00593B35"/>
    <w:rsid w:val="005D17EE"/>
    <w:rsid w:val="00612988"/>
    <w:rsid w:val="0062261E"/>
    <w:rsid w:val="00651F3E"/>
    <w:rsid w:val="006A3E7A"/>
    <w:rsid w:val="006C0664"/>
    <w:rsid w:val="006F0BB5"/>
    <w:rsid w:val="00765002"/>
    <w:rsid w:val="007B1008"/>
    <w:rsid w:val="007D27C1"/>
    <w:rsid w:val="007F1148"/>
    <w:rsid w:val="008B23A2"/>
    <w:rsid w:val="008C770E"/>
    <w:rsid w:val="008E1006"/>
    <w:rsid w:val="008F3B84"/>
    <w:rsid w:val="008F7C3D"/>
    <w:rsid w:val="00925951"/>
    <w:rsid w:val="009B62AB"/>
    <w:rsid w:val="00A24165"/>
    <w:rsid w:val="00A372A5"/>
    <w:rsid w:val="00AC3892"/>
    <w:rsid w:val="00AE3573"/>
    <w:rsid w:val="00B06615"/>
    <w:rsid w:val="00B3599A"/>
    <w:rsid w:val="00BF14B1"/>
    <w:rsid w:val="00C11A07"/>
    <w:rsid w:val="00C13A0B"/>
    <w:rsid w:val="00C474B8"/>
    <w:rsid w:val="00C87DA9"/>
    <w:rsid w:val="00CA0DA5"/>
    <w:rsid w:val="00CB078B"/>
    <w:rsid w:val="00CD0107"/>
    <w:rsid w:val="00D12B56"/>
    <w:rsid w:val="00D42FCC"/>
    <w:rsid w:val="00D63CB3"/>
    <w:rsid w:val="00D93A5A"/>
    <w:rsid w:val="00DD5929"/>
    <w:rsid w:val="00DE783F"/>
    <w:rsid w:val="00DF7823"/>
    <w:rsid w:val="00EC5C00"/>
    <w:rsid w:val="00F51640"/>
    <w:rsid w:val="00F96F0D"/>
    <w:rsid w:val="00FB2719"/>
    <w:rsid w:val="063EA84E"/>
    <w:rsid w:val="093DC8C5"/>
    <w:rsid w:val="0E264CCB"/>
    <w:rsid w:val="13AEB33F"/>
    <w:rsid w:val="1DE29E88"/>
    <w:rsid w:val="1E46E7F0"/>
    <w:rsid w:val="20FBA11E"/>
    <w:rsid w:val="2432323C"/>
    <w:rsid w:val="292E3EA6"/>
    <w:rsid w:val="2B4EAFA0"/>
    <w:rsid w:val="2CBEE2FD"/>
    <w:rsid w:val="2FA6CE01"/>
    <w:rsid w:val="368E51FB"/>
    <w:rsid w:val="3A8D4440"/>
    <w:rsid w:val="4230315D"/>
    <w:rsid w:val="427CB5E0"/>
    <w:rsid w:val="43376D31"/>
    <w:rsid w:val="4C3EE991"/>
    <w:rsid w:val="4CFC1A40"/>
    <w:rsid w:val="4E490E78"/>
    <w:rsid w:val="4EE08A67"/>
    <w:rsid w:val="5766B488"/>
    <w:rsid w:val="58EB7396"/>
    <w:rsid w:val="5C98B8C4"/>
    <w:rsid w:val="5EBB2ED1"/>
    <w:rsid w:val="5ECE77B8"/>
    <w:rsid w:val="605B419F"/>
    <w:rsid w:val="61285A8C"/>
    <w:rsid w:val="61ACFF74"/>
    <w:rsid w:val="64460DFB"/>
    <w:rsid w:val="644BA267"/>
    <w:rsid w:val="6928588F"/>
    <w:rsid w:val="6C90BCED"/>
    <w:rsid w:val="6D2283EE"/>
    <w:rsid w:val="745E37D9"/>
    <w:rsid w:val="750C1BD5"/>
    <w:rsid w:val="7B7E3CF8"/>
    <w:rsid w:val="7E56687D"/>
    <w:rsid w:val="7FB4E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1C33"/>
  <w15:chartTrackingRefBased/>
  <w15:docId w15:val="{15C55B75-E51A-4DE7-B07C-19738B20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A0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A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A0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A0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A0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A0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A0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A0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A0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A0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A0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A0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A0D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A0DA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A0D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A0DA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A0D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A0D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A0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A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A0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A0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A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A0D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0DA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A0D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A0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A0DA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A0DA5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A0DA5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0DA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63CB3"/>
    <w:pPr>
      <w:spacing w:after="0" w:line="240" w:lineRule="auto"/>
    </w:pPr>
  </w:style>
  <w:style w:type="paragraph" w:styleId="Cabealho">
    <w:name w:val="header"/>
    <w:basedOn w:val="Normal"/>
    <w:uiPriority w:val="99"/>
    <w:unhideWhenUsed/>
    <w:rsid w:val="4C3EE991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C3EE991"/>
    <w:pPr>
      <w:tabs>
        <w:tab w:val="center" w:pos="4680"/>
        <w:tab w:val="right" w:pos="9360"/>
      </w:tabs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B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normaltextrun">
    <w:name w:val="normaltextrun"/>
    <w:basedOn w:val="Tipodeletrapredefinidodopargrafo"/>
    <w:rsid w:val="008B23A2"/>
  </w:style>
  <w:style w:type="character" w:customStyle="1" w:styleId="eop">
    <w:name w:val="eop"/>
    <w:basedOn w:val="Tipodeletrapredefinidodopargrafo"/>
    <w:rsid w:val="008B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.nttdata.com" TargetMode="External"/><Relationship Id="rId18" Type="http://schemas.openxmlformats.org/officeDocument/2006/relationships/hyperlink" Target="mailto:erica.macieira@lift.com.p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nttdata.com/global/en/insights/focus/2025/a-force-for-good-how-ai-and-genai-are-reshaping-our-world" TargetMode="External"/><Relationship Id="rId17" Type="http://schemas.openxmlformats.org/officeDocument/2006/relationships/hyperlink" Target="mailto:ana.santos@lift.com.p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nttdata.com/news/ntt-data-launches-agentic-ai-services-for-hyperscaler-ai-technologies?_gl=1*pkrzkx*_gcl_au*MTEyMjU0MDY0NS4xNzUxMzg1OTM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tner.com/analyst/b9c904bf7da2" TargetMode="External"/><Relationship Id="rId10" Type="http://schemas.openxmlformats.org/officeDocument/2006/relationships/hyperlink" Target="https://pt.nttdata.com/landings/agentic-ai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artner.com/analyst/b1cf02bc7b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439792540114CACC1B0E6A3C20D03" ma:contentTypeVersion="19" ma:contentTypeDescription="Create a new document." ma:contentTypeScope="" ma:versionID="daeb145e6f3fe01ef8e9eb1799596254">
  <xsd:schema xmlns:xsd="http://www.w3.org/2001/XMLSchema" xmlns:xs="http://www.w3.org/2001/XMLSchema" xmlns:p="http://schemas.microsoft.com/office/2006/metadata/properties" xmlns:ns2="92d4967f-e124-43f3-a68f-dac69c34bad6" xmlns:ns3="c17badae-82f5-44c6-a5ed-7d84be8fc952" targetNamespace="http://schemas.microsoft.com/office/2006/metadata/properties" ma:root="true" ma:fieldsID="1246fdd4b1f0e205015635fbf0c43f99" ns2:_="" ns3:_="">
    <xsd:import namespace="92d4967f-e124-43f3-a68f-dac69c34bad6"/>
    <xsd:import namespace="c17badae-82f5-44c6-a5ed-7d84be8fc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967f-e124-43f3-a68f-dac69c34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adae-82f5-44c6-a5ed-7d84be8fc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bd9501-ea29-4620-9619-61cd4248534c}" ma:internalName="TaxCatchAll" ma:showField="CatchAllData" ma:web="c17badae-82f5-44c6-a5ed-7d84be8fc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4967f-e124-43f3-a68f-dac69c34bad6">
      <Terms xmlns="http://schemas.microsoft.com/office/infopath/2007/PartnerControls"/>
    </lcf76f155ced4ddcb4097134ff3c332f>
    <TaxCatchAll xmlns="c17badae-82f5-44c6-a5ed-7d84be8fc952" xsi:nil="true"/>
  </documentManagement>
</p:properties>
</file>

<file path=customXml/itemProps1.xml><?xml version="1.0" encoding="utf-8"?>
<ds:datastoreItem xmlns:ds="http://schemas.openxmlformats.org/officeDocument/2006/customXml" ds:itemID="{8488F3DB-41A7-41AA-9800-B80BD1513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1554A-0DC5-418B-9FF0-5A7A4A1C6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4967f-e124-43f3-a68f-dac69c34bad6"/>
    <ds:schemaRef ds:uri="c17badae-82f5-44c6-a5ed-7d84be8fc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3D7AA-C4E2-487C-849E-F1C0EA944152}">
  <ds:schemaRefs>
    <ds:schemaRef ds:uri="http://schemas.microsoft.com/office/2006/metadata/properties"/>
    <ds:schemaRef ds:uri="http://schemas.microsoft.com/office/infopath/2007/PartnerControls"/>
    <ds:schemaRef ds:uri="92d4967f-e124-43f3-a68f-dac69c34bad6"/>
    <ds:schemaRef ds:uri="c17badae-82f5-44c6-a5ed-7d84be8fc952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969</Words>
  <Characters>5233</Characters>
  <Application>Microsoft Office Word</Application>
  <DocSecurity>0</DocSecurity>
  <Lines>43</Lines>
  <Paragraphs>12</Paragraphs>
  <ScaleCrop>false</ScaleCrop>
  <Company>NTT Data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Figueiredo Augusto</dc:creator>
  <cp:keywords/>
  <dc:description/>
  <cp:lastModifiedBy>Ana Santos</cp:lastModifiedBy>
  <cp:revision>30</cp:revision>
  <dcterms:created xsi:type="dcterms:W3CDTF">2025-07-24T06:01:00Z</dcterms:created>
  <dcterms:modified xsi:type="dcterms:W3CDTF">2025-07-28T09:03:00Z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0x010100C64439792540114CACC1B0E6A3C20D03</vt:lpwstr>
  </property>
  <property fmtid="{D5CDD505-2E9C-101B-9397-08002B2CF9AE}" pid="3" name="MediaServiceImageTags">
    <vt:lpwstr/>
  </property>
</Properties>
</file>