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C0B76" w:rsidRPr="008C0B76" w14:paraId="5EA33150" w14:textId="77777777" w:rsidTr="00F47D26">
        <w:trPr>
          <w:trHeight w:hRule="exact" w:val="300"/>
        </w:trPr>
        <w:tc>
          <w:tcPr>
            <w:tcW w:w="8504" w:type="dxa"/>
          </w:tcPr>
          <w:p w14:paraId="4CC9392C" w14:textId="77777777" w:rsidR="008C0B76" w:rsidRPr="008D1132" w:rsidRDefault="00C31EFC" w:rsidP="008D1132">
            <w:pPr>
              <w:pStyle w:val="Intitul"/>
            </w:pPr>
            <w:r>
              <w:t>Informacja prasow</w:t>
            </w:r>
            <w:r w:rsidR="00CC7B62">
              <w:t>a</w:t>
            </w:r>
          </w:p>
        </w:tc>
      </w:tr>
      <w:tr w:rsidR="008C0B76" w:rsidRPr="008C0B76" w14:paraId="7C86B83B" w14:textId="77777777" w:rsidTr="00F47D26">
        <w:trPr>
          <w:trHeight w:hRule="exact" w:val="300"/>
        </w:trPr>
        <w:tc>
          <w:tcPr>
            <w:tcW w:w="8504" w:type="dxa"/>
          </w:tcPr>
          <w:p w14:paraId="35A7AC38" w14:textId="451837A2" w:rsidR="008C0B76" w:rsidRPr="008D1132" w:rsidRDefault="00F34DCE" w:rsidP="00016461">
            <w:pPr>
              <w:pStyle w:val="Datedudocument"/>
            </w:pPr>
            <w:r>
              <w:t>25 lipca</w:t>
            </w:r>
            <w:bookmarkStart w:id="0" w:name="_GoBack"/>
            <w:bookmarkEnd w:id="0"/>
            <w:r w:rsidR="008C0B76" w:rsidRPr="008D1132">
              <w:t xml:space="preserve"> 202</w:t>
            </w:r>
            <w:r w:rsidR="00CC7B62">
              <w:t>5</w:t>
            </w:r>
          </w:p>
        </w:tc>
      </w:tr>
      <w:tr w:rsidR="008C0B76" w:rsidRPr="008C0B76" w14:paraId="33FBAD9F" w14:textId="77777777" w:rsidTr="00F47D26">
        <w:trPr>
          <w:trHeight w:hRule="exact" w:val="851"/>
        </w:trPr>
        <w:tc>
          <w:tcPr>
            <w:tcW w:w="8504" w:type="dxa"/>
          </w:tcPr>
          <w:p w14:paraId="5756B21C" w14:textId="77777777" w:rsidR="008C0B76" w:rsidRPr="008C0B76" w:rsidRDefault="008C0B76" w:rsidP="008C0B76">
            <w:pPr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5940713F" w14:textId="522A58AB" w:rsidR="00562B4F" w:rsidRPr="00B157BB" w:rsidRDefault="0005751F" w:rsidP="008D1132">
      <w:pPr>
        <w:pStyle w:val="Nagwek1"/>
        <w:rPr>
          <w:lang w:val="pl-PL"/>
        </w:rPr>
      </w:pPr>
      <w:r w:rsidRPr="00B157BB">
        <w:rPr>
          <w:b/>
          <w:lang w:val="pl-PL"/>
        </w:rPr>
        <w:t xml:space="preserve">ENGIE EC serwis instaluje </w:t>
      </w:r>
      <w:r w:rsidR="00733A49">
        <w:rPr>
          <w:b/>
          <w:lang w:val="pl-PL"/>
        </w:rPr>
        <w:t xml:space="preserve">w Płocku </w:t>
      </w:r>
      <w:r w:rsidRPr="00B157BB">
        <w:rPr>
          <w:b/>
          <w:lang w:val="pl-PL"/>
        </w:rPr>
        <w:t>węzły cieplne na wynajem</w:t>
      </w:r>
    </w:p>
    <w:p w14:paraId="1845587A" w14:textId="77777777" w:rsidR="008C0B76" w:rsidRPr="00B157BB" w:rsidRDefault="008C0B76" w:rsidP="00562B4F">
      <w:pPr>
        <w:pStyle w:val="Textedesaisie"/>
        <w:rPr>
          <w:color w:val="auto"/>
        </w:rPr>
      </w:pPr>
    </w:p>
    <w:p w14:paraId="37600AF3" w14:textId="77777777" w:rsidR="00096706" w:rsidRPr="00B157BB" w:rsidRDefault="00096706" w:rsidP="00562B4F">
      <w:pPr>
        <w:pStyle w:val="Textedesaisie"/>
        <w:rPr>
          <w:b/>
          <w:bCs/>
        </w:rPr>
      </w:pPr>
    </w:p>
    <w:p w14:paraId="235A6443" w14:textId="0AC1A7D6" w:rsidR="0005751F" w:rsidRPr="00B44367" w:rsidRDefault="005F3742" w:rsidP="00562B4F">
      <w:pPr>
        <w:pStyle w:val="Textedesaisie"/>
        <w:rPr>
          <w:b/>
          <w:bCs/>
        </w:rPr>
      </w:pPr>
      <w:r w:rsidRPr="00B44367">
        <w:rPr>
          <w:b/>
          <w:bCs/>
        </w:rPr>
        <w:t>Ubiegłoroczny sezon grzewczy w wielu częściach kraju upłynął pod znakiem gwałtownych podwyżek cen ciepła i dużej niepewności. Dla odbiorców</w:t>
      </w:r>
      <w:r w:rsidR="001716F8">
        <w:rPr>
          <w:b/>
          <w:bCs/>
        </w:rPr>
        <w:t xml:space="preserve">, </w:t>
      </w:r>
      <w:r w:rsidRPr="00B44367">
        <w:rPr>
          <w:b/>
          <w:bCs/>
        </w:rPr>
        <w:t>zwłaszcza wspólnot mieszkaniowych, spółdzielni i lokatorów</w:t>
      </w:r>
      <w:r w:rsidR="001716F8">
        <w:rPr>
          <w:b/>
          <w:bCs/>
        </w:rPr>
        <w:t xml:space="preserve">, </w:t>
      </w:r>
      <w:r w:rsidRPr="00B44367">
        <w:rPr>
          <w:b/>
          <w:bCs/>
        </w:rPr>
        <w:t>oznaczało to zaskoczenie, brak wpływu na koszty oraz konieczność radzenia sobie z rosnącymi rachunkami. W wielu przypadkach również samo przyłączenie do sieci ciepłowniczej wiąże się z dodatkowymi wydatkami</w:t>
      </w:r>
      <w:r w:rsidR="001716F8">
        <w:rPr>
          <w:b/>
          <w:bCs/>
        </w:rPr>
        <w:t xml:space="preserve">, </w:t>
      </w:r>
      <w:r w:rsidRPr="00B44367">
        <w:rPr>
          <w:b/>
          <w:bCs/>
        </w:rPr>
        <w:t>przede wszystkim na zakup lub modernizację węzła cieplnego. Na polskim rynku pojawiło się jednak nowe podejście, które pozwala uniknąć tej bariery finansowej.</w:t>
      </w:r>
      <w:r w:rsidRPr="00831EBB">
        <w:rPr>
          <w:b/>
          <w:bCs/>
          <w:lang w:val="fr-FR"/>
        </w:rPr>
        <w:t xml:space="preserve"> </w:t>
      </w:r>
      <w:r w:rsidRPr="00B44367">
        <w:rPr>
          <w:b/>
          <w:bCs/>
        </w:rPr>
        <w:t xml:space="preserve">ENGIE EC serwis uruchomiło pierwszy </w:t>
      </w:r>
      <w:r w:rsidR="00831EBB" w:rsidRPr="00831EBB">
        <w:rPr>
          <w:b/>
          <w:bCs/>
        </w:rPr>
        <w:t>w P</w:t>
      </w:r>
      <w:r w:rsidR="00831EBB">
        <w:rPr>
          <w:b/>
          <w:bCs/>
        </w:rPr>
        <w:t xml:space="preserve">łocku </w:t>
      </w:r>
      <w:r w:rsidRPr="00B44367">
        <w:rPr>
          <w:b/>
          <w:bCs/>
        </w:rPr>
        <w:t>węzeł cieplny na wynajem</w:t>
      </w:r>
      <w:r w:rsidR="001716F8">
        <w:rPr>
          <w:b/>
          <w:bCs/>
        </w:rPr>
        <w:t xml:space="preserve"> - </w:t>
      </w:r>
      <w:r w:rsidRPr="00B44367">
        <w:rPr>
          <w:b/>
          <w:bCs/>
        </w:rPr>
        <w:t>rozwiązanie, które może ograniczyć ryzyko niespodziewanych kosztów, uprościć zarządzanie instalacją i zwiększyć kontrolę nad funkcjonowaniem ogrzewania w budynkach.</w:t>
      </w:r>
    </w:p>
    <w:p w14:paraId="4E0348F3" w14:textId="77777777" w:rsidR="005F3742" w:rsidRPr="00B157BB" w:rsidRDefault="005F3742" w:rsidP="00562B4F">
      <w:pPr>
        <w:pStyle w:val="Textedesaisie"/>
        <w:rPr>
          <w:color w:val="auto"/>
        </w:rPr>
      </w:pPr>
    </w:p>
    <w:p w14:paraId="603B49D4" w14:textId="1791FE81" w:rsidR="005F3742" w:rsidRDefault="005F3742" w:rsidP="005F3742">
      <w:pPr>
        <w:pStyle w:val="Textedesaisie"/>
        <w:rPr>
          <w:bCs/>
          <w:color w:val="auto"/>
        </w:rPr>
      </w:pPr>
      <w:r w:rsidRPr="005F3742">
        <w:rPr>
          <w:bCs/>
          <w:color w:val="auto"/>
        </w:rPr>
        <w:t xml:space="preserve">Węzeł cieplny to urządzenie techniczne, które znajduje się zazwyczaj w piwnicy lub zapleczu technicznym budynku. To tam trafia ciepło z miejskiej sieci, skąd po odpowiednim przetworzeniu jest rozprowadzane do grzejników i instalacji ciepłej wody użytkowej. W klasycznym modelu właścicielem węzła </w:t>
      </w:r>
      <w:r w:rsidR="00B44367">
        <w:rPr>
          <w:bCs/>
          <w:color w:val="auto"/>
        </w:rPr>
        <w:t>nierzadko</w:t>
      </w:r>
      <w:r w:rsidR="00831EBB">
        <w:rPr>
          <w:bCs/>
          <w:color w:val="auto"/>
        </w:rPr>
        <w:t xml:space="preserve"> </w:t>
      </w:r>
      <w:r w:rsidRPr="005F3742">
        <w:rPr>
          <w:bCs/>
          <w:color w:val="auto"/>
        </w:rPr>
        <w:t>jest wspólnota mieszkaniowa lub spółdzielnia i to one muszą odpowiadać za jego stan techniczny, organizować serwis i ponosić koszty napraw oraz przeglądów.</w:t>
      </w:r>
    </w:p>
    <w:p w14:paraId="715028FB" w14:textId="77777777" w:rsidR="005F3742" w:rsidRPr="005F3742" w:rsidRDefault="005F3742" w:rsidP="005F3742">
      <w:pPr>
        <w:pStyle w:val="Textedesaisie"/>
        <w:rPr>
          <w:bCs/>
          <w:color w:val="auto"/>
        </w:rPr>
      </w:pPr>
    </w:p>
    <w:p w14:paraId="5D8C3157" w14:textId="32B7D78A" w:rsidR="005F3742" w:rsidRDefault="005F3742" w:rsidP="005F3742">
      <w:pPr>
        <w:pStyle w:val="Textedesaisie"/>
        <w:rPr>
          <w:bCs/>
          <w:color w:val="auto"/>
        </w:rPr>
      </w:pPr>
      <w:r w:rsidRPr="005F3742">
        <w:rPr>
          <w:bCs/>
          <w:color w:val="auto"/>
        </w:rPr>
        <w:t xml:space="preserve">ENGIE EC serwis oferuje alternatywę: węzeł cieplny dostarczany, instalowany, uruchamiany i serwisowany jest przez firmę, która finansuje go z własnych środków. Przez cały okres obowiązywania umowy to ENGIE ponosi odpowiedzialność za jego działanie, okresowe kontrole techniczne oraz </w:t>
      </w:r>
      <w:r w:rsidR="00B44367">
        <w:rPr>
          <w:bCs/>
          <w:color w:val="auto"/>
        </w:rPr>
        <w:t xml:space="preserve">usuwanie </w:t>
      </w:r>
      <w:r w:rsidRPr="005F3742">
        <w:rPr>
          <w:bCs/>
          <w:color w:val="auto"/>
        </w:rPr>
        <w:t>ewentualn</w:t>
      </w:r>
      <w:r w:rsidR="00B44367">
        <w:rPr>
          <w:bCs/>
          <w:color w:val="auto"/>
        </w:rPr>
        <w:t>ych</w:t>
      </w:r>
      <w:r w:rsidRPr="005F3742">
        <w:rPr>
          <w:bCs/>
          <w:color w:val="auto"/>
        </w:rPr>
        <w:t xml:space="preserve"> awari</w:t>
      </w:r>
      <w:r w:rsidR="00B44367">
        <w:rPr>
          <w:bCs/>
          <w:color w:val="auto"/>
        </w:rPr>
        <w:t>i</w:t>
      </w:r>
      <w:r w:rsidRPr="005F3742">
        <w:rPr>
          <w:bCs/>
          <w:color w:val="auto"/>
        </w:rPr>
        <w:t>. Odbiorcy nie inwestują w urządzenie</w:t>
      </w:r>
      <w:r w:rsidR="001716F8">
        <w:rPr>
          <w:bCs/>
          <w:color w:val="auto"/>
        </w:rPr>
        <w:t xml:space="preserve">, a jedynie </w:t>
      </w:r>
      <w:r w:rsidRPr="005F3742">
        <w:rPr>
          <w:bCs/>
          <w:color w:val="auto"/>
        </w:rPr>
        <w:t xml:space="preserve">płacą ustaloną, stałą opłatę miesięczną, bez dodatkowych kosztów za serwis czy </w:t>
      </w:r>
      <w:r w:rsidR="00B44367">
        <w:rPr>
          <w:bCs/>
          <w:color w:val="auto"/>
        </w:rPr>
        <w:t>naprawy</w:t>
      </w:r>
      <w:r w:rsidRPr="005F3742">
        <w:rPr>
          <w:bCs/>
          <w:color w:val="auto"/>
        </w:rPr>
        <w:t>.</w:t>
      </w:r>
    </w:p>
    <w:p w14:paraId="497A43D9" w14:textId="77777777" w:rsidR="005F3742" w:rsidRPr="005F3742" w:rsidRDefault="005F3742" w:rsidP="005F3742">
      <w:pPr>
        <w:pStyle w:val="Textedesaisie"/>
        <w:rPr>
          <w:bCs/>
          <w:color w:val="auto"/>
        </w:rPr>
      </w:pPr>
    </w:p>
    <w:p w14:paraId="664DC2F3" w14:textId="663AB397" w:rsidR="005F3742" w:rsidRDefault="005F3742" w:rsidP="005F3742">
      <w:pPr>
        <w:pStyle w:val="Textedesaisie"/>
        <w:rPr>
          <w:b/>
          <w:bCs/>
          <w:color w:val="auto"/>
        </w:rPr>
      </w:pPr>
      <w:r w:rsidRPr="005F3742">
        <w:rPr>
          <w:b/>
          <w:bCs/>
          <w:color w:val="auto"/>
        </w:rPr>
        <w:t>Dlaczego ten model</w:t>
      </w:r>
      <w:r w:rsidR="001716F8">
        <w:rPr>
          <w:b/>
          <w:bCs/>
          <w:color w:val="auto"/>
        </w:rPr>
        <w:t xml:space="preserve"> ciepła</w:t>
      </w:r>
      <w:r w:rsidRPr="005F3742">
        <w:rPr>
          <w:b/>
          <w:bCs/>
          <w:color w:val="auto"/>
        </w:rPr>
        <w:t>?</w:t>
      </w:r>
    </w:p>
    <w:p w14:paraId="45831301" w14:textId="77777777" w:rsidR="005F3742" w:rsidRPr="005F3742" w:rsidRDefault="005F3742" w:rsidP="005F3742">
      <w:pPr>
        <w:pStyle w:val="Textedesaisie"/>
        <w:rPr>
          <w:bCs/>
          <w:color w:val="auto"/>
        </w:rPr>
      </w:pPr>
    </w:p>
    <w:p w14:paraId="503CD724" w14:textId="7508A429" w:rsidR="005F3742" w:rsidRDefault="005F3742" w:rsidP="005F3742">
      <w:pPr>
        <w:pStyle w:val="Textedesaisie"/>
        <w:rPr>
          <w:bCs/>
          <w:color w:val="auto"/>
        </w:rPr>
      </w:pPr>
      <w:r w:rsidRPr="005F3742">
        <w:rPr>
          <w:bCs/>
          <w:color w:val="auto"/>
        </w:rPr>
        <w:t>Przede wszystkim daje większą przewidywalność. Zamiast ponosić jednorazowe, często wysokie wydatki na zakup lub modernizację węzła, odbiorca korzysta z gotowego rozwiązania i zdejmuje z siebie obowiązki związane z jego obsługą. Co więcej, zgodnie z obowiązującymi przepisami, odbiorcy, którzy korzystają z węzła niebędącego własnością przedsiębiorstwa ciepłowniczego, kwalifikują się do niższej grupy taryfowej</w:t>
      </w:r>
      <w:r w:rsidR="001716F8">
        <w:rPr>
          <w:bCs/>
          <w:color w:val="auto"/>
        </w:rPr>
        <w:t>,</w:t>
      </w:r>
      <w:r w:rsidRPr="005F3742">
        <w:rPr>
          <w:bCs/>
          <w:color w:val="auto"/>
        </w:rPr>
        <w:t xml:space="preserve"> co w wielu przypadkach może przekładać się na korzystniejsze warunki zakupu ciepła.</w:t>
      </w:r>
    </w:p>
    <w:p w14:paraId="0C5B03C7" w14:textId="77777777" w:rsidR="005F3742" w:rsidRPr="005F3742" w:rsidRDefault="005F3742" w:rsidP="005F3742">
      <w:pPr>
        <w:pStyle w:val="Textedesaisie"/>
        <w:rPr>
          <w:bCs/>
          <w:color w:val="auto"/>
        </w:rPr>
      </w:pPr>
    </w:p>
    <w:p w14:paraId="49166B60" w14:textId="3A2F17F1" w:rsidR="005F3742" w:rsidRDefault="005F3742" w:rsidP="005F3742">
      <w:pPr>
        <w:pStyle w:val="Textedesaisie"/>
        <w:rPr>
          <w:bCs/>
          <w:color w:val="auto"/>
        </w:rPr>
      </w:pPr>
      <w:r w:rsidRPr="005F3742">
        <w:rPr>
          <w:bCs/>
          <w:color w:val="auto"/>
        </w:rPr>
        <w:t>Kolejnym atutem jest pełna odpowiedzialność techniczna po stronie ENGIE. Mieszkańcy nie muszą szukać serwisantów ani finansować kosztownych interwencji w przypadku awarii. To rozwiązanie, które może być szczególnie korzystne w miastach, gdzie infrastruktura techniczna jest przestarzała, a samodzielne utrzymanie węzłów staje się coraz trudniejsze i bardziej kosztowne.</w:t>
      </w:r>
    </w:p>
    <w:p w14:paraId="3BB644E7" w14:textId="77777777" w:rsidR="005F3742" w:rsidRPr="005F3742" w:rsidRDefault="005F3742" w:rsidP="005F3742">
      <w:pPr>
        <w:pStyle w:val="Textedesaisie"/>
        <w:rPr>
          <w:bCs/>
          <w:color w:val="auto"/>
        </w:rPr>
      </w:pPr>
    </w:p>
    <w:p w14:paraId="02589BD2" w14:textId="512D511F" w:rsidR="0005751F" w:rsidRPr="00D174B9" w:rsidRDefault="0005751F" w:rsidP="0005751F">
      <w:pPr>
        <w:pStyle w:val="Textedesaisie"/>
        <w:rPr>
          <w:b/>
        </w:rPr>
      </w:pPr>
      <w:r w:rsidRPr="00D174B9">
        <w:rPr>
          <w:bCs/>
          <w:color w:val="auto"/>
        </w:rPr>
        <w:t xml:space="preserve">– </w:t>
      </w:r>
      <w:r w:rsidR="005F3742" w:rsidRPr="00D174B9">
        <w:t xml:space="preserve">Widzimy duże zainteresowanie tym modelem wszędzie tam, gdzie odbiorcy ciepła – zarówno wspólnoty, spółdzielnie, jak i deweloperzy – szukają sposobów na uproszczenie zarządzania i </w:t>
      </w:r>
      <w:r w:rsidR="005F3742" w:rsidRPr="00D174B9">
        <w:lastRenderedPageBreak/>
        <w:t xml:space="preserve">ograniczenie ryzyka kosztowego. Węzeł cieplny to kluczowy element systemu grzewczego – jego niezawodne działanie wpływa bezpośrednio na komfort życia mieszkańców. Dzięki naszemu modelowi wiele wspólnot może uniknąć problemów związanych z nagłymi awariami czy koniecznością inwestowania w modernizację – mówi </w:t>
      </w:r>
      <w:r w:rsidR="005F3742" w:rsidRPr="00D174B9">
        <w:rPr>
          <w:rStyle w:val="Pogrubienie"/>
        </w:rPr>
        <w:t xml:space="preserve">Violetta </w:t>
      </w:r>
      <w:proofErr w:type="spellStart"/>
      <w:r w:rsidR="005F3742" w:rsidRPr="00D174B9">
        <w:rPr>
          <w:rStyle w:val="Pogrubienie"/>
        </w:rPr>
        <w:t>Kurdej</w:t>
      </w:r>
      <w:proofErr w:type="spellEnd"/>
      <w:r w:rsidR="005F3742" w:rsidRPr="00D174B9">
        <w:t xml:space="preserve">, </w:t>
      </w:r>
      <w:r w:rsidR="005F3742" w:rsidRPr="00D174B9">
        <w:rPr>
          <w:b/>
        </w:rPr>
        <w:t>dyrektor w ENGIE EC serwis.</w:t>
      </w:r>
    </w:p>
    <w:p w14:paraId="528DE967" w14:textId="77777777" w:rsidR="005F3742" w:rsidRPr="0005751F" w:rsidRDefault="005F3742" w:rsidP="0005751F">
      <w:pPr>
        <w:pStyle w:val="Textedesaisie"/>
        <w:rPr>
          <w:bCs/>
          <w:color w:val="auto"/>
        </w:rPr>
      </w:pPr>
    </w:p>
    <w:p w14:paraId="7504F7A9" w14:textId="77777777" w:rsidR="005F3742" w:rsidRPr="005F3742" w:rsidRDefault="005F3742" w:rsidP="005F3742">
      <w:pPr>
        <w:pStyle w:val="Textedesaisie"/>
        <w:rPr>
          <w:b/>
          <w:bCs/>
          <w:color w:val="auto"/>
        </w:rPr>
      </w:pPr>
      <w:r w:rsidRPr="005F3742">
        <w:rPr>
          <w:b/>
          <w:bCs/>
          <w:color w:val="auto"/>
        </w:rPr>
        <w:t>Gotowość do działania w całym kraju</w:t>
      </w:r>
    </w:p>
    <w:p w14:paraId="28DD1B87" w14:textId="77777777" w:rsidR="005F3742" w:rsidRDefault="005F3742" w:rsidP="005F3742">
      <w:pPr>
        <w:pStyle w:val="Textedesaisie"/>
        <w:rPr>
          <w:bCs/>
          <w:color w:val="auto"/>
        </w:rPr>
      </w:pPr>
    </w:p>
    <w:p w14:paraId="5A9E0CCC" w14:textId="6F86B117" w:rsidR="005F3742" w:rsidRPr="005F3742" w:rsidRDefault="005F3742" w:rsidP="005F3742">
      <w:pPr>
        <w:pStyle w:val="Textedesaisie"/>
        <w:rPr>
          <w:bCs/>
          <w:color w:val="auto"/>
        </w:rPr>
      </w:pPr>
      <w:r w:rsidRPr="005F3742">
        <w:rPr>
          <w:bCs/>
          <w:color w:val="auto"/>
        </w:rPr>
        <w:t>Pierwszy węzeł cieplny na wynajem</w:t>
      </w:r>
      <w:r w:rsidR="00775F4A">
        <w:rPr>
          <w:bCs/>
          <w:color w:val="auto"/>
        </w:rPr>
        <w:t>, poza Pomorzem,</w:t>
      </w:r>
      <w:r w:rsidRPr="005F3742">
        <w:rPr>
          <w:bCs/>
          <w:color w:val="auto"/>
        </w:rPr>
        <w:t xml:space="preserve"> uruchomiono w Płocku, a ENGIE EC serwis deklaruje gotowość wdrażania tego modelu w całej Polsce</w:t>
      </w:r>
      <w:r w:rsidR="001716F8">
        <w:rPr>
          <w:bCs/>
          <w:color w:val="auto"/>
        </w:rPr>
        <w:t xml:space="preserve">, </w:t>
      </w:r>
      <w:r w:rsidRPr="005F3742">
        <w:rPr>
          <w:bCs/>
          <w:color w:val="auto"/>
        </w:rPr>
        <w:t xml:space="preserve">zarówno w budynkach mieszkalnych, </w:t>
      </w:r>
      <w:r w:rsidR="00D174B9" w:rsidRPr="005F3742">
        <w:rPr>
          <w:bCs/>
          <w:color w:val="auto"/>
        </w:rPr>
        <w:t xml:space="preserve">użyteczności publicznej </w:t>
      </w:r>
      <w:r w:rsidRPr="005F3742">
        <w:rPr>
          <w:bCs/>
          <w:color w:val="auto"/>
        </w:rPr>
        <w:t>jak i w obiektach przemysłowych. Dla odbiorców oznacza to szansę na bezpieczniejsze, bardziej przewidywalne zarządzanie ogrzewaniem</w:t>
      </w:r>
      <w:r w:rsidR="001716F8">
        <w:rPr>
          <w:bCs/>
          <w:color w:val="auto"/>
        </w:rPr>
        <w:t xml:space="preserve"> </w:t>
      </w:r>
      <w:r w:rsidRPr="005F3742">
        <w:rPr>
          <w:bCs/>
          <w:color w:val="auto"/>
        </w:rPr>
        <w:t>z ograniczonym ryzykiem finansowym i bez konieczności angażowania własnych środków inwestycyjnych.</w:t>
      </w:r>
    </w:p>
    <w:p w14:paraId="36C57CC3" w14:textId="77777777" w:rsidR="005F3742" w:rsidRPr="005F3742" w:rsidRDefault="005F3742" w:rsidP="005F3742">
      <w:pPr>
        <w:pStyle w:val="Textedesaisie"/>
        <w:rPr>
          <w:b/>
          <w:bCs/>
          <w:color w:val="auto"/>
        </w:rPr>
      </w:pPr>
    </w:p>
    <w:p w14:paraId="5516BB67" w14:textId="77777777" w:rsidR="00562B4F" w:rsidRPr="00CC7B62" w:rsidRDefault="00CC7B62" w:rsidP="00CC7B62">
      <w:pPr>
        <w:pStyle w:val="Textedesaisie"/>
        <w:rPr>
          <w:rStyle w:val="Bold"/>
          <w:rFonts w:cstheme="minorBidi"/>
          <w:b w:val="0"/>
          <w:color w:val="auto"/>
          <w:lang w:val="pl-PL" w:eastAsia="en-US"/>
        </w:rPr>
      </w:pPr>
      <w:r w:rsidRPr="00B157BB">
        <w:rPr>
          <w:rStyle w:val="Bold"/>
          <w:lang w:val="pl-PL"/>
        </w:rPr>
        <w:t xml:space="preserve">O </w:t>
      </w:r>
      <w:r w:rsidR="00562B4F" w:rsidRPr="00B157BB">
        <w:rPr>
          <w:rStyle w:val="Bold"/>
          <w:lang w:val="pl-PL"/>
        </w:rPr>
        <w:t>ENGIE</w:t>
      </w:r>
      <w:r w:rsidRPr="00B157BB">
        <w:rPr>
          <w:rStyle w:val="Bold"/>
          <w:lang w:val="pl-PL"/>
        </w:rPr>
        <w:t xml:space="preserve"> Polska</w:t>
      </w:r>
    </w:p>
    <w:p w14:paraId="64204A17" w14:textId="77777777" w:rsidR="008C0B76" w:rsidRPr="00B157BB" w:rsidRDefault="008C0B76" w:rsidP="00F92ECA">
      <w:pPr>
        <w:pStyle w:val="Texteapropos"/>
      </w:pPr>
    </w:p>
    <w:p w14:paraId="45C72EDE" w14:textId="77777777" w:rsidR="00CC7B62" w:rsidRPr="001A1C14" w:rsidRDefault="00CC7B62" w:rsidP="00CC7B62">
      <w:pPr>
        <w:pStyle w:val="Textedesaisie"/>
        <w:rPr>
          <w:rFonts w:ascii="Calibri" w:hAnsi="Calibri" w:cs="Calibri"/>
          <w:color w:val="auto"/>
        </w:rPr>
      </w:pPr>
      <w:r w:rsidRPr="00CC7B62">
        <w:rPr>
          <w:color w:val="auto"/>
        </w:rPr>
        <w:t>ENGIE Polska należy do międzynarodowego koncernu energetycznego ENGIE, który specjalizuje się w niskoemisyjnych produktach i usługach, wspierając transformację energetyczną w Europie i na świecie. W Polsce grupa składa się z sześciu wyspecjalizowanych spółek, które dostarczają innowacyjne rozwiązania energetyczne dla miast, samorządów, przemysłu i sektora nieruchomości. ENGIE Polska koncentruje się na modernizacji systemów ciepłowniczych, rozwoju odnawialnych źródeł energii oraz wdrażaniu inteligentnych technologii zarządzania energią, przyczyniając się do poprawy efektywności energetycznej i redukcji emisji CO</w:t>
      </w:r>
      <w:r w:rsidRPr="00CC7B62">
        <w:rPr>
          <w:rFonts w:ascii="Cambria Math" w:hAnsi="Cambria Math" w:cs="Cambria Math"/>
          <w:color w:val="auto"/>
        </w:rPr>
        <w:t>₂</w:t>
      </w:r>
      <w:r w:rsidRPr="00CC7B62">
        <w:rPr>
          <w:color w:val="auto"/>
        </w:rPr>
        <w:t>.</w:t>
      </w:r>
    </w:p>
    <w:p w14:paraId="055DE4AD" w14:textId="77777777" w:rsidR="00CC7B62" w:rsidRPr="001A1C14" w:rsidRDefault="00CC7B62" w:rsidP="00CC7B62">
      <w:pPr>
        <w:pStyle w:val="Textedesaisie"/>
        <w:rPr>
          <w:rFonts w:ascii="Calibri" w:hAnsi="Calibri" w:cs="Calibri"/>
          <w:color w:val="auto"/>
        </w:rPr>
      </w:pPr>
    </w:p>
    <w:tbl>
      <w:tblPr>
        <w:tblStyle w:val="Tabela-Siatka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</w:tblGrid>
      <w:tr w:rsidR="00CC7B62" w:rsidRPr="00486946" w14:paraId="4C61CA05" w14:textId="77777777" w:rsidTr="002A757D">
        <w:tc>
          <w:tcPr>
            <w:tcW w:w="4252" w:type="dxa"/>
          </w:tcPr>
          <w:p w14:paraId="7E1A7525" w14:textId="77777777" w:rsidR="00CC7B62" w:rsidRPr="001A1C14" w:rsidRDefault="00CC7B62" w:rsidP="002A757D">
            <w:pPr>
              <w:pStyle w:val="Textecontact"/>
              <w:rPr>
                <w:rStyle w:val="Bold"/>
                <w:rFonts w:ascii="Calibri" w:hAnsi="Calibri" w:cs="Calibri"/>
                <w:lang w:val="pl-PL"/>
              </w:rPr>
            </w:pPr>
            <w:r w:rsidRPr="001A1C14">
              <w:rPr>
                <w:rStyle w:val="Bold"/>
                <w:rFonts w:ascii="Calibri" w:hAnsi="Calibri" w:cs="Calibri"/>
                <w:lang w:val="pl-PL"/>
              </w:rPr>
              <w:t>Kontakt dla mediów:</w:t>
            </w:r>
          </w:p>
          <w:p w14:paraId="580D0467" w14:textId="77777777" w:rsidR="00CC7B62" w:rsidRPr="00486946" w:rsidRDefault="00CC7B62" w:rsidP="002A757D">
            <w:pPr>
              <w:pStyle w:val="Textecontact"/>
              <w:rPr>
                <w:rFonts w:ascii="Calibri" w:hAnsi="Calibri" w:cs="Calibri"/>
              </w:rPr>
            </w:pPr>
            <w:r w:rsidRPr="00486946">
              <w:rPr>
                <w:rFonts w:ascii="Calibri" w:hAnsi="Calibri" w:cs="Calibri"/>
                <w:bCs/>
              </w:rPr>
              <w:t>Magdalena Jaromińska</w:t>
            </w:r>
          </w:p>
          <w:p w14:paraId="066EB5EB" w14:textId="77777777" w:rsidR="00CC7B62" w:rsidRPr="00486946" w:rsidRDefault="00CC7B62" w:rsidP="002A757D">
            <w:pPr>
              <w:pStyle w:val="Textecontact"/>
              <w:rPr>
                <w:rFonts w:ascii="Calibri" w:hAnsi="Calibri" w:cs="Calibri"/>
              </w:rPr>
            </w:pPr>
            <w:r w:rsidRPr="00486946">
              <w:rPr>
                <w:rFonts w:ascii="Calibri" w:hAnsi="Calibri" w:cs="Calibri"/>
              </w:rPr>
              <w:t xml:space="preserve">Chief Communications </w:t>
            </w:r>
            <w:proofErr w:type="spellStart"/>
            <w:r w:rsidRPr="00486946">
              <w:rPr>
                <w:rFonts w:ascii="Calibri" w:hAnsi="Calibri" w:cs="Calibri"/>
              </w:rPr>
              <w:t>Officer</w:t>
            </w:r>
            <w:proofErr w:type="spellEnd"/>
            <w:r w:rsidRPr="00486946">
              <w:rPr>
                <w:rFonts w:ascii="Calibri" w:hAnsi="Calibri" w:cs="Calibri"/>
              </w:rPr>
              <w:t>/Kierownik ds. komunikacji</w:t>
            </w:r>
          </w:p>
          <w:p w14:paraId="6045AB52" w14:textId="77777777" w:rsidR="00CC7B62" w:rsidRPr="00486946" w:rsidRDefault="00CC7B62" w:rsidP="002A757D">
            <w:pPr>
              <w:pStyle w:val="Textecontact"/>
              <w:rPr>
                <w:rFonts w:ascii="Calibri" w:hAnsi="Calibri" w:cs="Calibri"/>
              </w:rPr>
            </w:pPr>
            <w:r w:rsidRPr="00486946">
              <w:rPr>
                <w:rFonts w:ascii="Calibri" w:hAnsi="Calibri" w:cs="Calibri"/>
              </w:rPr>
              <w:t>M: +48 604 299 672</w:t>
            </w:r>
            <w:r w:rsidRPr="00486946">
              <w:rPr>
                <w:rFonts w:ascii="Calibri" w:hAnsi="Calibri" w:cs="Calibri"/>
              </w:rPr>
              <w:br/>
            </w:r>
            <w:hyperlink r:id="rId11" w:tgtFrame="_blank" w:history="1">
              <w:r w:rsidRPr="00486946">
                <w:rPr>
                  <w:rStyle w:val="Hipercze"/>
                  <w:rFonts w:ascii="Calibri" w:hAnsi="Calibri" w:cs="Calibri"/>
                </w:rPr>
                <w:t>magdalena.jarominska@engie.com</w:t>
              </w:r>
            </w:hyperlink>
          </w:p>
          <w:p w14:paraId="6BCA5668" w14:textId="77777777" w:rsidR="00CC7B62" w:rsidRPr="00486946" w:rsidRDefault="00CC7B62" w:rsidP="002A757D">
            <w:pPr>
              <w:pStyle w:val="Textecontact"/>
              <w:rPr>
                <w:rFonts w:ascii="Calibri" w:hAnsi="Calibri" w:cs="Calibri"/>
              </w:rPr>
            </w:pPr>
          </w:p>
        </w:tc>
      </w:tr>
    </w:tbl>
    <w:p w14:paraId="5E8FED91" w14:textId="77777777" w:rsidR="00F92ECA" w:rsidRDefault="00F92ECA" w:rsidP="00CC7B62">
      <w:pPr>
        <w:pStyle w:val="Textedesaisie"/>
        <w:rPr>
          <w:color w:val="auto"/>
        </w:rPr>
      </w:pPr>
    </w:p>
    <w:sectPr w:rsidR="00F92ECA" w:rsidSect="00BA6623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851" w:right="1701" w:bottom="851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F1366" w14:textId="77777777" w:rsidR="00891760" w:rsidRDefault="00891760" w:rsidP="003865B7">
      <w:r>
        <w:separator/>
      </w:r>
    </w:p>
  </w:endnote>
  <w:endnote w:type="continuationSeparator" w:id="0">
    <w:p w14:paraId="5FAAA3DE" w14:textId="77777777" w:rsidR="00891760" w:rsidRDefault="00891760" w:rsidP="0038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lack">
    <w:charset w:val="00"/>
    <w:family w:val="auto"/>
    <w:pitch w:val="variable"/>
    <w:sig w:usb0="A00000AF" w:usb1="50000048" w:usb2="00000000" w:usb3="00000000" w:csb0="000001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80"/>
      <w:gridCol w:w="540"/>
      <w:gridCol w:w="584"/>
    </w:tblGrid>
    <w:tr w:rsidR="00B63ACD" w14:paraId="1DD35EB1" w14:textId="77777777" w:rsidTr="00B63ACD">
      <w:trPr>
        <w:trHeight w:hRule="exact" w:val="142"/>
      </w:trPr>
      <w:tc>
        <w:tcPr>
          <w:tcW w:w="7920" w:type="dxa"/>
          <w:gridSpan w:val="3"/>
          <w:tcBorders>
            <w:bottom w:val="single" w:sz="4" w:space="0" w:color="00817D" w:themeColor="accent3"/>
          </w:tcBorders>
          <w:vAlign w:val="bottom"/>
        </w:tcPr>
        <w:p w14:paraId="0227A163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  <w:tc>
        <w:tcPr>
          <w:tcW w:w="584" w:type="dxa"/>
          <w:vMerge w:val="restart"/>
          <w:vAlign w:val="center"/>
        </w:tcPr>
        <w:p w14:paraId="45670FBB" w14:textId="42042F54" w:rsidR="00B63ACD" w:rsidRPr="00585399" w:rsidRDefault="00B63ACD" w:rsidP="000A1580">
          <w:pPr>
            <w:pStyle w:val="Stop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 w:rsidR="00F34DCE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  <w:tr w:rsidR="00B63ACD" w14:paraId="50015624" w14:textId="77777777" w:rsidTr="00B63ACD">
      <w:trPr>
        <w:trHeight w:hRule="exact" w:val="142"/>
      </w:trPr>
      <w:tc>
        <w:tcPr>
          <w:tcW w:w="7920" w:type="dxa"/>
          <w:gridSpan w:val="3"/>
          <w:tcBorders>
            <w:top w:val="single" w:sz="4" w:space="0" w:color="00817D" w:themeColor="accent3"/>
          </w:tcBorders>
          <w:vAlign w:val="bottom"/>
        </w:tcPr>
        <w:p w14:paraId="50E46A0A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  <w:tc>
        <w:tcPr>
          <w:tcW w:w="584" w:type="dxa"/>
          <w:vMerge/>
          <w:vAlign w:val="bottom"/>
        </w:tcPr>
        <w:p w14:paraId="65C4F53F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</w:tr>
    <w:tr w:rsidR="00B63ACD" w14:paraId="641DFC31" w14:textId="77777777" w:rsidTr="0046543F">
      <w:tc>
        <w:tcPr>
          <w:tcW w:w="7200" w:type="dxa"/>
          <w:vAlign w:val="bottom"/>
        </w:tcPr>
        <w:p w14:paraId="5E527E44" w14:textId="77777777" w:rsidR="00B63ACD" w:rsidRPr="0046543F" w:rsidRDefault="00B63ACD" w:rsidP="0046543F">
          <w:pPr>
            <w:pStyle w:val="Adressepieddepage"/>
            <w:rPr>
              <w:color w:val="84A0AF"/>
            </w:rPr>
          </w:pPr>
          <w:r w:rsidRPr="0046543F">
            <w:rPr>
              <w:color w:val="84A0AF"/>
            </w:rPr>
            <w:t xml:space="preserve">Tour T1 – 1 place Samuel de Champlain – Faubourg de l’Arche - 92930 Paris La Défense cedex – France </w:t>
          </w:r>
        </w:p>
        <w:p w14:paraId="1DC2D2B8" w14:textId="77777777" w:rsidR="00B63ACD" w:rsidRPr="00585399" w:rsidRDefault="00B63ACD" w:rsidP="0046543F">
          <w:pPr>
            <w:pStyle w:val="Adressepieddepage"/>
          </w:pPr>
          <w:r w:rsidRPr="0046543F">
            <w:rPr>
              <w:color w:val="84A0AF"/>
            </w:rPr>
            <w:t>ENGIE – SA AU CAPITAL DE 2 435 285 011 EUROS – RCS NANTERRE 542 107 651 - Tél. : +33 (0)1 44 22 00 00</w:t>
          </w:r>
        </w:p>
      </w:tc>
      <w:tc>
        <w:tcPr>
          <w:tcW w:w="180" w:type="dxa"/>
          <w:vMerge w:val="restart"/>
        </w:tcPr>
        <w:p w14:paraId="561A926B" w14:textId="77777777" w:rsidR="00B63ACD" w:rsidRDefault="00B63ACD" w:rsidP="00585399">
          <w:pPr>
            <w:pStyle w:val="Stopka"/>
          </w:pPr>
        </w:p>
      </w:tc>
      <w:tc>
        <w:tcPr>
          <w:tcW w:w="1124" w:type="dxa"/>
          <w:gridSpan w:val="2"/>
          <w:vMerge w:val="restart"/>
          <w:vAlign w:val="bottom"/>
        </w:tcPr>
        <w:p w14:paraId="546FE7D7" w14:textId="77777777" w:rsidR="00B63ACD" w:rsidRPr="00B63ACD" w:rsidRDefault="00B63ACD" w:rsidP="00B63ACD">
          <w:pPr>
            <w:pStyle w:val="Texteadresseinternet"/>
          </w:pPr>
          <w:r w:rsidRPr="00B63ACD">
            <w:t>engie.com</w:t>
          </w:r>
        </w:p>
      </w:tc>
    </w:tr>
    <w:tr w:rsidR="00B63ACD" w14:paraId="728FA472" w14:textId="77777777" w:rsidTr="0046543F">
      <w:trPr>
        <w:trHeight w:hRule="exact" w:val="85"/>
      </w:trPr>
      <w:tc>
        <w:tcPr>
          <w:tcW w:w="7200" w:type="dxa"/>
          <w:vAlign w:val="bottom"/>
        </w:tcPr>
        <w:p w14:paraId="6D60E2E0" w14:textId="77777777" w:rsidR="00B63ACD" w:rsidRPr="009705F1" w:rsidRDefault="00B63ACD" w:rsidP="00585399">
          <w:pPr>
            <w:pStyle w:val="Stopka"/>
            <w:spacing w:line="180" w:lineRule="atLeast"/>
            <w:rPr>
              <w:sz w:val="14"/>
              <w:szCs w:val="14"/>
            </w:rPr>
          </w:pPr>
        </w:p>
      </w:tc>
      <w:tc>
        <w:tcPr>
          <w:tcW w:w="180" w:type="dxa"/>
          <w:vMerge/>
        </w:tcPr>
        <w:p w14:paraId="38ECADFA" w14:textId="77777777" w:rsidR="00B63ACD" w:rsidRDefault="00B63ACD" w:rsidP="00585399">
          <w:pPr>
            <w:pStyle w:val="Stopka"/>
          </w:pPr>
        </w:p>
      </w:tc>
      <w:tc>
        <w:tcPr>
          <w:tcW w:w="1124" w:type="dxa"/>
          <w:gridSpan w:val="2"/>
          <w:vMerge/>
          <w:vAlign w:val="bottom"/>
        </w:tcPr>
        <w:p w14:paraId="6ADB1A5F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</w:tr>
  </w:tbl>
  <w:p w14:paraId="0BA4A606" w14:textId="77777777" w:rsidR="00B63ACD" w:rsidRPr="00585399" w:rsidRDefault="00B63ACD" w:rsidP="00585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778DB" w14:textId="77777777" w:rsidR="00891760" w:rsidRDefault="00891760" w:rsidP="003865B7">
      <w:r>
        <w:separator/>
      </w:r>
    </w:p>
  </w:footnote>
  <w:footnote w:type="continuationSeparator" w:id="0">
    <w:p w14:paraId="794BD028" w14:textId="77777777" w:rsidR="00891760" w:rsidRDefault="00891760" w:rsidP="0038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E4C54" w14:textId="77777777" w:rsidR="00B63ACD" w:rsidRDefault="00B63ACD" w:rsidP="003C7C34">
    <w:pPr>
      <w:pStyle w:val="Nagwek"/>
    </w:pPr>
  </w:p>
  <w:p w14:paraId="2322F8E0" w14:textId="77777777" w:rsidR="00B63ACD" w:rsidRPr="00A47F4D" w:rsidRDefault="00B63ACD" w:rsidP="00A47F4D">
    <w:pPr>
      <w:pStyle w:val="Nagwek"/>
    </w:pPr>
  </w:p>
  <w:p w14:paraId="0FB2725C" w14:textId="77777777" w:rsidR="00B63ACD" w:rsidRPr="00A47F4D" w:rsidRDefault="00B63ACD" w:rsidP="00A47F4D">
    <w:pPr>
      <w:pStyle w:val="Nagwek"/>
    </w:pPr>
  </w:p>
  <w:p w14:paraId="4BD9E3C0" w14:textId="77777777" w:rsidR="00B63ACD" w:rsidRPr="00A47F4D" w:rsidRDefault="00B63ACD" w:rsidP="00A47F4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AFBBC16" wp14:editId="066B6D90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1803600" cy="1440000"/>
          <wp:effectExtent l="0" t="0" r="635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31CAA" w14:textId="77777777" w:rsidR="00B63ACD" w:rsidRPr="00A47F4D" w:rsidRDefault="00B63ACD" w:rsidP="00A47F4D">
    <w:pPr>
      <w:pStyle w:val="Nagwek"/>
    </w:pPr>
  </w:p>
  <w:p w14:paraId="6F6F460D" w14:textId="77777777" w:rsidR="00B63ACD" w:rsidRPr="00A47F4D" w:rsidRDefault="00B63ACD" w:rsidP="00A47F4D">
    <w:pPr>
      <w:pStyle w:val="Nagwek"/>
    </w:pPr>
  </w:p>
  <w:p w14:paraId="1ADF4594" w14:textId="77777777" w:rsidR="00B63ACD" w:rsidRPr="00A47F4D" w:rsidRDefault="00B63ACD" w:rsidP="00A47F4D">
    <w:pPr>
      <w:pStyle w:val="Nagwek"/>
    </w:pPr>
  </w:p>
  <w:p w14:paraId="027D1084" w14:textId="77777777" w:rsidR="00B63ACD" w:rsidRPr="00A47F4D" w:rsidRDefault="00B63ACD" w:rsidP="00FA024F">
    <w:pPr>
      <w:pStyle w:val="Nagwek"/>
      <w:spacing w:line="27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650D" w14:textId="77777777" w:rsidR="00B63ACD" w:rsidRDefault="00B63ACD">
    <w:pPr>
      <w:pStyle w:val="Nagwek"/>
    </w:pPr>
  </w:p>
  <w:p w14:paraId="3A195BD8" w14:textId="77777777" w:rsidR="00B63ACD" w:rsidRDefault="00B63ACD">
    <w:pPr>
      <w:pStyle w:val="Nagwek"/>
    </w:pPr>
  </w:p>
  <w:p w14:paraId="79E5492E" w14:textId="77777777" w:rsidR="00B63ACD" w:rsidRDefault="00B63ACD">
    <w:pPr>
      <w:pStyle w:val="Nagwek"/>
    </w:pPr>
  </w:p>
  <w:p w14:paraId="6C355B99" w14:textId="77777777" w:rsidR="00B63ACD" w:rsidRDefault="00B63ACD">
    <w:pPr>
      <w:pStyle w:val="Nagwek"/>
    </w:pPr>
  </w:p>
  <w:p w14:paraId="56080061" w14:textId="77777777" w:rsidR="00B63ACD" w:rsidRDefault="00B63ACD">
    <w:pPr>
      <w:pStyle w:val="Nagwek"/>
    </w:pPr>
  </w:p>
  <w:p w14:paraId="0C037690" w14:textId="77777777" w:rsidR="00B63ACD" w:rsidRDefault="00B63ACD">
    <w:pPr>
      <w:pStyle w:val="Nagwek"/>
    </w:pPr>
  </w:p>
  <w:p w14:paraId="7BE8264F" w14:textId="77777777" w:rsidR="00B63ACD" w:rsidRDefault="00B63ACD">
    <w:pPr>
      <w:pStyle w:val="Nagwek"/>
    </w:pPr>
  </w:p>
  <w:p w14:paraId="1412A727" w14:textId="77777777" w:rsidR="00B63ACD" w:rsidRPr="00F7646B" w:rsidRDefault="00B63ACD" w:rsidP="00DB38D1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D4A9F"/>
    <w:multiLevelType w:val="hybridMultilevel"/>
    <w:tmpl w:val="F280B2FE"/>
    <w:lvl w:ilvl="0" w:tplc="237226DC">
      <w:start w:val="1"/>
      <w:numFmt w:val="bullet"/>
      <w:lvlText w:val="–"/>
      <w:lvlJc w:val="left"/>
      <w:pPr>
        <w:ind w:left="720" w:hanging="360"/>
      </w:pPr>
      <w:rPr>
        <w:rFonts w:ascii="Gotham Black" w:hAnsi="Gotham Black" w:hint="default"/>
        <w:caps w:val="0"/>
        <w:strike w:val="0"/>
        <w:dstrike w:val="0"/>
        <w:vanish w:val="0"/>
        <w:sz w:val="4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C366D"/>
    <w:multiLevelType w:val="hybridMultilevel"/>
    <w:tmpl w:val="A08C9E06"/>
    <w:lvl w:ilvl="0" w:tplc="9DC629C2">
      <w:start w:val="1"/>
      <w:numFmt w:val="bullet"/>
      <w:lvlText w:val="–"/>
      <w:lvlJc w:val="left"/>
      <w:pPr>
        <w:ind w:left="720" w:hanging="360"/>
      </w:pPr>
      <w:rPr>
        <w:rFonts w:asciiTheme="majorHAnsi" w:hAnsiTheme="majorHAnsi" w:hint="default"/>
        <w:caps w:val="0"/>
        <w:strike w:val="0"/>
        <w:dstrike w:val="0"/>
        <w:vanish w:val="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B5EF3"/>
    <w:multiLevelType w:val="hybridMultilevel"/>
    <w:tmpl w:val="D4DA5AFE"/>
    <w:lvl w:ilvl="0" w:tplc="7B62D2AC">
      <w:start w:val="1"/>
      <w:numFmt w:val="bullet"/>
      <w:lvlText w:val="–"/>
      <w:lvlJc w:val="left"/>
      <w:pPr>
        <w:ind w:left="720" w:hanging="360"/>
      </w:pPr>
      <w:rPr>
        <w:rFonts w:ascii="Gotham Black" w:hAnsi="Gotham Black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1460F"/>
    <w:multiLevelType w:val="hybridMultilevel"/>
    <w:tmpl w:val="D0F28BBC"/>
    <w:lvl w:ilvl="0" w:tplc="9FC28624">
      <w:start w:val="1"/>
      <w:numFmt w:val="bullet"/>
      <w:lvlText w:val="–"/>
      <w:lvlJc w:val="left"/>
      <w:pPr>
        <w:ind w:left="720" w:hanging="360"/>
      </w:pPr>
      <w:rPr>
        <w:rFonts w:ascii="Gotham Black" w:hAnsi="Gotham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94287"/>
    <w:multiLevelType w:val="hybridMultilevel"/>
    <w:tmpl w:val="E8DCEFBA"/>
    <w:lvl w:ilvl="0" w:tplc="33CC7510">
      <w:start w:val="1"/>
      <w:numFmt w:val="bullet"/>
      <w:pStyle w:val="Textepuce"/>
      <w:lvlText w:val="–"/>
      <w:lvlJc w:val="left"/>
      <w:pPr>
        <w:ind w:left="700" w:hanging="360"/>
      </w:pPr>
      <w:rPr>
        <w:rFonts w:asciiTheme="majorHAnsi" w:hAnsiTheme="majorHAnsi" w:cs="Times New Roman" w:hint="default"/>
        <w:caps w:val="0"/>
        <w:strike w:val="0"/>
        <w:dstrike w:val="0"/>
        <w:vanish w:val="0"/>
        <w:color w:val="00AAFF" w:themeColor="accent2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62"/>
    <w:rsid w:val="00004D5E"/>
    <w:rsid w:val="000126F7"/>
    <w:rsid w:val="00016461"/>
    <w:rsid w:val="00040852"/>
    <w:rsid w:val="0005751F"/>
    <w:rsid w:val="00081A29"/>
    <w:rsid w:val="00096706"/>
    <w:rsid w:val="000A1580"/>
    <w:rsid w:val="000C2302"/>
    <w:rsid w:val="000C711B"/>
    <w:rsid w:val="000E31DA"/>
    <w:rsid w:val="000F02A0"/>
    <w:rsid w:val="001064AF"/>
    <w:rsid w:val="001213BB"/>
    <w:rsid w:val="001716F8"/>
    <w:rsid w:val="001960F0"/>
    <w:rsid w:val="001B5EC4"/>
    <w:rsid w:val="001F5ED4"/>
    <w:rsid w:val="002019AB"/>
    <w:rsid w:val="00241492"/>
    <w:rsid w:val="00241691"/>
    <w:rsid w:val="00294404"/>
    <w:rsid w:val="002D2268"/>
    <w:rsid w:val="002F4E63"/>
    <w:rsid w:val="003076F7"/>
    <w:rsid w:val="00317240"/>
    <w:rsid w:val="00353E47"/>
    <w:rsid w:val="00386092"/>
    <w:rsid w:val="003865B7"/>
    <w:rsid w:val="00396690"/>
    <w:rsid w:val="003C1479"/>
    <w:rsid w:val="003C7C34"/>
    <w:rsid w:val="00431335"/>
    <w:rsid w:val="00435BD1"/>
    <w:rsid w:val="0046543F"/>
    <w:rsid w:val="00471F4E"/>
    <w:rsid w:val="004A38D0"/>
    <w:rsid w:val="004A51C2"/>
    <w:rsid w:val="004E5EE3"/>
    <w:rsid w:val="004F135C"/>
    <w:rsid w:val="005232F9"/>
    <w:rsid w:val="00550AF2"/>
    <w:rsid w:val="00562B4F"/>
    <w:rsid w:val="00585399"/>
    <w:rsid w:val="005F3742"/>
    <w:rsid w:val="00633F2B"/>
    <w:rsid w:val="00654CAA"/>
    <w:rsid w:val="00702726"/>
    <w:rsid w:val="00706E83"/>
    <w:rsid w:val="00714945"/>
    <w:rsid w:val="007310D3"/>
    <w:rsid w:val="00733A49"/>
    <w:rsid w:val="00747F71"/>
    <w:rsid w:val="007710A1"/>
    <w:rsid w:val="00775F4A"/>
    <w:rsid w:val="0078427B"/>
    <w:rsid w:val="007A4D69"/>
    <w:rsid w:val="007C4C11"/>
    <w:rsid w:val="00814DE8"/>
    <w:rsid w:val="00831EBB"/>
    <w:rsid w:val="00840603"/>
    <w:rsid w:val="0084231F"/>
    <w:rsid w:val="00851EAB"/>
    <w:rsid w:val="00891760"/>
    <w:rsid w:val="008C0B76"/>
    <w:rsid w:val="008D1132"/>
    <w:rsid w:val="008D2D5E"/>
    <w:rsid w:val="008E4758"/>
    <w:rsid w:val="008E4A83"/>
    <w:rsid w:val="00912DAB"/>
    <w:rsid w:val="00926547"/>
    <w:rsid w:val="009705F1"/>
    <w:rsid w:val="00971591"/>
    <w:rsid w:val="009764FA"/>
    <w:rsid w:val="00A17125"/>
    <w:rsid w:val="00A47F4D"/>
    <w:rsid w:val="00A63F44"/>
    <w:rsid w:val="00A70313"/>
    <w:rsid w:val="00A80E77"/>
    <w:rsid w:val="00B157BB"/>
    <w:rsid w:val="00B44367"/>
    <w:rsid w:val="00B63ACD"/>
    <w:rsid w:val="00B63B08"/>
    <w:rsid w:val="00B75B31"/>
    <w:rsid w:val="00B77598"/>
    <w:rsid w:val="00BA64D6"/>
    <w:rsid w:val="00BA6623"/>
    <w:rsid w:val="00BB3742"/>
    <w:rsid w:val="00C31EFC"/>
    <w:rsid w:val="00C5716E"/>
    <w:rsid w:val="00C86EEF"/>
    <w:rsid w:val="00CC7B62"/>
    <w:rsid w:val="00D174B9"/>
    <w:rsid w:val="00D828E7"/>
    <w:rsid w:val="00DB38D1"/>
    <w:rsid w:val="00DC29DB"/>
    <w:rsid w:val="00DD2712"/>
    <w:rsid w:val="00DE1589"/>
    <w:rsid w:val="00DF4C32"/>
    <w:rsid w:val="00E34CFC"/>
    <w:rsid w:val="00E63996"/>
    <w:rsid w:val="00E97EF5"/>
    <w:rsid w:val="00EB73C0"/>
    <w:rsid w:val="00F34DCE"/>
    <w:rsid w:val="00F45E8D"/>
    <w:rsid w:val="00F47D26"/>
    <w:rsid w:val="00F51D4C"/>
    <w:rsid w:val="00F646A7"/>
    <w:rsid w:val="00F7646B"/>
    <w:rsid w:val="00F80A72"/>
    <w:rsid w:val="00F92ECA"/>
    <w:rsid w:val="00F966D5"/>
    <w:rsid w:val="00FA024F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9A58"/>
  <w15:docId w15:val="{B038F019-60A3-4683-A1DD-D67CC6F0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ECA"/>
    <w:pPr>
      <w:spacing w:after="0" w:line="240" w:lineRule="atLeast"/>
    </w:pPr>
    <w:rPr>
      <w:color w:val="67AE6E" w:themeColor="background2"/>
      <w:sz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132"/>
    <w:pPr>
      <w:keepNext/>
      <w:keepLines/>
      <w:spacing w:line="432" w:lineRule="exact"/>
      <w:jc w:val="center"/>
      <w:outlineLvl w:val="0"/>
    </w:pPr>
    <w:rPr>
      <w:rFonts w:asciiTheme="majorHAnsi" w:eastAsiaTheme="majorEastAsia" w:hAnsiTheme="majorHAnsi" w:cstheme="majorBidi"/>
      <w:bCs/>
      <w:color w:val="00AAFF" w:themeColor="accent2"/>
      <w:sz w:val="36"/>
      <w:szCs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019AB"/>
    <w:rPr>
      <w:sz w:val="20"/>
    </w:rPr>
  </w:style>
  <w:style w:type="paragraph" w:styleId="Stopka">
    <w:name w:val="footer"/>
    <w:link w:val="StopkaZnak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C7C34"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D1132"/>
    <w:rPr>
      <w:rFonts w:asciiTheme="majorHAnsi" w:eastAsiaTheme="majorEastAsia" w:hAnsiTheme="majorHAnsi" w:cstheme="majorBidi"/>
      <w:bCs/>
      <w:color w:val="00AAFF" w:themeColor="accent2"/>
      <w:sz w:val="36"/>
      <w:szCs w:val="36"/>
      <w:lang w:val="en-US"/>
    </w:rPr>
  </w:style>
  <w:style w:type="table" w:styleId="Tabela-Siatka">
    <w:name w:val="Table Grid"/>
    <w:basedOn w:val="Standardowy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ny"/>
    <w:semiHidden/>
    <w:rsid w:val="00317240"/>
    <w:pPr>
      <w:spacing w:line="200" w:lineRule="atLeast"/>
    </w:pPr>
    <w:rPr>
      <w:color w:val="F4C867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17255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ny"/>
    <w:qFormat/>
    <w:rsid w:val="008D1132"/>
    <w:pPr>
      <w:jc w:val="right"/>
    </w:pPr>
    <w:rPr>
      <w:color w:val="17255F" w:themeColor="accent1"/>
      <w:sz w:val="28"/>
      <w:szCs w:val="28"/>
    </w:rPr>
  </w:style>
  <w:style w:type="paragraph" w:customStyle="1" w:styleId="Textepuce">
    <w:name w:val="Texte puce"/>
    <w:basedOn w:val="Textedesaisie"/>
    <w:qFormat/>
    <w:rsid w:val="00714945"/>
    <w:pPr>
      <w:numPr>
        <w:numId w:val="15"/>
      </w:numPr>
      <w:ind w:left="680" w:hanging="340"/>
    </w:pPr>
  </w:style>
  <w:style w:type="paragraph" w:customStyle="1" w:styleId="Texteadresseinternet">
    <w:name w:val="Texte adresse internet"/>
    <w:basedOn w:val="Stopka"/>
    <w:qFormat/>
    <w:rsid w:val="00B63ACD"/>
    <w:pPr>
      <w:jc w:val="right"/>
    </w:pPr>
    <w:rPr>
      <w:color w:val="00817D" w:themeColor="accent3"/>
      <w:sz w:val="18"/>
      <w:szCs w:val="18"/>
    </w:rPr>
  </w:style>
  <w:style w:type="paragraph" w:customStyle="1" w:styleId="Adressepieddepage">
    <w:name w:val="Adresse pied de page"/>
    <w:basedOn w:val="Stopka"/>
    <w:qFormat/>
    <w:rsid w:val="00BA6623"/>
    <w:pPr>
      <w:spacing w:line="180" w:lineRule="atLeast"/>
    </w:pPr>
    <w:rPr>
      <w:color w:val="00817D" w:themeColor="accent3"/>
      <w:sz w:val="14"/>
      <w:szCs w:val="14"/>
    </w:rPr>
  </w:style>
  <w:style w:type="character" w:customStyle="1" w:styleId="Bold">
    <w:name w:val="Bold"/>
    <w:basedOn w:val="Domylnaczcionkaakapitu"/>
    <w:uiPriority w:val="1"/>
    <w:qFormat/>
    <w:rsid w:val="0078427B"/>
    <w:rPr>
      <w:rFonts w:cs="Times New Roman"/>
      <w:b/>
      <w:lang w:val="en-US" w:eastAsia="x-none"/>
    </w:rPr>
  </w:style>
  <w:style w:type="paragraph" w:customStyle="1" w:styleId="Textedesaisie">
    <w:name w:val="Texte de saisie"/>
    <w:basedOn w:val="Normalny"/>
    <w:qFormat/>
    <w:rsid w:val="00562B4F"/>
    <w:pPr>
      <w:jc w:val="both"/>
    </w:pPr>
    <w:rPr>
      <w:color w:val="000000" w:themeColor="text1"/>
    </w:rPr>
  </w:style>
  <w:style w:type="paragraph" w:customStyle="1" w:styleId="Texteintroduction">
    <w:name w:val="Texte introduction"/>
    <w:basedOn w:val="Textedesaisie"/>
    <w:qFormat/>
    <w:rsid w:val="008C0B76"/>
    <w:rPr>
      <w:b/>
      <w:sz w:val="22"/>
    </w:rPr>
  </w:style>
  <w:style w:type="paragraph" w:customStyle="1" w:styleId="Datedudocument">
    <w:name w:val="Date du document"/>
    <w:basedOn w:val="Normalny"/>
    <w:qFormat/>
    <w:rsid w:val="008D1132"/>
    <w:pPr>
      <w:jc w:val="right"/>
    </w:pPr>
    <w:rPr>
      <w:color w:val="17255F" w:themeColor="accent1"/>
      <w:sz w:val="28"/>
      <w:szCs w:val="28"/>
    </w:rPr>
  </w:style>
  <w:style w:type="character" w:styleId="Hipercze">
    <w:name w:val="Hyperlink"/>
    <w:basedOn w:val="Domylnaczcionkaakapitu"/>
    <w:uiPriority w:val="99"/>
    <w:rsid w:val="008D1132"/>
    <w:rPr>
      <w:color w:val="00AAFF" w:themeColor="accent2"/>
      <w:u w:val="single"/>
    </w:rPr>
  </w:style>
  <w:style w:type="paragraph" w:customStyle="1" w:styleId="Texteapropos">
    <w:name w:val="Texte a propos"/>
    <w:basedOn w:val="Textedesaisie"/>
    <w:qFormat/>
    <w:rsid w:val="00F92ECA"/>
    <w:pPr>
      <w:spacing w:line="216" w:lineRule="atLeast"/>
    </w:pPr>
    <w:rPr>
      <w:color w:val="auto"/>
      <w:sz w:val="18"/>
      <w:szCs w:val="18"/>
    </w:rPr>
  </w:style>
  <w:style w:type="paragraph" w:customStyle="1" w:styleId="Textecontact">
    <w:name w:val="Texte contact"/>
    <w:basedOn w:val="Textedesaisie"/>
    <w:qFormat/>
    <w:rsid w:val="00F92ECA"/>
    <w:pPr>
      <w:spacing w:line="216" w:lineRule="atLeast"/>
      <w:jc w:val="left"/>
    </w:pPr>
    <w:rPr>
      <w:color w:val="auto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33A49"/>
    <w:pPr>
      <w:spacing w:after="0" w:line="240" w:lineRule="auto"/>
    </w:pPr>
    <w:rPr>
      <w:color w:val="67AE6E" w:themeColor="background2"/>
      <w:sz w:val="20"/>
    </w:rPr>
  </w:style>
  <w:style w:type="character" w:styleId="Pogrubienie">
    <w:name w:val="Strong"/>
    <w:basedOn w:val="Domylnaczcionkaakapitu"/>
    <w:uiPriority w:val="22"/>
    <w:qFormat/>
    <w:rsid w:val="005F3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gdalena.jarominska@engi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j\Downloads\Press%20release%20Template%20(2).dotx" TargetMode="External"/></Relationships>
</file>

<file path=word/theme/theme1.xml><?xml version="1.0" encoding="utf-8"?>
<a:theme xmlns:a="http://schemas.openxmlformats.org/drawingml/2006/main" name="Thème Office">
  <a:themeElements>
    <a:clrScheme name="ENGIE WORD">
      <a:dk1>
        <a:sysClr val="windowText" lastClr="000000"/>
      </a:dk1>
      <a:lt1>
        <a:sysClr val="window" lastClr="FFFFFF"/>
      </a:lt1>
      <a:dk2>
        <a:srgbClr val="F4C867"/>
      </a:dk2>
      <a:lt2>
        <a:srgbClr val="67AE6E"/>
      </a:lt2>
      <a:accent1>
        <a:srgbClr val="17255F"/>
      </a:accent1>
      <a:accent2>
        <a:srgbClr val="00AAFF"/>
      </a:accent2>
      <a:accent3>
        <a:srgbClr val="00817D"/>
      </a:accent3>
      <a:accent4>
        <a:srgbClr val="E18554"/>
      </a:accent4>
      <a:accent5>
        <a:srgbClr val="1D8CBC"/>
      </a:accent5>
      <a:accent6>
        <a:srgbClr val="4BB0B9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5a6ef-3976-4b86-a61c-2b233245df1a">
      <Terms xmlns="http://schemas.microsoft.com/office/infopath/2007/PartnerControls"/>
    </lcf76f155ced4ddcb4097134ff3c332f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EBC1F51AFBC4FA9CABE1273F680D0" ma:contentTypeVersion="16" ma:contentTypeDescription="Utwórz nowy dokument." ma:contentTypeScope="" ma:versionID="5fe782b47889094dd2a2c9da467a79e4">
  <xsd:schema xmlns:xsd="http://www.w3.org/2001/XMLSchema" xmlns:xs="http://www.w3.org/2001/XMLSchema" xmlns:p="http://schemas.microsoft.com/office/2006/metadata/properties" xmlns:ns2="87037488-ec5d-4aba-84c2-9b1d22638e8e" xmlns:ns3="58b5a6ef-3976-4b86-a61c-2b233245df1a" xmlns:ns4="e0555a73-95f1-4537-8631-abe7d984fa9b" targetNamespace="http://schemas.microsoft.com/office/2006/metadata/properties" ma:root="true" ma:fieldsID="e2c88469c185f4f57674055d7e4ec425" ns2:_="" ns3:_="" ns4:_="">
    <xsd:import namespace="87037488-ec5d-4aba-84c2-9b1d22638e8e"/>
    <xsd:import namespace="58b5a6ef-3976-4b86-a61c-2b233245df1a"/>
    <xsd:import namespace="e0555a73-95f1-4537-8631-abe7d984fa9b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b10c86-abff-4866-8eb6-950d4954d5e5}" ma:internalName="TaxCatchAll" ma:showField="CatchAllData" ma:web="e0555a73-95f1-4537-8631-abe7d984f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b10c86-abff-4866-8eb6-950d4954d5e5}" ma:internalName="TaxCatchAllLabel" ma:readOnly="true" ma:showField="CatchAllDataLabel" ma:web="e0555a73-95f1-4537-8631-abe7d984f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a6ef-3976-4b86-a61c-2b233245d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bf472f7-a010-4b5a-bb99-a26ed4c9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55a73-95f1-4537-8631-abe7d984f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F92E00FE-3F8A-4101-9AA7-C405E5B84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69931-3C41-47CF-A7DE-5846CA1A3900}">
  <ds:schemaRefs>
    <ds:schemaRef ds:uri="http://schemas.microsoft.com/office/2006/metadata/properties"/>
    <ds:schemaRef ds:uri="http://schemas.microsoft.com/office/infopath/2007/PartnerControls"/>
    <ds:schemaRef ds:uri="58b5a6ef-3976-4b86-a61c-2b233245df1a"/>
    <ds:schemaRef ds:uri="87037488-ec5d-4aba-84c2-9b1d22638e8e"/>
  </ds:schemaRefs>
</ds:datastoreItem>
</file>

<file path=customXml/itemProps3.xml><?xml version="1.0" encoding="utf-8"?>
<ds:datastoreItem xmlns:ds="http://schemas.openxmlformats.org/officeDocument/2006/customXml" ds:itemID="{DB9D7AC7-08C6-48A5-BA35-3E95013CF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8b5a6ef-3976-4b86-a61c-2b233245df1a"/>
    <ds:schemaRef ds:uri="e0555a73-95f1-4537-8631-abe7d984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70757-20A6-4983-BC83-EA142C2D6308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a9b9e15-83d2-4075-9282-a04e05c6580a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(2)</Template>
  <TotalTime>8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ENGIE</vt:lpstr>
      <vt:lpstr>ENGIE</vt:lpstr>
    </vt:vector>
  </TitlesOfParts>
  <Manager>ENGIE</Manager>
  <Company>ENGIE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ENGIE</dc:title>
  <dc:subject>ENGIE</dc:subject>
  <dc:creator>Alicja Dołęgowska</dc:creator>
  <cp:lastModifiedBy>Alicja Dołęgowska</cp:lastModifiedBy>
  <cp:revision>6</cp:revision>
  <dcterms:created xsi:type="dcterms:W3CDTF">2025-07-16T10:00:00Z</dcterms:created>
  <dcterms:modified xsi:type="dcterms:W3CDTF">2025-07-24T09:01:00Z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0x01010051BEBC1F51AFBC4FA9CABE1273F680D0</vt:lpwstr>
  </property>
</Properties>
</file>